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Department of Intelligent Systems, Afeka Tel-Aviv College of Engineering, Israel.</w:t>
      </w:r>
      <w:r>
        <w:rPr>
          <w:rFonts w:ascii="Times New Roman" w:hAnsi="Times New Roman"/>
          <w:b w:val="0"/>
          <w:i/>
          <w:sz w:val="20"/>
        </w:rPr>
        <w:t xml:space="preserve"> </w:t>
      </w:r>
      <w:r>
        <w:rPr>
          <w:rFonts w:ascii="Times New Roman" w:hAnsi="Times New Roman"/>
          <w:b w:val="0"/>
          <w:i/>
          <w:sz w:val="20"/>
          <w:vertAlign w:val="superscript"/>
        </w:rPr>
        <w:t xml:space="preserve">2</w:t>
      </w:r>
      <w:r>
        <w:rPr>
          <w:rFonts w:ascii="Times New Roman" w:hAnsi="Times New Roman"/>
          <w:b w:val="0"/>
          <w:i/>
          <w:sz w:val="20"/>
        </w:rPr>
        <w:t xml:space="preserve">School of Computer Science, Faculty of Sciences, HIT-Holon Institute of Technology, Israel.</w:t>
      </w:r>
    </w:p>
    <w:bookmarkEnd w:id="9"/>
    <w:bookmarkStart w:id="11"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Energetic-materials performance gains translate directly into reduced propellant mass, smaller warheads, and more efficient civilian gas-generators, yet few new HMX-class compounds have been disclosed in the decades since. Designing one is a sparse-label problem: of ~66 k CHNO molecules with reported detonation properties, only ~3 k carry trustworthy experimental or quantum-chemistry values, and naive generative models trained on the full mixture either memorise the high-performance tail or extrapolate without calibration.</w:t>
      </w:r>
    </w:p>
    <w:p>
      <w:pPr>
        <w:pStyle w:val="BodyText"/>
        <w:ind w:left="720" w:right="720" w:firstLine="0"/>
        <w:jc w:val="both"/>
        <w:keepNext w:val="0"/>
        <w:keepLines w:val="0"/>
        <w:widowControl w:val="1"/>
      </w:pPr>
      <w:r>
        <w:t xml:space="preserve">We introduce</w:t>
      </w:r>
      <w:r>
        <w:t xml:space="preserve"> </w:t>
      </w:r>
      <w:r>
        <w:rPr>
          <w:b/>
          <w:bCs/>
        </w:rPr>
        <w:t xml:space="preserve">Domain-Gated Latent Diffusion (DGLD)</w:t>
      </w:r>
      <w:r>
        <w:t xml:space="preserve">: a label-quality gate at training time, multi-task score-model guidance at sample time, and a four-stage chemistry-validation funnel ending in first-principles DFT audit. The result is 11 DFT-confirmed novel leads. The headline compound, 3,4,5-trinitro-1,2-isoxazole (L1),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and is structurally dissimilar from all 65 980 training molecules (nearest-neighbour Tanimoto 0.27). The unguided sampler also independently recovered E1 (4-nitro-1,2,3,5-oxatriazole), a known oxatriazole (PubChem CID 57438703) that exceeds L1 on calibrated detonation velocity (</w:t>
      </w:r>
      <m:oMath>
        <m:sSub>
          <m:e>
            <m:r>
              <m:t>D</m:t>
            </m:r>
          </m:e>
          <m:sub>
            <m:r>
              <m:rPr>
                <m:nor/>
                <m:sty m:val="p"/>
              </m:rPr>
              <m:t>K-J,cal</m:t>
            </m:r>
          </m:sub>
        </m:sSub>
        <m:r>
          <m:rPr>
            <m:sty m:val="p"/>
          </m:rPr>
          <m:t>=</m:t>
        </m:r>
        <m:r>
          <m:t>9.00</m:t>
        </m:r>
      </m:oMath>
      <w:r>
        <w:t xml:space="preserve"> km/s) from a chemotype family disjoint from L1's.</w:t>
      </w:r>
    </w:p>
    <w:p>
      <w:pPr>
        <w:pStyle w:val="BodyText"/>
        <w:ind w:left="720" w:right="720" w:firstLine="0"/>
        <w:jc w:val="both"/>
        <w:keepNext w:val="0"/>
        <w:keepLines w:val="0"/>
        <w:widowControl w:val="1"/>
      </w:pPr>
      <w:r>
        <w:t xml:space="preserve">of the baselines, only SELFIES-GA's best-novel candidate was carried to DFT (where it collapsed 9.73 to 6.28 km/s); DGLD is the only method to reach the productive quadrant (simultaneously novel and on-target) under first-principles validation. SMILES-LSTM memorises 18.3% of its outputs exactly; SELFIES-GA's best novel candidate loses 3.5 km/s under DFT audit; REINVENT 4 generates novel high-N heterocycles but peaks at</w:t>
      </w:r>
      <w:r>
        <w:t xml:space="preserve"> </w:t>
      </w:r>
      <m:oMath>
        <m:r>
          <m:t>D</m:t>
        </m:r>
        <m:r>
          <m:rPr>
            <m:sty m:val="p"/>
          </m:rPr>
          <m:t>=</m:t>
        </m:r>
        <m:r>
          <m:t>9.02</m:t>
        </m:r>
      </m:oMath>
      <w:r>
        <w:t xml:space="preserve"> km/s. Code, checkpoints, and 918 mined hard negatives are released on Zenodo (DOI </w:t>
      </w:r>
      <w:hyperlink r:id="rId10">
        <w:r>
          <w:rPr>
            <w:rStyle w:val="VerbatimChar"/>
          </w:rPr>
          <w:t xml:space="preserve">10.5281/zenodo.19821952</w:t>
        </w:r>
      </w:hyperlink>
      <w:r>
        <w:t xml:space="preserve">); the next compound to enter the HMX-class band can be discovered, validated, and recommended for synthesis at the cost of a few GPU-days.</w:t>
      </w:r>
    </w:p>
    <w:bookmarkEnd w:id="11"/>
    <w:bookmarkStart w:id="18" w:name="sec-intro"/>
    <w:p>
      <w:pPr>
        <w:pStyle w:val="Heading2"/>
        <w:keepNext/>
        <w:keepLines/>
        <w:widowControl w:val="1"/>
      </w:pPr>
      <w:r>
        <w:t xml:space="preserve">1. Introduction</w:t>
      </w:r>
    </w:p>
    <w:p>
      <w:pPr>
        <w:pStyle w:val="FirstParagraph"/>
        <w:jc w:val="both"/>
        <w:keepNext w:val="0"/>
        <w:keepLines w:val="0"/>
        <w:widowControl w:val="1"/>
      </w:pPr>
      <w:r>
        <w:t xml:space="preserve">Energetic-materials performance gains translate directly into reduced propellant mass, smaller warheads, and more efficient civilian gas-generators, yet the canonical anchors of the field (HMX and CL-20) were developed decades ago and few new HMX-class compounds have been disclosed in the decades since. The space of synthesisable CHNO small molecules with the right balance of crystal density, oxygen balance (OB), heat of formation (HOF),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w:t>
        </w:r>
      </w:hyperlink>
      <w:r>
        <w:t xml:space="preserve">) are regime-limited; discriminative surrogates</w:t>
      </w:r>
      <w:r>
        <w:t xml:space="preserve"> </w:t>
      </w:r>
      <w:hyperlink w:anchor="ref-casey2020prediction">
        <w:r>
          <w:rPr>
            <w:rStyle w:val="Hyperlink"/>
          </w:rPr>
          <w:t xml:space="preserve">[2]</w:t>
        </w:r>
      </w:hyperlink>
      <w:hyperlink w:anchor="ref-zhou2023unimol">
        <w:r>
          <w:rPr>
            <w:rStyle w:val="Hyperlink"/>
          </w:rPr>
          <w:t xml:space="preserve">[3]</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[4]</w:t>
        </w:r>
      </w:hyperlink>
      <w:r>
        <w:t xml:space="preserve"> </w:t>
      </w:r>
      <w:r>
        <w:t xml:space="preserve">fail silently when the generative trajectory is as short as molecular generation requires. Compounding these challenges, the labelled corpus is tier-stratified: of ~66 k labelled rows only ~3 k carry a trustworthy experimental or DFT label on the target detonation properties, with the rest supplying empirical-formula or Uni-Mol-surrogate estimates of sharply lower reliability.</w:t>
      </w:r>
    </w:p>
    <w:p>
      <w:pPr>
        <w:pStyle w:val="BodyText"/>
        <w:jc w:val="both"/>
        <w:keepNext w:val="0"/>
        <w:keepLines w:val="0"/>
        <w:widowControl w:val="1"/>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BodyText"/>
        <w:jc w:val="both"/>
        <w:keepNext w:val="0"/>
        <w:keepLines w:val="0"/>
        <w:widowControl w:val="1"/>
      </w:pPr>
      <w:r>
        <w:t xml:space="preserve">DGLD yields 10 unique DFT-confirmed novel leads (11 lead cards; L3 and L16 are the same compound); the headline compound, trinitro-1,2-isoxazole (L1),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placing it within the HMX/PETN performance band at max-Tanimoto 0.27 to our 65 980-row labelled corpus (§5.2). DGLD behaves as a</w:t>
      </w:r>
      <w:r>
        <w:t xml:space="preserve"> </w:t>
      </w:r>
      <w:r>
        <w:rPr>
          <w:i/>
          <w:iCs/>
        </w:rPr>
        <w:t xml:space="preserve">productive-quadrant generator</w:t>
      </w:r>
      <w:r>
        <w:t xml:space="preserve">: it samples molecules that are simultaneously novel relative to the labelled master and competitive with the HMX/PETN reference class on predicted detonation performance. Across three strong energetics-domain baselines (SMILES-LSTM, SELFIES-GA, REINVENT 4), DGLD is the only method whose novel candidates remain on-target under first-principles DFT validation: SMILES-LSTM memorises 18.3% of outputs exactly; SELFIES-GA returns 75% (75/100)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km/s under DFT audit (a 3.5 km/s surrogate artefact); REINVENT 4 generates novel high-N heterocycles but peaks at a surrogate</w:t>
      </w:r>
      <w:r>
        <w:t xml:space="preserve"> </w:t>
      </w:r>
      <m:oMath>
        <m:r>
          <m:t>D</m:t>
        </m:r>
        <m:r>
          <m:rPr>
            <m:sty m:val="p"/>
          </m:rPr>
          <m:t>=</m:t>
        </m:r>
        <m:r>
          <m:t>9.02</m:t>
        </m:r>
      </m:oMath>
      <w:r>
        <w:t xml:space="preserve"> km/s that was not DFT-audited. Separately, the unguided sampler independently recovered E1 (4-nitro-1,2,3,5-oxatriazole), a known oxatriazole (PubChem CID 57438703) rather than a novel structure, reaching</w:t>
      </w:r>
      <w:r>
        <w:t xml:space="preserve"> </w:t>
      </w:r>
      <m:oMath>
        <m:sSub>
          <m:e>
            <m:r>
              <m:t>D</m:t>
            </m:r>
          </m:e>
          <m:sub>
            <m:r>
              <m:rPr>
                <m:nor/>
                <m:sty m:val="p"/>
              </m:rPr>
              <m:t>K-J,cal</m:t>
            </m:r>
          </m:sub>
        </m:sSub>
        <m:r>
          <m:rPr>
            <m:sty m:val="p"/>
          </m:rPr>
          <m:t>=</m:t>
        </m:r>
        <m:r>
          <m:t>9.00</m:t>
        </m:r>
      </m:oMath>
      <w:r>
        <w:t xml:space="preserve"> km/s from a chemically distinct scaffold family, pending thermal stability confirmation and an oxatriazole-class DFT anchor (§6). The tier-gating recipe is domain-agnostic; only the validation funnel changes per application.</w:t>
      </w:r>
    </w:p>
    <w:p>
      <w:pPr>
        <w:pStyle w:val="BodyText"/>
        <w:jc w:val="center"/>
        <w:keepNext/>
        <w:keepLines/>
        <w:widowControl w:val="1"/>
      </w:pPr>
      <w:r>
        <w:drawing>
          <wp:inline>
            <wp:extent cx="5943600" cy="1827657"/>
            <wp:effectExtent b="0" l="0" r="0" t="0"/>
            <wp:docPr descr="Headline figure: novelty vs predicted properties" title="" id="13" name="Picture"/>
            <a:graphic>
              <a:graphicData uri="http://schemas.openxmlformats.org/drawingml/2006/picture">
                <pic:pic>
                  <pic:nvPicPr>
                    <pic:cNvPr descr="figs/novelty_vs_D.png" id="14" name="Picture"/>
                    <pic:cNvPicPr>
                      <a:picLocks noChangeArrowheads="1" noChangeAspect="1"/>
                    </pic:cNvPicPr>
                  </pic:nvPicPr>
                  <pic:blipFill>
                    <a:blip r:embed="rId12"/>
                    <a:stretch>
                      <a:fillRect/>
                    </a:stretch>
                  </pic:blipFill>
                  <pic:spPr bwMode="auto">
                    <a:xfrm>
                      <a:off x="0" y="0"/>
                      <a:ext cx="5943600" cy="182765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ρ</m:t>
        </m:r>
      </m:oMath>
      <m:oMath>
        <m:r>
          <m:t>P</m:t>
        </m:r>
      </m:oMath>
      <m:oMath>
        <m:r>
          <m:t>D</m:t>
        </m:r>
      </m:oMath>
      <m:oMath>
        <m:r>
          <m:t>D</m:t>
        </m:r>
      </m:oMath>
      <m:oMath>
        <m:r>
          <m:t>D</m:t>
        </m:r>
        <m:r>
          <m:rPr>
            <m:sty m:val="p"/>
          </m:rPr>
          <m:t>=</m:t>
        </m:r>
        <m:r>
          <m:t>7.70</m:t>
        </m:r>
      </m:oMath>
      <m:oMath>
        <m:r>
          <m:t>D</m:t>
        </m:r>
        <m:r>
          <m:rPr>
            <m:sty m:val="p"/>
          </m:rPr>
          <m:t>=</m:t>
        </m:r>
        <m:r>
          <m:t>9.02</m:t>
        </m:r>
      </m:oMath>
      <m:oMath>
        <m:r>
          <m:t>D</m:t>
        </m:r>
      </m:oMath>
      <m:oMath>
        <m:r>
          <m:t>D</m:t>
        </m:r>
        <m:r>
          <m:rPr>
            <m:sty m:val="p"/>
          </m:rPr>
          <m:t>=</m:t>
        </m:r>
        <m:r>
          <m:t>9.73</m:t>
        </m:r>
        <m:r>
          <m:rPr>
            <m:sty m:val="p"/>
          </m:rPr>
          <m:t>→</m:t>
        </m:r>
        <m:r>
          <m:t>6.28</m:t>
        </m:r>
      </m:oMath>
      <m:oMath>
        <m:r>
          <m:rPr>
            <m:sty m:val="p"/>
          </m:rPr>
          <m:t>(</m:t>
        </m:r>
        <m:r>
          <m:t>1</m:t>
        </m:r>
        <m:r>
          <m:rPr>
            <m:sty m:val="p"/>
          </m:rPr>
          <m:t>−</m:t>
        </m:r>
        <m:r>
          <m:rPr>
            <m:nor/>
            <m:sty m:val="p"/>
          </m:rPr>
          <m:t>memorisation rate</m:t>
        </m:r>
        <m:r>
          <m:rPr>
            <m:sty m:val="p"/>
          </m:rPr>
          <m:t>)</m:t>
        </m:r>
      </m:oMath>
      <w:r>
        <w:rPr>
          <w:b/>
          <w:i/>
        </w:rPr>
        <w:t>Figure 1.</w:t>
      </w:r>
      <w:r>
        <w:rPr>
          <w:b w:val="0"/>
          <w:i/>
        </w:rPr>
        <w:t xml:space="preserve"> </w:t>
      </w:r>
      <w:r>
        <w:rPr>
          <w:b w:val="0"/>
          <w:i/>
        </w:rPr>
        <w:t>Top-1 candidate per method against novelty on three property axes (, , ). DGLD (blue, 7 settings × 3 seeds) clears the novelty floor (max-Tanimoto &lt; 0.55) on every axis and lands in the HMX-class band (DGLD points on the  panel are Uni-Mol surrogate scores and the anchors are at their reported literature ; only the DFT-calibrated Kamlet–Jacobs values for the DGLD leads, in Table 3, are directly scale-matched to the anchors). SMILES-LSTM (red X) is exact rediscovery (Tanimoto = 1.0); MolMIM 70 M (gold) is novel but at  km/s; REINVENT 4 (green square) reaches  km/s at novelty 0.43 (Table 8); SELFIES-GA (purple) shows a surrogate-to-DFT collapse on the  panel inset ( km/s). Marker area encodes , shrinking SMILES-LSTM and SELFIES-GA. Literature anchors (RDX/HMX/CL-20/TATB/PETN) at novelty = 0 (grey triangles); green-tinted upper-right quadrant is the productive zone.</w:t>
      </w:r>
    </w:p>
    <w:p>
      <w:pPr>
        <w:pStyle w:val="BodyText"/>
        <w:jc w:val="both"/>
        <w:keepNext w:val="0"/>
        <w:keepLines w:val="0"/>
        <w:widowControl w:val="1"/>
      </w:pPr>
      <w:r>
        <w:rPr>
          <w:b/>
          <w:bCs/>
        </w:rPr>
        <w:t xml:space="preserve">Note on Fig 1.</w:t>
      </w:r>
      <w:r>
        <w:t xml:space="preserve"> </w:t>
      </w:r>
      <w:r>
        <w:t xml:space="preserve">Hz-C2 top-1 surrogate values (Uni-Mol scale):</w:t>
      </w:r>
      <w:r>
        <w:t xml:space="preserve"> </w:t>
      </w:r>
      <m:oMath>
        <m:r>
          <m:t>D</m:t>
        </m:r>
      </m:oMath>
      <w:r>
        <w:t xml:space="preserve"> </w:t>
      </w:r>
      <w:r>
        <w:t xml:space="preserve">= 9.39 km/s,</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km/s 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numPr>
          <w:ilvl w:val="0"/>
          <w:numId w:val="1001"/>
        </w:numPr>
        <w:ind w:left="360" w:hanging="259"/>
        <w:jc w:val="both"/>
        <w:keepNext w:val="0"/>
        <w:keepLines w:val="0"/>
        <w:widowControl w:val="1"/>
      </w:pPr>
      <w:r>
        <w:rPr>
          <w:b/>
          <w:bCs/>
        </w:rPr>
        <w:t xml:space="preserve">A tier-gated training recipe for sparse-label molecular generation.</w:t>
      </w:r>
      <w:r>
        <w:t xml:space="preserve"> </w:t>
      </w:r>
      <w:r>
        <w:t xml:space="preserve">Only trustworthy labels enter the conditional gradient, while lower-confidence labels train the unconditional prior (§3.1).</w:t>
      </w:r>
    </w:p>
    <w:p>
      <w:pPr>
        <w:pStyle w:val="Compact"/>
        <w:numPr>
          <w:ilvl w:val="0"/>
          <w:numId w:val="1001"/>
        </w:numPr>
        <w:ind w:left="360" w:hanging="259"/>
        <w:jc w:val="both"/>
        <w:keepNext w:val="0"/>
        <w:keepLines w:val="0"/>
        <w:widowControl w:val="1"/>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numPr>
          <w:ilvl w:val="0"/>
          <w:numId w:val="1001"/>
        </w:numPr>
        <w:ind w:left="360" w:hanging="259"/>
        <w:jc w:val="both"/>
        <w:keepNext w:val="0"/>
        <w:keepLines w:val="0"/>
        <w:widowControl w:val="1"/>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(Section 4.11), closing the gap between the Random Forest teacher's class boundary and the latent regions the sampler actually inhabits.</w:t>
      </w:r>
    </w:p>
    <w:p>
      <w:pPr>
        <w:pStyle w:val="Compact"/>
        <w:numPr>
          <w:ilvl w:val="0"/>
          <w:numId w:val="1001"/>
        </w:numPr>
        <w:ind w:left="360" w:hanging="259"/>
        <w:jc w:val="both"/>
        <w:keepNext w:val="0"/>
        <w:keepLines w:val="0"/>
        <w:widowControl w:val="1"/>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numPr>
          <w:ilvl w:val="0"/>
          <w:numId w:val="1001"/>
        </w:numPr>
        <w:ind w:left="360" w:hanging="259"/>
        <w:jc w:val="both"/>
        <w:keepNext w:val="0"/>
        <w:keepLines w:val="0"/>
        <w:widowControl w:val="1"/>
      </w:pPr>
      <w:r>
        <w:rPr>
          <w:b/>
          <w:bCs/>
        </w:rPr>
        <w:t xml:space="preserve">DFT-validated novel leads in the HMX/PETN band (Kamlet–Jacobs relative ranking).</w:t>
      </w:r>
      <w:r>
        <w:t xml:space="preserve"> </w:t>
      </w:r>
      <w:r>
        <w:t xml:space="preserve">Eleven chem-pass leads are confirmed as true local minima under B3LYP/6-31G(d) and calibrated against six reference compounds under</w:t>
      </w:r>
      <w:r>
        <w:t xml:space="preserve"> </w:t>
      </w:r>
      <m:oMath>
        <m:r>
          <m:t>ω</m:t>
        </m:r>
      </m:oMath>
      <w:r>
        <w:t xml:space="preserve">B97X-D3BJ/def2-TZVP. Lead L1 (trinitro-1,2-isoxazole) is absent from PubChem, the SureChEMBL patent corpus</w:t>
      </w:r>
      <w:r>
        <w:t xml:space="preserve"> </w:t>
      </w:r>
      <w:hyperlink w:anchor="ref-surechembl">
        <w:r>
          <w:rPr>
            <w:rStyle w:val="Hyperlink"/>
          </w:rPr>
          <w:t xml:space="preserve">[00]</w:t>
        </w:r>
      </w:hyperlink>
      <w:r>
        <w:t xml:space="preserve">, and the 65 980-row labelled master (max-Tanimoto 0.27); DFT-calibrated:</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km/s; Uni-Mol surrogate:</w:t>
      </w:r>
      <w:r>
        <w:t xml:space="preserve"> </w:t>
      </w:r>
      <m:oMath>
        <m:r>
          <m:t>D</m:t>
        </m:r>
        <m:r>
          <m:rPr>
            <m:sty m:val="p"/>
          </m:rPr>
          <m:t>=</m:t>
        </m:r>
        <m:r>
          <m:t>9.56</m:t>
        </m:r>
      </m:oMath>
      <w:r>
        <w:t xml:space="preserve"> km/s (see §5.3 for K-J relative-ranking basis). The unguided sampler additionally recovered the known oxatriazole E1 (above); the extension set spans eight Bemis–Murcko scaffolds across seven chemotype families, of which E1, E6, and E9 are known compounds.</w:t>
      </w:r>
    </w:p>
    <w:p>
      <w:pPr>
        <w:pStyle w:val="BodyText"/>
        <w:jc w:val="center"/>
        <w:keepNext/>
        <w:keepLines/>
        <w:widowControl w:val="1"/>
      </w:pPr>
      <w:r>
        <w:drawing>
          <wp:inline>
            <wp:extent cx="5943600" cy="2403443"/>
            <wp:effectExtent b="0" l="0" r="0" t="0"/>
            <wp:docPr descr="Top leads in the (D,P) plane" title="" id="16" name="Picture"/>
            <a:graphic>
              <a:graphicData uri="http://schemas.openxmlformats.org/drawingml/2006/picture">
                <pic:pic>
                  <pic:nvPicPr>
                    <pic:cNvPr descr="figs/fig3_leads_dp_plane.png" id="17" name="Picture"/>
                    <pic:cNvPicPr>
                      <a:picLocks noChangeArrowheads="1" noChangeAspect="1"/>
                    </pic:cNvPicPr>
                  </pic:nvPicPr>
                  <pic:blipFill>
                    <a:blip r:embed="rId15"/>
                    <a:stretch>
                      <a:fillRect/>
                    </a:stretch>
                  </pic:blipFill>
                  <pic:spPr bwMode="auto">
                    <a:xfrm>
                      <a:off x="0" y="0"/>
                      <a:ext cx="5943600" cy="24034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r>
          <m:t>ρ</m:t>
        </m:r>
      </m:oMath>
      <m:oMath>
        <m:r>
          <m:t>D</m:t>
        </m:r>
        <m:r>
          <m:rPr>
            <m:sty m:val="p"/>
          </m:rPr>
          <m:t>=</m:t>
        </m:r>
        <m:r>
          <m:t>9.5</m:t>
        </m:r>
      </m:oMath>
      <m:oMath>
        <m:r>
          <m:t>P</m:t>
        </m:r>
        <m:r>
          <m:rPr>
            <m:sty m:val="p"/>
          </m:rPr>
          <m:t>=</m:t>
        </m:r>
        <m:r>
          <m:t>40</m:t>
        </m:r>
      </m:oMath>
      <w:r>
        <w:rPr>
          <w:b/>
          <w:i/>
        </w:rPr>
        <w:t>Figure 2.</w:t>
      </w:r>
      <w:r>
        <w:rPr>
          <w:b w:val="0"/>
          <w:i/>
        </w:rPr>
        <w:t xml:space="preserve"> </w:t>
      </w:r>
      <w:r>
        <w:rPr>
          <w:b w:val="0"/>
          <w:i/>
        </w:rPr>
        <w:t>Top-200 leads from the pool=40k joint rerank in the (, ) plane. Panel A colours each point by predicted density  (viridis); panel B by novelty (1 minus max Morgan-FP-2 Tanimoto to the labelled master, plasma 0–1). Anchors and target lines  km/s,  GPa overlay both panels.</w:t>
      </w:r>
    </w:p>
    <w:bookmarkEnd w:id="18"/>
    <w:bookmarkStart w:id="27" w:name="sec-related"/>
    <w:p>
      <w:pPr>
        <w:pStyle w:val="Heading2"/>
        <w:keepNext/>
        <w:keepLines/>
        <w:widowControl w:val="1"/>
      </w:pPr>
      <w:r>
        <w:t xml:space="preserve">2. Related work</w:t>
      </w:r>
    </w:p>
    <w:p>
      <w:pPr>
        <w:pStyle w:val="FirstParagraph"/>
        <w:jc w:val="both"/>
        <w:keepNext w:val="0"/>
        <w:keepLines w:val="0"/>
        <w:widowControl w:val="1"/>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(CFG),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bookmarkStart w:id="19" w:name="molecular-generative-models"/>
    <w:p>
      <w:pPr>
        <w:pStyle w:val="Heading3"/>
        <w:keepNext/>
        <w:keepLines/>
        <w:widowControl w:val="1"/>
      </w:pPr>
      <w:r>
        <w:t xml:space="preserve">2.1 Molecular generative models</w:t>
      </w:r>
    </w:p>
    <w:p>
      <w:pPr>
        <w:pStyle w:val="FirstParagraph"/>
        <w:jc w:val="both"/>
        <w:keepNext w:val="0"/>
        <w:keepLines w:val="0"/>
        <w:widowControl w:val="1"/>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[5]</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[6]</w:t>
        </w:r>
      </w:hyperlink>
      <w:r>
        <w:t xml:space="preserve"> </w:t>
      </w:r>
      <w:r>
        <w:t xml:space="preserve">moved the latent up to fragment graphs to guarantee chemical validity; CDDD</w:t>
      </w:r>
      <w:r>
        <w:t xml:space="preserve"> </w:t>
      </w:r>
      <w:hyperlink w:anchor="ref-winter2019cddd">
        <w:r>
          <w:rPr>
            <w:rStyle w:val="Hyperlink"/>
          </w:rPr>
          <w:t xml:space="preserve">[7]</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[8]</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[9]</w:t>
        </w:r>
      </w:hyperlink>
      <w:r>
        <w:t xml:space="preserve"> </w:t>
      </w:r>
      <w:r>
        <w:t xml:space="preserve">replaced SMILES with a syntactically robust string representation in which every token sequence decodes to a valid graph, and is the representation we adopt at the encoder boundary.</w:t>
      </w:r>
    </w:p>
    <w:p>
      <w:pPr>
        <w:pStyle w:val="BodyText"/>
        <w:jc w:val="both"/>
        <w:keepNext w:val="0"/>
        <w:keepLines w:val="0"/>
        <w:widowControl w:val="1"/>
      </w:pPr>
      <w:r>
        <w:t xml:space="preserve">Two more recent latent generators are particularly relevant to DGLD. LIMO</w:t>
      </w:r>
      <w:r>
        <w:t xml:space="preserve"> </w:t>
      </w:r>
      <w:hyperlink w:anchor="ref-eckmann2022limo">
        <w:r>
          <w:rPr>
            <w:rStyle w:val="Hyperlink"/>
          </w:rPr>
          <w:t xml:space="preserve">[10]</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[11]</w:t>
        </w:r>
      </w:hyperlink>
      <w:r>
        <w:t xml:space="preserve"> </w:t>
      </w:r>
      <w:r>
        <w:t xml:space="preserve">trains a Perceiver-encoder</w:t>
      </w:r>
      <w:r>
        <w:t xml:space="preserve"> </w:t>
      </w:r>
      <w:hyperlink w:anchor="ref-jaegle2021perceiver">
        <w:r>
          <w:rPr>
            <w:rStyle w:val="Hyperlink"/>
          </w:rPr>
          <w:t xml:space="preserve">[12]</w:t>
        </w:r>
      </w:hyperlink>
      <w:r>
        <w:t xml:space="preserve"> </w:t>
      </w:r>
      <w:r>
        <w:t xml:space="preserve">mutual-information VAE on billion-scale SMILES and provides a strong no-diffusion baseline against which our latent-diffusion prior is compared.</w:t>
      </w:r>
    </w:p>
    <w:p>
      <w:pPr>
        <w:pStyle w:val="BodyText"/>
        <w:jc w:val="both"/>
        <w:keepNext w:val="0"/>
        <w:keepLines w:val="0"/>
        <w:widowControl w:val="1"/>
      </w:pPr>
      <w:r>
        <w:t xml:space="preserve">Language-modelling approaches treat SMILES directly as a string. REINVENT</w:t>
      </w:r>
      <w:r>
        <w:t xml:space="preserve"> </w:t>
      </w:r>
      <w:hyperlink w:anchor="ref-olivecrona2017reinvent">
        <w:r>
          <w:rPr>
            <w:rStyle w:val="Hyperlink"/>
          </w:rPr>
          <w:t xml:space="preserve">[13]</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[14]</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[15]</w:t>
        </w:r>
      </w:hyperlink>
      <w:r>
        <w:t xml:space="preserve"> </w:t>
      </w:r>
      <w:r>
        <w:t xml:space="preserve">combined an RNN prior with Monte-Carlo tree search; MolGPT</w:t>
      </w:r>
      <w:r>
        <w:t xml:space="preserve"> </w:t>
      </w:r>
      <w:hyperlink w:anchor="ref-bagal2022molgpt">
        <w:r>
          <w:rPr>
            <w:rStyle w:val="Hyperlink"/>
          </w:rPr>
          <w:t xml:space="preserve">[16]</w:t>
        </w:r>
      </w:hyperlink>
      <w:r>
        <w:t xml:space="preserve"> </w:t>
      </w:r>
      <w:r>
        <w:t xml:space="preserve">applied a GPT-style decoder with property tokens prepended for control. MoLFormer-XL</w:t>
      </w:r>
      <w:r>
        <w:t xml:space="preserve"> </w:t>
      </w:r>
      <w:hyperlink w:anchor="ref-ross2022molformer">
        <w:r>
          <w:rPr>
            <w:rStyle w:val="Hyperlink"/>
          </w:rPr>
          <w:t xml:space="preserve">[17]</w:t>
        </w:r>
      </w:hyperlink>
      <w:r>
        <w:t xml:space="preserve"> </w:t>
      </w:r>
      <w:r>
        <w:t xml:space="preserve">and Chemformer</w:t>
      </w:r>
      <w:r>
        <w:t xml:space="preserve"> </w:t>
      </w:r>
      <w:hyperlink w:anchor="ref-irwin2022chemformer">
        <w:r>
          <w:rPr>
            <w:rStyle w:val="Hyperlink"/>
          </w:rPr>
          <w:t xml:space="preserve">[18]</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[19]</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[20]</w:t>
        </w:r>
      </w:hyperlink>
      <w:r>
        <w:t xml:space="preserve"> </w:t>
      </w:r>
      <w:r>
        <w:t xml:space="preserve">performs discrete denoising diffusion directly on molecular graphs, achieving exact validity at the cost of having to re-introduce property conditioning via a separate guidance term.</w:t>
      </w:r>
    </w:p>
    <w:bookmarkEnd w:id="19"/>
    <w:bookmarkStart w:id="20" w:name="diffusion-models-and-classifier-guidance"/>
    <w:p>
      <w:pPr>
        <w:pStyle w:val="Heading3"/>
        <w:keepNext/>
        <w:keepLines/>
        <w:widowControl w:val="1"/>
      </w:pPr>
      <w:r>
        <w:t xml:space="preserve">2.2 Diffusion models and classifier guidance</w:t>
      </w:r>
    </w:p>
    <w:p>
      <w:pPr>
        <w:pStyle w:val="FirstParagraph"/>
        <w:jc w:val="both"/>
        <w:keepNext w:val="0"/>
        <w:keepLines w:val="0"/>
        <w:widowControl w:val="1"/>
      </w:pPr>
      <w:r>
        <w:t xml:space="preserve">Denoising diffusion probabilistic models</w:t>
      </w:r>
      <w:r>
        <w:t xml:space="preserve"> </w:t>
      </w:r>
      <w:hyperlink w:anchor="ref-ho2020ddpm">
        <w:r>
          <w:rPr>
            <w:rStyle w:val="Hyperlink"/>
          </w:rPr>
          <w:t xml:space="preserve">[21]</w:t>
        </w:r>
      </w:hyperlink>
      <w:r>
        <w:t xml:space="preserve"> </w:t>
      </w:r>
      <w:r>
        <w:t xml:space="preserve">and the score-based formulation of Song and Ermon</w:t>
      </w:r>
      <w:r>
        <w:t xml:space="preserve"> </w:t>
      </w:r>
      <w:hyperlink w:anchor="ref-song2019score">
        <w:r>
          <w:rPr>
            <w:rStyle w:val="Hyperlink"/>
          </w:rPr>
          <w:t xml:space="preserve">[22]</w:t>
        </w:r>
      </w:hyperlink>
      <w:r>
        <w:t xml:space="preserve">, later unified through a stochastic-differential-equation perspective</w:t>
      </w:r>
      <w:r>
        <w:t xml:space="preserve"> </w:t>
      </w:r>
      <w:hyperlink w:anchor="ref-song2021sde">
        <w:r>
          <w:rPr>
            <w:rStyle w:val="Hyperlink"/>
          </w:rPr>
          <w:t xml:space="preserve">[23]</w:t>
        </w:r>
      </w:hyperlink>
      <w:r>
        <w:t xml:space="preserve">, define the generative-modelling family that DGLD builds on. Latent diffusion</w:t>
      </w:r>
      <w:r>
        <w:t xml:space="preserve"> </w:t>
      </w:r>
      <w:hyperlink w:anchor="ref-rombach2022ldm">
        <w:r>
          <w:rPr>
            <w:rStyle w:val="Hyperlink"/>
          </w:rPr>
          <w:t xml:space="preserve">[24]</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BodyText"/>
        <w:jc w:val="both"/>
        <w:keepNext w:val="0"/>
        <w:keepLines w:val="0"/>
        <w:widowControl w:val="1"/>
      </w:pPr>
      <w:r>
        <w:t xml:space="preserve">For property control we adopt the classifier-free guidance scheme of Ho and Salimans</w:t>
      </w:r>
      <w:r>
        <w:t xml:space="preserve"> </w:t>
      </w:r>
      <w:hyperlink w:anchor="ref-ho2022cfg">
        <w:r>
          <w:rPr>
            <w:rStyle w:val="Hyperlink"/>
          </w:rPr>
          <w:t xml:space="preserve">[4]</w:t>
        </w:r>
      </w:hyperlink>
      <w:r>
        <w:t xml:space="preserve">, in which a single denoiser is trained jointly with and without the conditioning signal and the conditioning gradient is reconstructed at sample time: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[25]</w:t>
        </w:r>
      </w:hyperlink>
      <w:r>
        <w:t xml:space="preserve">. DGLD combines both regimes: classifier-free guidance over the four detonation targets, plus a small noise-conditional multi-task score model whose per-head gradients are added at every diffusion step (§4.7). Conditioning is injected into the residual blocks of the denoiser through FiLM-style affine feature-wise modulation</w:t>
      </w:r>
      <w:r>
        <w:t xml:space="preserve"> </w:t>
      </w:r>
      <w:hyperlink w:anchor="ref-perez2018film">
        <w:r>
          <w:rPr>
            <w:rStyle w:val="Hyperlink"/>
          </w:rPr>
          <w:t xml:space="preserve">[26]</w:t>
        </w:r>
      </w:hyperlink>
      <w:r>
        <w:t xml:space="preserve">, the standard mechanism for property conditioning in image and molecular diffusion alike.</w:t>
      </w:r>
    </w:p>
    <w:bookmarkEnd w:id="20"/>
    <w:bookmarkStart w:id="21" w:name="Xaaa6a6c935439175241fce54c7f3e04ea7a4ca1"/>
    <w:p>
      <w:pPr>
        <w:pStyle w:val="Heading3"/>
        <w:keepNext/>
        <w:keepLines/>
        <w:widowControl w:val="1"/>
      </w:pPr>
      <w:r>
        <w:t xml:space="preserve">2.3 3D and target-conditioned molecular diffusion</w:t>
      </w:r>
    </w:p>
    <w:p>
      <w:pPr>
        <w:pStyle w:val="FirstParagraph"/>
        <w:jc w:val="both"/>
        <w:keepNext w:val="0"/>
        <w:keepLines w:val="0"/>
        <w:widowControl w:val="1"/>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[27]</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[28]</w:t>
        </w:r>
      </w:hyperlink>
      <w:r>
        <w:t xml:space="preserve"> </w:t>
      </w:r>
      <w:r>
        <w:t xml:space="preserve">and TargetDiff</w:t>
      </w:r>
      <w:r>
        <w:t xml:space="preserve"> </w:t>
      </w:r>
      <w:hyperlink w:anchor="ref-guan2023targetdiff">
        <w:r>
          <w:rPr>
            <w:rStyle w:val="Hyperlink"/>
          </w:rPr>
          <w:t xml:space="preserve">[29]</w:t>
        </w:r>
      </w:hyperlink>
      <w:r>
        <w:t xml:space="preserve"> </w:t>
      </w:r>
      <w:r>
        <w:t xml:space="preserve">condition the diffusion process on a 3D protein pocket; Pocket2Mol</w:t>
      </w:r>
      <w:r>
        <w:t xml:space="preserve"> </w:t>
      </w:r>
      <w:hyperlink w:anchor="ref-peng2022pocket2mol">
        <w:r>
          <w:rPr>
            <w:rStyle w:val="Hyperlink"/>
          </w:rPr>
          <w:t xml:space="preserve">[30]</w:t>
        </w:r>
      </w:hyperlink>
      <w:r>
        <w:t xml:space="preserve"> </w:t>
      </w:r>
      <w:r>
        <w:t xml:space="preserve">samples atoms autoregressively inside the pocket; DiffDock</w:t>
      </w:r>
      <w:r>
        <w:t xml:space="preserve"> </w:t>
      </w:r>
      <w:hyperlink w:anchor="ref-corso2023diffdock">
        <w:r>
          <w:rPr>
            <w:rStyle w:val="Hyperlink"/>
          </w:rPr>
          <w:t xml:space="preserve">[31]</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[32]</w:t>
        </w:r>
      </w:hyperlink>
      <w:r>
        <w:t xml:space="preserve"> </w:t>
      </w:r>
      <w:r>
        <w:t xml:space="preserve">addresses the atom-bond inconsistency that arises when atom positions and bond types are diffused independently.</w:t>
      </w:r>
    </w:p>
    <w:p>
      <w:pPr>
        <w:pStyle w:val="BodyText"/>
        <w:jc w:val="both"/>
        <w:keepNext w:val="0"/>
        <w:keepLines w:val="0"/>
        <w:widowControl w:val="1"/>
      </w:pPr>
      <w:r>
        <w:t xml:space="preserve">GeoLDM (Xu et al.</w:t>
      </w:r>
      <w:r>
        <w:t xml:space="preserve"> </w:t>
      </w:r>
      <w:hyperlink w:anchor="ref-xu2023geoldm">
        <w:r>
          <w:rPr>
            <w:rStyle w:val="Hyperlink"/>
          </w:rPr>
          <w:t xml:space="preserve">[33]</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BodyText"/>
        <w:jc w:val="both"/>
        <w:keepNext w:val="0"/>
        <w:keepLines w:val="0"/>
        <w:widowControl w:val="1"/>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§4.</w:t>
      </w:r>
    </w:p>
    <w:bookmarkEnd w:id="21"/>
    <w:bookmarkStart w:id="22" w:name="energetic-materials-property-prediction"/>
    <w:p>
      <w:pPr>
        <w:pStyle w:val="Heading3"/>
        <w:keepNext/>
        <w:keepLines/>
        <w:widowControl w:val="1"/>
      </w:pPr>
      <w:r>
        <w:t xml:space="preserve">2.4 Energetic-materials property prediction</w:t>
      </w:r>
    </w:p>
    <w:p>
      <w:pPr>
        <w:pStyle w:val="FirstParagraph"/>
        <w:jc w:val="both"/>
        <w:keepNext w:val="0"/>
        <w:keepLines w:val="0"/>
        <w:widowControl w:val="1"/>
      </w:pPr>
      <w:r>
        <w:t xml:space="preserve">The Kamlet–Jacobs equations</w:t>
      </w:r>
      <w:r>
        <w:t xml:space="preserve"> </w:t>
      </w:r>
      <w:hyperlink w:anchor="ref-kamlet1968detonation">
        <w:r>
          <w:rPr>
            <w:rStyle w:val="Hyperlink"/>
          </w:rPr>
          <w:t xml:space="preserve">[1]</w:t>
        </w:r>
      </w:hyperlink>
      <w:r>
        <w:t xml:space="preserve"> </w:t>
      </w:r>
      <w:r>
        <w:t xml:space="preserve">remain the closed-form workhorse for fast detonation-property estimates of CHNO explosives and supply our Tier C labels; they are regime-limited and under-predict in the high-nitrogen tail (§5.3, Appendix C). Casey et al.</w:t>
      </w:r>
      <w:r>
        <w:t xml:space="preserve"> </w:t>
      </w:r>
      <w:hyperlink w:anchor="ref-casey2020prediction">
        <w:r>
          <w:rPr>
            <w:rStyle w:val="Hyperlink"/>
          </w:rPr>
          <w:t xml:space="preserve">[2]</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[3]</w:t>
        </w:r>
      </w:hyperlink>
      <w:r>
        <w:t xml:space="preserve"> </w:t>
      </w:r>
      <w:r>
        <w:t xml:space="preserve">provides a 3D pre-training backbone whose representations transfer to organic property prediction and which the smoke-model ensemble (our in-house Uni-Mol detonation-property regression ensemble) draws on. Elton et al.</w:t>
      </w:r>
      <w:r>
        <w:t xml:space="preserve"> </w:t>
      </w:r>
      <w:hyperlink w:anchor="ref-elton2018applying">
        <w:r>
          <w:rPr>
            <w:rStyle w:val="Hyperlink"/>
          </w:rPr>
          <w:t xml:space="preserve">[34]</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§5.3,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[35]</w:t>
        </w:r>
      </w:hyperlink>
      <w:r>
        <w:t xml:space="preserve"> </w:t>
      </w:r>
      <w:r>
        <w:t xml:space="preserve">develop the bond-dissociation-energy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[36]</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[37]</w:t>
        </w:r>
      </w:hyperlink>
      <w:r>
        <w:t xml:space="preserve"> </w:t>
      </w:r>
      <w:r>
        <w:t xml:space="preserve">and Cheetah</w:t>
      </w:r>
      <w:r>
        <w:t xml:space="preserve"> </w:t>
      </w:r>
      <w:hyperlink w:anchor="ref-fried2014cheetah">
        <w:r>
          <w:rPr>
            <w:rStyle w:val="Hyperlink"/>
          </w:rPr>
          <w:t xml:space="preserve">[38]</w:t>
        </w:r>
      </w:hyperlink>
      <w:r>
        <w:t xml:space="preserve"> </w:t>
      </w:r>
      <w:r>
        <w:t xml:space="preserve">replace the closed-form K-J step with a thermochemical-equilibrium Chapman–Jouguet solver and a covolume equation of state (EOS), and remain the absolute-value-grade reference; we use K-J as the closed-form approximation and acknowledge the absolute-value gap explicitly (§5.3). The recent Choi et al. review</w:t>
      </w:r>
      <w:r>
        <w:t xml:space="preserve"> </w:t>
      </w:r>
      <w:hyperlink w:anchor="ref-choi2023prep">
        <w:r>
          <w:rPr>
            <w:rStyle w:val="Hyperlink"/>
          </w:rPr>
          <w:t xml:space="preserve">[39]</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[40]</w:t>
        </w:r>
      </w:hyperlink>
      <w:r>
        <w:t xml:space="preserve">) are complementary to our gas-phase Bondi-vdW</w:t>
      </w:r>
      <w:r>
        <w:t xml:space="preserve"> </w:t>
      </w:r>
      <w:hyperlink w:anchor="ref-bondi1964vdw">
        <w:r>
          <w:rPr>
            <w:rStyle w:val="Hyperlink"/>
          </w:rPr>
          <w:t xml:space="preserve">[00]</w:t>
        </w:r>
      </w:hyperlink>
      <w:r>
        <w:t xml:space="preserve"> </w:t>
      </w:r>
      <w:r>
        <w:t xml:space="preserve">+ 6-anchor-calibration recipe and would substitute cleanly for it once retrained on a polynitro-enriched corpus.</w:t>
      </w:r>
    </w:p>
    <w:p>
      <w:pPr>
        <w:pStyle w:val="BodyText"/>
        <w:jc w:val="both"/>
        <w:keepNext w:val="0"/>
        <w:keepLines w:val="0"/>
        <w:widowControl w:val="1"/>
      </w:pPr>
      <w:r>
        <w:t xml:space="preserve">Sensitivity prediction is the harder discriminative half of the field. Nefati, Cense and Legendre</w:t>
      </w:r>
      <w:r>
        <w:t xml:space="preserve"> </w:t>
      </w:r>
      <w:hyperlink w:anchor="ref-nefati1996ann">
        <w:r>
          <w:rPr>
            <w:rStyle w:val="Hyperlink"/>
          </w:rPr>
          <w:t xml:space="preserve">[41]</w:t>
        </w:r>
      </w:hyperlink>
      <w:r>
        <w:t xml:space="preserve"> </w:t>
      </w:r>
      <w:r>
        <w:t xml:space="preserve">trained an early neural network on impact-sensitivity data; Mathieu</w:t>
      </w:r>
      <w:r>
        <w:t xml:space="preserve"> </w:t>
      </w:r>
      <w:hyperlink w:anchor="ref-mathieu2017sensitivity">
        <w:r>
          <w:rPr>
            <w:rStyle w:val="Hyperlink"/>
          </w:rPr>
          <w:t xml:space="preserve">[36]</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[42]</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[43]</w:t>
        </w:r>
      </w:hyperlink>
      <w:r>
        <w:t xml:space="preserve"> </w:t>
      </w:r>
      <w:r>
        <w:t xml:space="preserve">codifies the qualitative fragment priors (nitrogen-rich heterocycles, nitramines, azides) on which our motif-augmented training set is built.</w:t>
      </w:r>
    </w:p>
    <w:bookmarkEnd w:id="22"/>
    <w:bookmarkStart w:id="23" w:name="Xf2a246244957b11ded72cbdb4c090764e9ab57e"/>
    <w:p>
      <w:pPr>
        <w:pStyle w:val="Heading3"/>
        <w:keepNext/>
        <w:keepLines/>
        <w:widowControl w:val="1"/>
      </w:pPr>
      <w:r>
        <w:t xml:space="preserve">2.5 Energetic-materials generative ML and synthesisability</w:t>
      </w:r>
    </w:p>
    <w:p>
      <w:pPr>
        <w:pStyle w:val="FirstParagraph"/>
        <w:jc w:val="both"/>
        <w:keepNext w:val="0"/>
        <w:keepLines w:val="0"/>
        <w:widowControl w:val="1"/>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[44]</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[42]</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§3 and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[45]</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§3.1, which keeps the ~47k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§4.10. Where the two papers agree is on the headline finding that energetic-materials generation requires post-decode physics validation; where they differ is on whether the prior should be tilted toward the high-tail before that validation runs.</w:t>
      </w:r>
    </w:p>
    <w:bookmarkEnd w:id="23"/>
    <w:bookmarkStart w:id="24" w:name="general-purpose-property-predictors"/>
    <w:p>
      <w:pPr>
        <w:pStyle w:val="Heading3"/>
        <w:keepNext/>
        <w:keepLines/>
        <w:widowControl w:val="1"/>
      </w:pPr>
      <w:r>
        <w:t xml:space="preserve">2.6 General-purpose property predictors</w:t>
      </w:r>
    </w:p>
    <w:p>
      <w:pPr>
        <w:pStyle w:val="FirstParagraph"/>
        <w:jc w:val="both"/>
        <w:keepNext w:val="0"/>
        <w:keepLines w:val="0"/>
        <w:widowControl w:val="1"/>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[46]</w:t>
        </w:r>
      </w:hyperlink>
      <w:r>
        <w:t xml:space="preserve"> </w:t>
      </w:r>
      <w:r>
        <w:t xml:space="preserve">remains a strong message-passing-graph default; SchNet</w:t>
      </w:r>
      <w:r>
        <w:t xml:space="preserve"> </w:t>
      </w:r>
      <w:hyperlink w:anchor="ref-schutt2018schnet">
        <w:r>
          <w:rPr>
            <w:rStyle w:val="Hyperlink"/>
          </w:rPr>
          <w:t xml:space="preserve">[47]</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[48]</w:t>
        </w:r>
      </w:hyperlink>
      <w:r>
        <w:t xml:space="preserve"> </w:t>
      </w:r>
      <w:r>
        <w:t xml:space="preserve">uses symmetry-adapted atomic-orbital features to predict quantum-chemical observables at semi-empirical cost. We do not use these networks directly: the smoke-model Uni-Mol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bookmarkEnd w:id="24"/>
    <w:bookmarkStart w:id="25" w:name="Xf635a234434295431564ab7682b3b5171ad0147"/>
    <w:p>
      <w:pPr>
        <w:pStyle w:val="Heading3"/>
        <w:keepNext/>
        <w:keepLines/>
        <w:widowControl w:val="1"/>
      </w:pPr>
      <w:r>
        <w:t xml:space="preserve">2.7 Distribution-learning benchmarks and synthesisability metrics</w:t>
      </w:r>
    </w:p>
    <w:p>
      <w:pPr>
        <w:pStyle w:val="FirstParagraph"/>
        <w:jc w:val="both"/>
        <w:keepNext w:val="0"/>
        <w:keepLines w:val="0"/>
        <w:widowControl w:val="1"/>
      </w:pPr>
      <w:r>
        <w:t xml:space="preserve">The MOSES</w:t>
      </w:r>
      <w:r>
        <w:t xml:space="preserve"> </w:t>
      </w:r>
      <w:hyperlink w:anchor="ref-polykovskiy2020moses">
        <w:r>
          <w:rPr>
            <w:rStyle w:val="Hyperlink"/>
          </w:rPr>
          <w:t xml:space="preserve">[49]</w:t>
        </w:r>
      </w:hyperlink>
      <w:r>
        <w:t xml:space="preserve"> </w:t>
      </w:r>
      <w:r>
        <w:t xml:space="preserve">and GuacaMol</w:t>
      </w:r>
      <w:r>
        <w:t xml:space="preserve"> </w:t>
      </w:r>
      <w:hyperlink w:anchor="ref-brown2019guacamol">
        <w:r>
          <w:rPr>
            <w:rStyle w:val="Hyperlink"/>
          </w:rPr>
          <w:t xml:space="preserve">[50]</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[51]</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[52]</w:t>
        </w:r>
      </w:hyperlink>
      <w:r>
        <w:t xml:space="preserve">, with its enumerated GDB-13 and GDB-17 reference sets, bounds how much of small-molecule space remains untouched by generative models and contextualises any novelty claim. We adopt MOSES-style metrics in Appendix D.11 and treat FCD as a chemistry-class-transfer signal rather than a within-domain quality metric, since the ChemNet feature extractor is trained on drug-like ZINC</w:t>
      </w:r>
      <w:r>
        <w:t xml:space="preserve"> </w:t>
      </w:r>
      <w:hyperlink w:anchor="ref-sterling2015zinc">
        <w:r>
          <w:rPr>
            <w:rStyle w:val="Hyperlink"/>
          </w:rPr>
          <w:t xml:space="preserve">[00]</w:t>
        </w:r>
      </w:hyperlink>
      <w:r>
        <w:t xml:space="preserve">+PubChem chemistry.</w:t>
      </w:r>
    </w:p>
    <w:p>
      <w:pPr>
        <w:pStyle w:val="BodyText"/>
        <w:jc w:val="both"/>
        <w:keepNext w:val="0"/>
        <w:keepLines w:val="0"/>
        <w:widowControl w:val="1"/>
      </w:pPr>
      <w:r>
        <w:t xml:space="preserve">Synthesisability is a separate concern. The SA score of Ertl and Schuffenhauer</w:t>
      </w:r>
      <w:r>
        <w:t xml:space="preserve"> </w:t>
      </w:r>
      <w:hyperlink w:anchor="ref-ertl2009sa">
        <w:r>
          <w:rPr>
            <w:rStyle w:val="Hyperlink"/>
          </w:rPr>
          <w:t xml:space="preserve">[53]</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[54]</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[55]</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bookmarkEnd w:id="25"/>
    <w:bookmarkStart w:id="26" w:name="validation-tooling"/>
    <w:p>
      <w:pPr>
        <w:pStyle w:val="Heading3"/>
        <w:keepNext/>
        <w:keepLines/>
        <w:widowControl w:val="1"/>
      </w:pPr>
      <w:r>
        <w:t xml:space="preserve">2.8 Validation tooling</w:t>
      </w:r>
    </w:p>
    <w:p>
      <w:pPr>
        <w:pStyle w:val="FirstParagraph"/>
        <w:jc w:val="both"/>
        <w:keepNext w:val="0"/>
        <w:keepLines w:val="0"/>
        <w:widowControl w:val="1"/>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[56]</w:t>
        </w:r>
      </w:hyperlink>
      <w:r>
        <w:t xml:space="preserve"> </w:t>
      </w:r>
      <w:r>
        <w:t xml:space="preserve">is the semi-empirical tight-binding method we use for sample-time HOMO–LUMO gap triage on top leads (§5.3, §C.12); it runs in seconds per molecule on CPU, is well-calibrated for organic CHNO, and provides a stability proxy that is independent of the Uni-Mol surrogate's training distribution. The gpu4pyscf bindings on top of the PySCF framework</w:t>
      </w:r>
      <w:r>
        <w:t xml:space="preserve"> </w:t>
      </w:r>
      <w:hyperlink w:anchor="ref-sun2020pyscf">
        <w:r>
          <w:rPr>
            <w:rStyle w:val="Hyperlink"/>
          </w:rPr>
          <w:t xml:space="preserve">[57]</w:t>
        </w:r>
      </w:hyperlink>
      <w:r>
        <w:t xml:space="preserve"> </w:t>
      </w:r>
      <w:r>
        <w:t xml:space="preserve">supply our DFT pipeline (§5.3, Appendix C).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[58]</w:t>
        </w:r>
      </w:hyperlink>
      <w:r>
        <w:t xml:space="preserve"> </w:t>
      </w:r>
      <w:r>
        <w:t xml:space="preserve">performs the retrosynthetic plausibility check of §5.4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[59]</w:t>
        </w:r>
      </w:hyperlink>
      <w:r>
        <w:t xml:space="preserve">, which evaluates the density-functional zoo over a broad cross-section of main-group thermochemistry, kinetics and noncovalent interactions and grounds our choice of functional and basis.</w:t>
      </w:r>
    </w:p>
    <w:bookmarkEnd w:id="26"/>
    <w:bookmarkEnd w:id="27"/>
    <w:bookmarkStart w:id="40" w:name="sec-data"/>
    <w:p>
      <w:pPr>
        <w:pStyle w:val="Heading2"/>
        <w:keepNext/>
        <w:keepLines/>
        <w:widowControl w:val="1"/>
      </w:pPr>
      <w:r>
        <w:t xml:space="preserve">3. Dataset</w:t>
      </w:r>
    </w:p>
    <w:p>
      <w:pPr>
        <w:pStyle w:val="FirstParagraph"/>
        <w:jc w:val="both"/>
        <w:keepNext w:val="0"/>
        <w:keepLines w:val="0"/>
        <w:widowControl w:val="1"/>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Uni-Mol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§3.1.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Appendix A.1 / D. Joint property distributions and per-property histograms over the labelled corpus are shown in Figs 3 and 4; the label-tier composition (Fig 5) sits alongside the four-tier table in §3.1; atom-composition statistics over a 30k subsample are shown in Fig A.1.</w:t>
      </w:r>
    </w:p>
    <w:p>
      <w:pPr>
        <w:pStyle w:val="BodyText"/>
        <w:jc w:val="center"/>
        <w:keepNext/>
        <w:keepLines/>
        <w:widowControl w:val="1"/>
      </w:pPr>
      <w:r>
        <w:drawing>
          <wp:inline>
            <wp:extent cx="5943600" cy="4245959"/>
            <wp:effectExtent b="0" l="0" r="0" t="0"/>
            <wp:docPr descr="Density vs detonation velocity scatter" title="" id="29" name="Picture"/>
            <a:graphic>
              <a:graphicData uri="http://schemas.openxmlformats.org/drawingml/2006/picture">
                <pic:pic>
                  <pic:nvPicPr>
                    <pic:cNvPr descr="figs/fig_eda_density_vs_velocity.png" id="30" name="Picture"/>
                    <pic:cNvPicPr>
                      <a:picLocks noChangeArrowheads="1" noChangeAspect="1"/>
                    </pic:cNvPicPr>
                  </pic:nvPicPr>
                  <pic:blipFill>
                    <a:blip r:embed="rId28"/>
                    <a:stretch>
                      <a:fillRect/>
                    </a:stretch>
                  </pic:blipFill>
                  <pic:spPr bwMode="auto">
                    <a:xfrm>
                      <a:off x="0" y="0"/>
                      <a:ext cx="5943600" cy="424595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r>
          <m:rPr>
            <m:sty m:val="p"/>
          </m:rPr>
          <m:t>&lt;</m:t>
        </m:r>
        <m:r>
          <m:t>1.85</m:t>
        </m:r>
      </m:oMath>
      <m:oMath>
        <m:r>
          <m:t>D</m:t>
        </m:r>
        <m:r>
          <m:rPr>
            <m:sty m:val="p"/>
          </m:rPr>
          <m:t>&lt;</m:t>
        </m:r>
        <m:r>
          <m:t>8.5</m:t>
        </m:r>
      </m:oMath>
      <m:oMath>
        <m:r>
          <m:t>D</m:t>
        </m:r>
        <m:r>
          <m:rPr>
            <m:sty m:val="p"/>
          </m:rPr>
          <m:t>=</m:t>
        </m:r>
        <m:r>
          <m:t>9</m:t>
        </m:r>
      </m:oMath>
      <w:r>
        <w:rPr>
          <w:b/>
          <w:i/>
        </w:rPr>
        <w:t>Figure 3.</w:t>
      </w:r>
      <w:r>
        <w:rPr>
          <w:b w:val="0"/>
          <w:i/>
        </w:rPr>
        <w:t xml:space="preserve"> </w:t>
      </w:r>
      <w:r>
        <w:rPr>
          <w:b w:val="0"/>
          <w:i/>
        </w:rPr>
        <w:t>Properties of the labelled corpus. Joint distribution of density and detonation velocity, with literature anchors overlaid. The bulk of the labelled distribution sits at ,  km/s; the high-tail above  km/s contains only a handful of compounds (CL-20, HMX, RDX-class). Generation must extrapolate into this tail.</w:t>
      </w:r>
    </w:p>
    <w:p>
      <w:pPr>
        <w:pStyle w:val="BodyText"/>
        <w:jc w:val="center"/>
        <w:keepNext/>
        <w:keepLines/>
        <w:widowControl w:val="1"/>
      </w:pPr>
      <w:r>
        <w:drawing>
          <wp:inline>
            <wp:extent cx="5943600" cy="4067651"/>
            <wp:effectExtent b="0" l="0" r="0" t="0"/>
            <wp:docPr descr="Property histograms" title="" id="32" name="Picture"/>
            <a:graphic>
              <a:graphicData uri="http://schemas.openxmlformats.org/drawingml/2006/picture">
                <pic:pic>
                  <pic:nvPicPr>
                    <pic:cNvPr descr="figs/fig_eda_property_hists.png" id="33" name="Picture"/>
                    <pic:cNvPicPr>
                      <a:picLocks noChangeArrowheads="1" noChangeAspect="1"/>
                    </pic:cNvPicPr>
                  </pic:nvPicPr>
                  <pic:blipFill>
                    <a:blip r:embed="rId31"/>
                    <a:stretch>
                      <a:fillRect/>
                    </a:stretch>
                  </pic:blipFill>
                  <pic:spPr bwMode="auto">
                    <a:xfrm>
                      <a:off x="0" y="0"/>
                      <a:ext cx="5943600" cy="40676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Per-property histograms over the labelled corpus. Density and detonation velocity are sharply peaked; HOF has a heavy tail that the high-tail-oversampling recipe (§3.3) is designed to amplify during conditioning.</w:t>
      </w:r>
    </w:p>
    <w:bookmarkStart w:id="37" w:name="four-tier-label-hierarchy"/>
    <w:p>
      <w:pPr>
        <w:pStyle w:val="Heading3"/>
        <w:keepNext/>
        <w:keepLines/>
        <w:widowControl w:val="1"/>
      </w:pPr>
      <w:r>
        <w:t xml:space="preserve">3.1 Four-tier label hierarchy</w:t>
      </w:r>
    </w:p>
    <w:p>
      <w:pPr>
        <w:pStyle w:val="FirstParagraph"/>
        <w:jc w:val="both"/>
        <w:keepNext w:val="0"/>
        <w:keepLines w:val="0"/>
        <w:widowControl w:val="1"/>
      </w:pPr>
      <w:r>
        <w:t xml:space="preserve">Available property labels in the energetic-materials literature span four orders of reliability, from a small core of experimental measurements to a large majority of model-derived estimates. Concatenating all tiers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(§4.3). Each label per row carries one of the following tiers:</w:t>
      </w:r>
    </w:p>
    <w:p>
      <w:pPr>
        <w:pStyle w:val="BodyText"/>
        <w:jc w:val="center"/>
        <w:keepNext/>
        <w:keepLines/>
        <w:widowControl w:val="1"/>
      </w:pPr>
      <w:r>
        <w:drawing>
          <wp:inline>
            <wp:extent cx="5943600" cy="3714750"/>
            <wp:effectExtent b="0" l="0" r="0" t="0"/>
            <wp:docPr descr="Tier composition pies" title="" id="35" name="Picture"/>
            <a:graphic>
              <a:graphicData uri="http://schemas.openxmlformats.org/drawingml/2006/picture">
                <pic:pic>
                  <pic:nvPicPr>
                    <pic:cNvPr descr="figs/fig_eda_tier_composition.png" id="36" name="Picture"/>
                    <pic:cNvPicPr>
                      <a:picLocks noChangeArrowheads="1" noChangeAspect="1"/>
                    </pic:cNvPicPr>
                  </pic:nvPicPr>
                  <pic:blipFill>
                    <a:blip r:embed="rId34"/>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Label-tier composition by property (tiers defined in Table 1 below): experimental Tier-A and DFT-derived Tier-B labels are present for only a small fraction of rows on each axis, while Kamlet–Jacobs Tier-C and Uni-Mol Tier-D labels dominate by volume. Trust-gating decouples corpus volume from conditional-signal quality.</w:t>
      </w:r>
    </w:p>
    <w:p>
      <w:pPr>
        <w:pStyle w:val="TableCaption"/>
        <w:spacing w:before="280" w:after="60" w:line="240" w:lineRule="auto"/>
        <w:jc w:val="center"/>
        <w:keepNext/>
        <w:keepLines/>
        <w:widowControl w:val="1"/>
      </w:pPr>
      <m:oMath>
        <m:r>
          <m:t>D</m:t>
        </m:r>
      </m:oMath>
      <m:oMath>
        <m:r>
          <m:t>P</m:t>
        </m:r>
      </m:oMath>
      <w:r>
        <w:rPr>
          <w:b/>
          <w:i/>
        </w:rPr>
        <w:t>Table 1.</w:t>
      </w:r>
      <w:r>
        <w:rPr>
          <w:b w:val="0"/>
          <w:i/>
        </w:rPr>
        <w:t xml:space="preserve"> </w:t>
      </w:r>
      <w:r>
        <w:rPr>
          <w:b w:val="0"/>
          <w:i/>
        </w:rPr>
        <w:t>Four-tier label-trust hierarchy. Tier-A (experimental) and Tier-B (DFT/thermochemical-derived) drive the conditional gradient via FiLM modulation; Tier-C (Kamlet–Jacobs derived) and Tier-D (ML surrogate) train the unconditional prior via classifier-free-guidance dropout (§4.3). Counts give the number of master rows carrying at least one label at that tier; a row can carry labels at several tiers across different properties, so the counts do not partition the 65 980-row master. Tier-A is dominated by experimental crystallographic densities [00]; only ~3 000 rows carry a trusted (Tier-A/B) label on the target detonation channels (, , HOF) that steer conditioning.</w:t>
      </w:r>
    </w:p>
    <w:tbl>
      <w:tblPr>
        <w:tblStyle w:val="Table"/>
        <w:tblW w:type="pct" w:w="5000"/>
        <w:jc w:val="center"/>
        <w:tblLook w:firstRow="1" w:lastRow="0" w:firstColumn="0" w:lastColumn="0" w:noHBand="0" w:noVBand="0" w:val="0020"/>
        <w:tblCaption w:val="Table 1. Four-tier label-trust hierarchy. Tier-A (experimental) and Tier-B (DFT/thermochemical-derived) drive the conditional gradient via FiLM modulation; Tier-C (Kamlet–Jacobs derived) and Tier-D (ML surrogate) train the unconditional prior via classifier-free-guidance dropout (§4.3). Counts give the number of master rows carrying at least one label at that tier; a row can carry labels at several tiers across different properties, so the counts do not partition the 65 980-row master. Tier-A is dominated by experimental crystallographic densities [00]; only ~3 000 rows carry a trusted (Tier-A/B) label on the target detonation channels (D, P, HOF) that steer conditio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 rows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Trusted for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Experimental measurement (crystallographic densities; measured detonation properties)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~19 200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DFT/thermochemical-derived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from quoted density &amp; HOF (regime-limited: reliable for oxygen-deficient CHNO with</w:t>
            </w:r>
            <w:r>
              <w:rPr>
                <w:rFonts w:ascii="Times New Roman" w:hAnsi="Times New Roman"/>
                <w:sz w:val="19"/>
              </w:rPr>
              <w:t xml:space="preserve"> </w:t>
            </w:r>
            <m:oMath>
              <m:r>
                <m:t>2</m:t>
              </m:r>
              <m:r>
                <m:t>a</m:t>
              </m:r>
              <m:r>
                <m:rPr>
                  <m:sty m:val="p"/>
                </m:rPr>
                <m:t>+</m:t>
              </m:r>
              <m:r>
                <m:t>b</m:t>
              </m:r>
              <m:r>
                <m:rPr>
                  <m:sty m:val="p"/>
                </m:rPr>
                <m:t>/</m:t>
              </m:r>
              <m:r>
                <m:t>2</m:t>
              </m:r>
              <m:r>
                <m:rPr>
                  <m:sty m:val="p"/>
                </m:rPr>
                <m:t>≥</m:t>
              </m:r>
              <m:r>
                <m:t>d</m:t>
              </m:r>
              <m:r>
                <m:rPr>
                  <m:sty m:val="p"/>
                </m:rPr>
                <m:t>≥</m:t>
              </m:r>
              <m:r>
                <m:t>b</m:t>
              </m:r>
              <m:r>
                <m:rPr>
                  <m:sty m:val="p"/>
                </m:rPr>
                <m:t>/</m:t>
              </m:r>
              <m:r>
                <m:t>2</m:t>
              </m:r>
            </m:oMath>
            <w:r>
              <w:rPr>
                <w:rFonts w:ascii="Times New Roman" w:hAnsi="Times New Roman"/>
                <w:sz w:val="19"/>
              </w:rPr>
              <w:t xml:space="preserve">; under-predicts</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for high-N low-H compounds where the assumed gas-product distribution is wrong)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ML surrogate (Uni-Mol smoke ensemble; generative-model predictions)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bl>
    <w:p>
      <w:pPr>
        <w:pStyle w:val="BodyText"/>
        <w:spacing w:before="240"/>
        <w:jc w:val="both"/>
        <w:keepNext w:val="0"/>
        <w:keepLines w:val="0"/>
        <w:widowControl w:val="1"/>
      </w:pPr>
      <w:r>
        <w:t xml:space="preserve">The denoiser conditional gradient fires only on Tier-A and Tier-B rows; Tier-C and Tier-D rows train the unconditional prior via classifier-free-guidance dropout (§4.3).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bookmarkEnd w:id="37"/>
    <w:bookmarkStart w:id="38" w:name="canonicalisation-and-tokenisation"/>
    <w:p>
      <w:pPr>
        <w:pStyle w:val="Heading3"/>
        <w:keepNext/>
        <w:keepLines/>
        <w:widowControl w:val="1"/>
      </w:pPr>
      <w:r>
        <w:t xml:space="preserve">3.2 Canonicalisation and tokenisation</w:t>
      </w:r>
    </w:p>
    <w:p>
      <w:pPr>
        <w:pStyle w:val="FirstParagraph"/>
        <w:jc w:val="both"/>
        <w:keepNext w:val="0"/>
        <w:keepLines w:val="0"/>
        <w:widowControl w:val="1"/>
      </w:pPr>
      <w:r>
        <w:t xml:space="preserve">Every SMILES string is canonicalised with RDKit</w:t>
      </w:r>
      <w:r>
        <w:t xml:space="preserve"> </w:t>
      </w:r>
      <w:hyperlink w:anchor="ref-landrum2024rdkit">
        <w:r>
          <w:rPr>
            <w:rStyle w:val="Hyperlink"/>
          </w:rPr>
          <w:t xml:space="preserve">[60]</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Appendix A.2. This step is purely data-side: no learned parameters are fit here; the output is a token-tensor representation of the corpus that the model of §4 will consume.</w:t>
      </w:r>
    </w:p>
    <w:bookmarkEnd w:id="38"/>
    <w:bookmarkStart w:id="39" w:name="training-time-high-tail-oversampling"/>
    <w:p>
      <w:pPr>
        <w:pStyle w:val="Heading3"/>
        <w:keepNext/>
        <w:keepLines/>
        <w:widowControl w:val="1"/>
      </w:pPr>
      <w:r>
        <w:t xml:space="preserve">3.3 Training-time high-tail oversampling</w:t>
      </w:r>
    </w:p>
    <w:p>
      <w:pPr>
        <w:pStyle w:val="FirstParagraph"/>
        <w:jc w:val="both"/>
        <w:keepNext w:val="0"/>
        <w:keepLines w:val="0"/>
        <w:widowControl w:val="1"/>
      </w:pPr>
      <w:r>
        <w:t xml:space="preserve">The labelled detonation-velocity distribution is sharply peaked around 7–8 km/s,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km/s relative to a uniform-sampling control. The oversampling ablation is in Appendix D.4. The two denoiser variants of §4.3 differ in which property tail they apply this oversampling to (HOF tail vs ρ/D/P tail).</w:t>
      </w:r>
    </w:p>
    <w:bookmarkEnd w:id="39"/>
    <w:bookmarkEnd w:id="40"/>
    <w:bookmarkStart w:id="100" w:name="sec-method"/>
    <w:p>
      <w:pPr>
        <w:pStyle w:val="Heading2"/>
        <w:keepNext/>
        <w:keepLines/>
        <w:widowControl w:val="1"/>
      </w:pPr>
      <w:r>
        <w:t xml:space="preserve">4. Methodology</w:t>
      </w:r>
    </w:p>
    <w:bookmarkStart w:id="45" w:name="overview-and-pipeline-map"/>
    <w:p>
      <w:pPr>
        <w:pStyle w:val="Heading3"/>
        <w:keepNext/>
        <w:keepLines/>
        <w:widowControl w:val="1"/>
      </w:pPr>
      <w:r>
        <w:t xml:space="preserve">4.1 Overview and pipeline map</w:t>
      </w:r>
    </w:p>
    <w:p>
      <w:pPr>
        <w:pStyle w:val="FirstParagraph"/>
        <w:jc w:val="both"/>
        <w:keepNext w:val="0"/>
        <w:keepLines w:val="0"/>
        <w:widowControl w:val="1"/>
      </w:pPr>
      <w:r>
        <w:t xml:space="preserve">DGLD is a four-stage pipeline (Figs 6–15): an encode-once LIMO VAE (Fig 7) feeds a conditional latent DDPM denoiser (Fig 9), whose sampling trajectory (Fig 13) is steered by a multi-task score model trained offline (Fig 11), and whose decoded candidates are filtered by a SMARTS+Pareto rerank funnel (Fig 14). The rest of §4 is organised one subsection per diagram panel; small panels are paired (§4.6 covers Fig 10 and §4.7 covers Fig 11), and the post-decode pipeline is split across three subsections (§4.9 Sampling covers Fig 13, §4.10 Filtering covers Fig 14, §4.11 Pool fusion covers Fig 15). §4.12 documents how every numeric constant in §4.2–§4.11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(§3.1, §4.3).</w:t>
      </w:r>
    </w:p>
    <w:bookmarkStart w:id="44" w:name="fig-6"/>
    <w:p>
      <w:pPr>
        <w:pStyle w:val="BodyText"/>
        <w:jc w:val="center"/>
        <w:keepNext/>
        <w:keepLines/>
        <w:widowControl w:val="1"/>
      </w:pPr>
      <w:r>
        <w:drawing>
          <wp:inline>
            <wp:extent cx="5943600" cy="1585433"/>
            <wp:effectExtent b="0" l="0" r="0" t="0"/>
            <wp:docPr descr="DGLD four-stage pipeline overview: encode (LIMO VAE) - generate (conditional latent DDPM) - guide (multi-task score model) - filter (SMARTS, Pareto, xTB, DFT)" title="" id="42" name="Picture"/>
            <a:graphic>
              <a:graphicData uri="http://schemas.openxmlformats.org/drawingml/2006/picture">
                <pic:pic>
                  <pic:nvPicPr>
                    <pic:cNvPr descr="figs/fig4_1_pipeline_overview.png" id="43" name="Picture"/>
                    <pic:cNvPicPr>
                      <a:picLocks noChangeArrowheads="1" noChangeAspect="1"/>
                    </pic:cNvPicPr>
                  </pic:nvPicPr>
                  <pic:blipFill>
                    <a:blip r:embed="rId41"/>
                    <a:stretch>
                      <a:fillRect/>
                    </a:stretch>
                  </pic:blipFill>
                  <pic:spPr bwMode="auto">
                    <a:xfrm>
                      <a:off x="0" y="0"/>
                      <a:ext cx="5943600" cy="15854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bookmarkEnd w:id="44"/>
    <w:bookmarkEnd w:id="45"/>
    <w:bookmarkStart w:id="50" w:name="X8457ad1220a60aa1fb816e34a4c4693830d56b4"/>
    <w:p>
      <w:pPr>
        <w:pStyle w:val="Heading3"/>
        <w:keepNext/>
        <w:keepLines/>
        <w:widowControl w:val="1"/>
      </w:pPr>
      <w:r>
        <w:t xml:space="preserve">4.2 LIMO fine-tuning and one-time latent caching</w:t>
      </w:r>
    </w:p>
    <w:p>
      <w:pPr>
        <w:pStyle w:val="FirstParagraph"/>
        <w:jc w:val="both"/>
        <w:keepNext w:val="0"/>
        <w:keepLines w:val="0"/>
        <w:widowControl w:val="1"/>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the §4.4 denoiser-training stage and is not applied here.</w:t>
      </w:r>
    </w:p>
    <w:p>
      <w:pPr>
        <w:pStyle w:val="BodyText"/>
        <w:jc w:val="both"/>
        <w:keepNext w:val="0"/>
        <w:keepLines w:val="0"/>
        <w:widowControl w:val="1"/>
      </w:pPr>
      <w:r>
        <w:t xml:space="preserve">We start from the pretrained LIMO checkpoint distributed with</w:t>
      </w:r>
      <w:r>
        <w:t xml:space="preserve"> </w:t>
      </w:r>
      <w:hyperlink w:anchor="ref-eckmann2022limo">
        <w:r>
          <w:rPr>
            <w:rStyle w:val="Hyperlink"/>
          </w:rPr>
          <w:t xml:space="preserve">[10]</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B.1a. We fine-tune all parameters for</w:t>
      </w:r>
      <w:r>
        <w:t xml:space="preserve"> </w:t>
      </w:r>
      <m:oMath>
        <m:r>
          <m:rPr>
            <m:sty m:val="p"/>
          </m:rPr>
          <m:t>∼</m:t>
        </m:r>
      </m:oMath>
      <w:r>
        <w:t xml:space="preserve">8.5k steps on the 326 k energetic-biased SMILES corpus with the standard evidence lower bound (ELBO),</w:t>
      </w:r>
    </w:p>
    <w:p>
      <w:pPr>
        <w:pStyle w:val="BodyText"/>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FirstParagraph"/>
        <w:jc w:val="both"/>
        <w:keepNext w:val="0"/>
        <w:keepLines w:val="0"/>
        <w:widowControl w:val="1"/>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bookmarkStart w:id="49" w:name="fig-7"/>
    <w:p>
      <w:pPr>
        <w:pStyle w:val="BodyText"/>
        <w:jc w:val="center"/>
        <w:keepNext/>
        <w:keepLines/>
        <w:widowControl w:val="1"/>
      </w:pPr>
      <w:r>
        <w:drawing>
          <wp:inline>
            <wp:extent cx="5943600" cy="1192434"/>
            <wp:effectExtent b="0" l="0" r="0" t="0"/>
            <wp:docPr descr="DGLD LIMO VAE fine-tuning loop" title="" id="47" name="Picture"/>
            <a:graphic>
              <a:graphicData uri="http://schemas.openxmlformats.org/drawingml/2006/picture">
                <pic:pic>
                  <pic:nvPicPr>
                    <pic:cNvPr descr="figs/fig4a_data_prep.png" id="48" name="Picture"/>
                    <pic:cNvPicPr>
                      <a:picLocks noChangeArrowheads="1" noChangeAspect="1"/>
                    </pic:cNvPicPr>
                  </pic:nvPicPr>
                  <pic:blipFill>
                    <a:blip r:embed="rId46"/>
                    <a:stretch>
                      <a:fillRect/>
                    </a:stretch>
                  </pic:blipFill>
                  <pic:spPr bwMode="auto">
                    <a:xfrm>
                      <a:off x="0" y="0"/>
                      <a:ext cx="5943600" cy="11924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t>β</m:t>
        </m:r>
        <m:r>
          <m:rPr>
            <m:sty m:val="p"/>
          </m:rPr>
          <m:t>=</m:t>
        </m:r>
        <m:r>
          <m:t>0.01</m:t>
        </m:r>
      </m:oMath>
      <m:oMath>
        <m:r>
          <m:t>μ</m:t>
        </m:r>
      </m:oMath>
      <m:oMath>
        <m:sSub>
          <m:e>
            <m:r>
              <m:t>z</m:t>
            </m:r>
          </m:e>
          <m:sub>
            <m:r>
              <m:t>0</m:t>
            </m:r>
          </m:sub>
        </m:sSub>
      </m:oMath>
      <w:r>
        <w:rPr>
          <w:b/>
          <w:i/>
        </w:rPr>
        <w:t>Figure 7.</w:t>
      </w:r>
      <w:r>
        <w:rPr>
          <w:b w:val="0"/>
          <w:i/>
        </w:rPr>
        <w:t xml:space="preserve"> </w:t>
      </w:r>
      <w:r>
        <w:rPr>
          <w:b w:val="0"/>
          <w:i/>
        </w:rPr>
        <w:t>Property-agnostic SELFIES VAE fine-tuned on the 326k energetic corpus (8.5k steps, ELBO with ). The cached latent mean  is the  consumed by Figure 9 (Denoiser training) and Figures 10, 12 (Labeling, Self-distillation). Hyperparameters in Table B.1a.</w:t>
      </w:r>
    </w:p>
    <w:bookmarkEnd w:id="49"/>
    <w:p>
      <w:pPr>
        <w:pStyle w:val="BodyText"/>
        <w:jc w:val="both"/>
        <w:keepNext w:val="0"/>
        <w:keepLines w:val="0"/>
        <w:widowControl w:val="1"/>
      </w:pPr>
      <w:r>
        <w:t xml:space="preserve">After fine-tuning the encoder is frozen and every row of the data corpus (§3)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§4.3 and the score model of §4.7 read from this cached tensor only.</w:t>
      </w:r>
    </w:p>
    <w:bookmarkEnd w:id="50"/>
    <w:bookmarkStart w:id="55" w:name="conditioning-mask-construction"/>
    <w:p>
      <w:pPr>
        <w:pStyle w:val="Heading3"/>
        <w:keepNext/>
        <w:keepLines/>
        <w:widowControl w:val="1"/>
      </w:pPr>
      <w:r>
        <w:t xml:space="preserve">4.3 Conditioning mask construction</w:t>
      </w:r>
    </w:p>
    <w:p>
      <w:pPr>
        <w:pStyle w:val="FirstParagraph"/>
        <w:jc w:val="both"/>
        <w:keepNext w:val="0"/>
        <w:keepLines w:val="0"/>
        <w:widowControl w:val="1"/>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BodyText"/>
        <w:jc w:val="both"/>
        <w:keepNext w:val="0"/>
        <w:keepLines w:val="0"/>
        <w:widowControl w:val="1"/>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§3.1 (distinct from the CFG scale</w:t>
      </w:r>
      <w:r>
        <w:t xml:space="preserve"> </w:t>
      </w:r>
      <m:oMath>
        <m:r>
          <m:t>w</m:t>
        </m:r>
      </m:oMath>
      <w:r>
        <w:t xml:space="preserve"> </w:t>
      </w:r>
      <w:r>
        <w:t xml:space="preserve">of §4.2).</w:t>
      </w:r>
    </w:p>
    <w:p>
      <w:pPr>
        <w:pStyle w:val="BodyText"/>
        <w:jc w:val="both"/>
        <w:keepNext w:val="0"/>
        <w:keepLines w:val="0"/>
        <w:widowControl w:val="1"/>
      </w:pPr>
      <w:r>
        <w:t xml:space="preserve">Figure 8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§3.1,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bookmarkStart w:id="54" w:name="fig-8"/>
    <w:p>
      <w:pPr>
        <w:pStyle w:val="BodyText"/>
        <w:jc w:val="center"/>
        <w:keepNext/>
        <w:keepLines/>
        <w:widowControl w:val="1"/>
      </w:pPr>
      <w:r>
        <w:drawing>
          <wp:inline>
            <wp:extent cx="5943600" cy="3347054"/>
            <wp:effectExtent b="0" l="0" r="0" t="0"/>
            <wp:docPr descr="DGLD per-step training mask construction: subset-size sampling, weighted pick, tentative mask, property dropout, CFG dropout, output" title="" id="52" name="Picture"/>
            <a:graphic>
              <a:graphicData uri="http://schemas.openxmlformats.org/drawingml/2006/picture">
                <pic:pic>
                  <pic:nvPicPr>
                    <pic:cNvPr descr="figs/fig4b_mask_construction.png" id="53" name="Picture"/>
                    <pic:cNvPicPr>
                      <a:picLocks noChangeArrowheads="1" noChangeAspect="1"/>
                    </pic:cNvPicPr>
                  </pic:nvPicPr>
                  <pic:blipFill>
                    <a:blip r:embed="rId51"/>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e</m:t>
        </m:r>
        <m:r>
          <m:rPr>
            <m:sty m:val="p"/>
          </m:rPr>
          <m:t>∈</m:t>
        </m:r>
        <m:r>
          <m:rPr>
            <m:sty m:val="p"/>
          </m:rPr>
          <m:t>{</m:t>
        </m:r>
        <m:r>
          <m:t>0</m:t>
        </m:r>
        <m:r>
          <m:rPr>
            <m:sty m:val="p"/>
          </m:rPr>
          <m:t>,</m:t>
        </m:r>
        <m:r>
          <m:t>1</m:t>
        </m:r>
        <m:sSup>
          <m:e>
            <m:r>
              <m:rPr>
                <m:sty m:val="p"/>
              </m:rPr>
              <m:t>}</m:t>
            </m:r>
          </m:e>
          <m:sup>
            <m:r>
              <m:t>4</m:t>
            </m:r>
          </m:sup>
        </m:sSup>
      </m:oMath>
      <m:oMath>
        <m:sSub>
          <m:e>
            <m:r>
              <m:t>w</m:t>
            </m:r>
          </m:e>
          <m:sub>
            <m:r>
              <m:rPr>
                <m:nor/>
                <m:sty m:val="p"/>
              </m:rPr>
              <m:t>tier</m:t>
            </m:r>
          </m:sub>
        </m:sSub>
      </m:oMath>
      <m:oMath>
        <m:r>
          <m:t>m</m:t>
        </m:r>
      </m:oMath>
      <m:oMath>
        <m:r>
          <m:t>m</m:t>
        </m:r>
      </m:oMath>
      <w:r>
        <w:rPr>
          <w:b/>
          <w:i/>
        </w:rPr>
        <w:t>Figure 8.</w:t>
      </w:r>
      <w:r>
        <w:rPr>
          <w:b w:val="0"/>
          <w:i/>
        </w:rPr>
        <w:t xml:space="preserve"> </w:t>
      </w:r>
      <w:r>
        <w:rPr>
          <w:b w:val="0"/>
          <w:i/>
        </w:rPr>
        <w:t>From cached eligibility  and tier weight , five stochastic stages produce the per-step mask : subset-size sampling, weighted pick, tentative one-hot, property dropout (0.30), CFG dropout (0.10). Output  feeds the FiLM input in Figure 9 (Denoiser training); details and probabilities in §4.3 and Table B.1b.</w:t>
      </w:r>
    </w:p>
    <w:bookmarkEnd w:id="54"/>
    <w:p>
      <w:pPr>
        <w:pStyle w:val="BodyText"/>
        <w:jc w:val="both"/>
        <w:keepNext w:val="0"/>
        <w:keepLines w:val="0"/>
        <w:widowControl w:val="1"/>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§4.4,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bookmarkEnd w:id="55"/>
    <w:bookmarkStart w:id="60" w:name="denoiser-training"/>
    <w:p>
      <w:pPr>
        <w:pStyle w:val="Heading3"/>
        <w:keepNext/>
        <w:keepLines/>
        <w:widowControl w:val="1"/>
      </w:pPr>
      <w:r>
        <w:t xml:space="preserve">4.4 Denoiser training</w:t>
      </w:r>
    </w:p>
    <w:p>
      <w:pPr>
        <w:pStyle w:val="FirstParagraph"/>
        <w:jc w:val="both"/>
        <w:keepNext w:val="0"/>
        <w:keepLines w:val="0"/>
        <w:widowControl w:val="1"/>
      </w:pPr>
      <w:r>
        <w:t xml:space="preserve">The denoiser learns the noise-predicting reverse process of a 1000-step variance-preserving DDPM in latent space, conditioned via FiLM on the §4.3 mask + property vector. Classifier-free guidance dropout at training time enables the runtime trade-off between unconditional and target-property sampling controlled by the CFG scale w.</w:t>
      </w:r>
    </w:p>
    <w:p>
      <w:pPr>
        <w:pStyle w:val="BodyText"/>
        <w:jc w:val="both"/>
        <w:keepNext w:val="0"/>
        <w:keepLines w:val="0"/>
        <w:widowControl w:val="1"/>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§4.3 (full hyperparameters in Table B.1b).</w:t>
      </w:r>
    </w:p>
    <w:p>
      <w:pPr>
        <w:pStyle w:val="BodyText"/>
        <w:jc w:val="both"/>
        <w:keepNext w:val="0"/>
        <w:keepLines w:val="0"/>
        <w:widowControl w:val="1"/>
      </w:pPr>
      <w:r>
        <w:t xml:space="preserve">Figure 9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[25]</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§4.3. Optimiser AdamW, peak LR</w:t>
      </w:r>
      <w:r>
        <w:t xml:space="preserve"> </w:t>
      </w:r>
      <m:oMath>
        <m:sSup>
          <m:e>
            <m:r>
              <m:t>10</m:t>
            </m:r>
          </m:e>
          <m:sup>
            <m:r>
              <m:rPr>
                <m:sty m:val="p"/>
              </m:rPr>
              <m:t>−</m:t>
            </m:r>
            <m:r>
              <m:t>4</m:t>
            </m:r>
          </m:sup>
        </m:sSup>
      </m:oMath>
      <w:r>
        <w:t xml:space="preserve">, cosine decay, batch 128, 20 epochs, exponential-moving-average (EMA) decay 0.999.</w:t>
      </w:r>
    </w:p>
    <w:bookmarkStart w:id="59" w:name="fig-9"/>
    <w:p>
      <w:pPr>
        <w:pStyle w:val="BodyText"/>
        <w:jc w:val="center"/>
        <w:keepNext/>
        <w:keepLines/>
        <w:widowControl w:val="1"/>
      </w:pPr>
      <w:r>
        <w:drawing>
          <wp:inline>
            <wp:extent cx="5943600" cy="3345052"/>
            <wp:effectExtent b="0" l="0" r="0" t="0"/>
            <wp:docPr descr="DGLD denoiser training: per-step update loop with mask-gated conditioning" title="" id="57" name="Picture"/>
            <a:graphic>
              <a:graphicData uri="http://schemas.openxmlformats.org/drawingml/2006/picture">
                <pic:pic>
                  <pic:nvPicPr>
                    <pic:cNvPr descr="figs/fig4c_denoiser_train.png" id="58" name="Picture"/>
                    <pic:cNvPicPr>
                      <a:picLocks noChangeArrowheads="1" noChangeAspect="1"/>
                    </pic:cNvPicPr>
                  </pic:nvPicPr>
                  <pic:blipFill>
                    <a:blip r:embed="rId56"/>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t</m:t>
        </m:r>
        <m:r>
          <m:rPr>
            <m:sty m:val="p"/>
          </m:rPr>
          <m:t>,</m:t>
        </m:r>
        <m:r>
          <m:t>ε</m:t>
        </m:r>
      </m:oMath>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m:oMath>
        <m:acc>
          <m:accPr>
            <m:chr m:val="̂"/>
          </m:accPr>
          <m:e>
            <m:r>
              <m:t>ε</m:t>
            </m:r>
          </m:e>
        </m:acc>
      </m:oMath>
      <m:oMath>
        <m:r>
          <m:rPr>
            <m:sty m:val="p"/>
          </m:rPr>
          <m:t>(</m:t>
        </m:r>
        <m:sSub>
          <m:e>
            <m:r>
              <m:t>z</m:t>
            </m:r>
          </m:e>
          <m:sub>
            <m:r>
              <m:t>t</m:t>
            </m:r>
          </m:sub>
        </m:sSub>
        <m:r>
          <m:rPr>
            <m:sty m:val="p"/>
          </m:rPr>
          <m:t>,</m:t>
        </m:r>
        <m:r>
          <m:t>t</m:t>
        </m:r>
        <m:r>
          <m:rPr>
            <m:sty m:val="p"/>
          </m:rPr>
          <m:t>,</m:t>
        </m:r>
        <m:r>
          <m:t>p</m:t>
        </m:r>
        <m:r>
          <m:rPr>
            <m:sty m:val="p"/>
          </m:rPr>
          <m:t>⊙</m:t>
        </m:r>
        <m:r>
          <m:t>m</m:t>
        </m:r>
        <m:r>
          <m:rPr>
            <m:sty m:val="p"/>
          </m:rPr>
          <m:t>)</m:t>
        </m:r>
      </m:oMath>
      <m:oMath>
        <m:r>
          <m:t>m</m:t>
        </m:r>
      </m:oMath>
      <m:oMath>
        <m:r>
          <m:rPr>
            <m:sty m:val="p"/>
          </m:rPr>
          <m:t>‖</m:t>
        </m:r>
        <m:r>
          <m:t>ε</m:t>
        </m:r>
        <m:r>
          <m:rPr>
            <m:sty m:val="p"/>
          </m:rPr>
          <m:t>−</m:t>
        </m:r>
        <m:acc>
          <m:accPr>
            <m:chr m:val="̂"/>
          </m:accPr>
          <m:e>
            <m:r>
              <m:t>ε</m:t>
            </m:r>
          </m:e>
        </m:acc>
        <m:sSup>
          <m:e>
            <m:r>
              <m:rPr>
                <m:sty m:val="p"/>
              </m:rPr>
              <m:t>‖</m:t>
            </m:r>
          </m:e>
          <m:sup>
            <m:r>
              <m:t>2</m:t>
            </m:r>
          </m:sup>
        </m:sSup>
      </m:oMath>
      <m:oMath>
        <m:r>
          <m:t>ω</m:t>
        </m:r>
      </m:oMath>
      <w:r>
        <w:rPr>
          <w:b/>
          <w:i/>
        </w:rPr>
        <w:t>Figure 9.</w:t>
      </w:r>
      <w:r>
        <w:rPr>
          <w:b w:val="0"/>
          <w:i/>
        </w:rPr>
        <w:t xml:space="preserve"> </w:t>
      </w:r>
      <w:r>
        <w:rPr>
          <w:b w:val="0"/>
          <w:i/>
        </w:rPr>
        <w:t>Sample ; form ; the FiLM-ResNet predicts  from  where  (from Figure 8) gates the property vector. Loss is per-sample MSE  weighted by ; AdamW + EMA. Hyperparameters in Table B.1b.</w:t>
      </w:r>
    </w:p>
    <w:bookmarkEnd w:id="59"/>
    <w:p>
      <w:pPr>
        <w:pStyle w:val="BodyText"/>
        <w:jc w:val="both"/>
        <w:keepNext w:val="0"/>
        <w:keepLines w:val="0"/>
        <w:widowControl w:val="1"/>
      </w:pPr>
      <w:r>
        <w:t xml:space="preserve">At sample time we use the standard guided estimate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the production scale</w:t>
      </w:r>
      <w:r>
        <w:t xml:space="preserve"> </w:t>
      </w:r>
      <m:oMath>
        <m:r>
          <m:t>w</m:t>
        </m:r>
        <m:r>
          <m:rPr>
            <m:sty m:val="p"/>
          </m:rPr>
          <m:t>=</m:t>
        </m:r>
        <m:r>
          <m:t>7</m:t>
        </m:r>
      </m:oMath>
      <w:r>
        <w:t xml:space="preserve"> </w:t>
      </w:r>
      <w:r>
        <w:t xml:space="preserve">is selected per §4.12 (Figure 16).</w:t>
      </w:r>
    </w:p>
    <w:bookmarkEnd w:id="60"/>
    <w:bookmarkStart w:id="61" w:name="two-complementary-denoisers"/>
    <w:p>
      <w:pPr>
        <w:pStyle w:val="Heading3"/>
        <w:keepNext/>
        <w:keepLines/>
        <w:widowControl w:val="1"/>
      </w:pPr>
      <w:r>
        <w:t xml:space="preserve">4.5 Two complementary denoisers</w:t>
      </w:r>
    </w:p>
    <w:p>
      <w:pPr>
        <w:pStyle w:val="FirstParagraph"/>
        <w:jc w:val="both"/>
        <w:keepNext w:val="0"/>
        <w:keepLines w:val="0"/>
        <w:widowControl w:val="1"/>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BodyText"/>
        <w:jc w:val="both"/>
        <w:keepNext w:val="0"/>
        <w:keepLines w:val="0"/>
        <w:widowControl w:val="1"/>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the §4.4 architecture; only the training-data tilt differs. Hyperparameters of both checkpoints are listed in Table B.1b.</w:t>
      </w:r>
    </w:p>
    <w:p>
      <w:pPr>
        <w:pStyle w:val="BodyText"/>
        <w:jc w:val="both"/>
        <w:keepNext w:val="0"/>
        <w:keepLines w:val="0"/>
        <w:widowControl w:val="1"/>
      </w:pPr>
      <w:r>
        <w:t xml:space="preserve">Empirically DGLD-H supplies high-HOF leads and DGLD-P supplies high-</w:t>
      </w:r>
      <m:oMath>
        <m:r>
          <m:t>ρ</m:t>
        </m:r>
        <m:r>
          <m:rPr>
            <m:sty m:val="p"/>
          </m:rPr>
          <m:t>/</m:t>
        </m:r>
        <m:r>
          <m:t>P</m:t>
        </m:r>
      </m:oMath>
      <w:r>
        <w:t xml:space="preserve"> </w:t>
      </w:r>
      <w:r>
        <w:t xml:space="preserve">leads. Combination happens post-decode in §4.11 (Figure 15): we union the lanes' SMILES pools and run them once through the rerank funnel. The combination is a post-decode union of the two lanes' SMILES pools, with no weight interpolation or output averaging.</w:t>
      </w:r>
    </w:p>
    <w:bookmarkEnd w:id="61"/>
    <w:bookmarkStart w:id="66" w:name="labeling-for-guidance-head-training"/>
    <w:p>
      <w:pPr>
        <w:pStyle w:val="Heading3"/>
        <w:keepNext/>
        <w:keepLines/>
        <w:widowControl w:val="1"/>
      </w:pPr>
      <w:r>
        <w:t xml:space="preserve">4.6 Labeling for guidance-head training</w:t>
      </w:r>
    </w:p>
    <w:p>
      <w:pPr>
        <w:pStyle w:val="FirstParagraph"/>
        <w:jc w:val="both"/>
        <w:keepNext w:val="0"/>
        <w:keepLines w:val="0"/>
        <w:widowControl w:val="1"/>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BodyText"/>
        <w:jc w:val="both"/>
        <w:keepNext w:val="0"/>
        <w:keepLines w:val="0"/>
        <w:widowControl w:val="1"/>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14 reranker uses the Uni-Mol smoke ensemble (§4.10) for property scoring, not the latent Performance head.</w:t>
      </w:r>
    </w:p>
    <w:p>
      <w:pPr>
        <w:pStyle w:val="BodyText"/>
        <w:jc w:val="both"/>
        <w:keepNext w:val="0"/>
        <w:keepLines w:val="0"/>
        <w:widowControl w:val="1"/>
      </w:pPr>
      <w:r>
        <w:t xml:space="preserve">Figure 10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[42]</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w:t>
      </w:r>
      <w:r>
        <w:t xml:space="preserve"> </w:t>
      </w:r>
      <w:hyperlink w:anchor="ref-bruns2020watson">
        <w:r>
          <w:rPr>
            <w:rStyle w:val="Hyperlink"/>
          </w:rPr>
          <w:t xml:space="preserve">[00]</w:t>
        </w:r>
      </w:hyperlink>
      <w:r>
        <w:t xml:space="preserve"> </w:t>
      </w:r>
      <w:r>
        <w:t xml:space="preserve">yields</w:t>
      </w:r>
      <w:r>
        <w:t xml:space="preserve"> </w:t>
      </w:r>
      <m:oMath>
        <m:sSub>
          <m:e>
            <m:r>
              <m:t>y</m:t>
            </m:r>
          </m:e>
          <m:sub>
            <m:r>
              <m:rPr>
                <m:nor/>
                <m:sty m:val="p"/>
              </m:rPr>
              <m:t>haz</m:t>
            </m:r>
          </m:sub>
        </m:sSub>
      </m:oMath>
      <w:r>
        <w:t xml:space="preserve">; and a 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Appendix B.1.</w:t>
      </w:r>
    </w:p>
    <w:bookmarkStart w:id="65" w:name="fig-10"/>
    <w:p>
      <w:pPr>
        <w:pStyle w:val="BodyText"/>
        <w:jc w:val="center"/>
        <w:keepNext/>
        <w:keepLines/>
        <w:widowControl w:val="1"/>
      </w:pPr>
      <w:r>
        <w:drawing>
          <wp:inline>
            <wp:extent cx="5943600" cy="3343275"/>
            <wp:effectExtent b="0" l="0" r="0" t="0"/>
            <wp:docPr descr="DGLD score-model data labeling: SMILES + LIMO latent + four label-source models" title="" id="63" name="Picture"/>
            <a:graphic>
              <a:graphicData uri="http://schemas.openxmlformats.org/drawingml/2006/picture">
                <pic:pic>
                  <pic:nvPicPr>
                    <pic:cNvPr descr="figs/fig4e1_data_labeling.png" id="64" name="Picture"/>
                    <pic:cNvPicPr>
                      <a:picLocks noChangeArrowheads="1" noChangeAspect="1"/>
                    </pic:cNvPicPr>
                  </pic:nvPicPr>
                  <pic:blipFill>
                    <a:blip r:embed="rId6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sSub>
          <m:e>
            <m:r>
              <m:t>y</m:t>
            </m:r>
          </m:e>
          <m:sub>
            <m:r>
              <m:rPr>
                <m:nor/>
                <m:sty m:val="p"/>
              </m:rPr>
              <m:t>viab</m:t>
            </m:r>
          </m:sub>
        </m:sSub>
      </m:oMath>
      <m:oMath>
        <m:r>
          <m:rPr>
            <m:sty m:val="p"/>
          </m:rPr>
          <m:t>→</m:t>
        </m:r>
        <m:sSub>
          <m:e>
            <m:r>
              <m:t>y</m:t>
            </m:r>
          </m:e>
          <m:sub>
            <m:r>
              <m:rPr>
                <m:nor/>
                <m:sty m:val="p"/>
              </m:rPr>
              <m:t>sens</m:t>
            </m:r>
          </m:sub>
        </m:sSub>
      </m:oMath>
      <m:oMath>
        <m:r>
          <m:rPr>
            <m:sty m:val="p"/>
          </m:rPr>
          <m:t>→</m:t>
        </m:r>
        <m:sSub>
          <m:e>
            <m:r>
              <m:t>y</m:t>
            </m:r>
          </m:e>
          <m:sub>
            <m:r>
              <m:rPr>
                <m:nor/>
                <m:sty m:val="p"/>
              </m:rPr>
              <m:t>haz</m:t>
            </m:r>
          </m:sub>
        </m:sSub>
      </m:oMath>
      <m:oMath>
        <m:r>
          <m:rPr>
            <m:sty m:val="p"/>
          </m:rPr>
          <m:t>→</m:t>
        </m:r>
        <m:sSub>
          <m:e>
            <m:r>
              <m:t>y</m:t>
            </m:r>
          </m:e>
          <m:sub>
            <m:r>
              <m:rPr>
                <m:nor/>
                <m:sty m:val="p"/>
              </m:rPr>
              <m:t>perf</m:t>
            </m:r>
          </m:sub>
        </m:sSub>
        <m:r>
          <m:rPr>
            <m:sty m:val="p"/>
          </m:rPr>
          <m:t>∈</m:t>
        </m:r>
        <m:sSup>
          <m:e>
            <m:r>
              <m:rPr>
                <m:scr m:val="double-struck"/>
                <m:sty m:val="p"/>
              </m:rPr>
              <m:t>R</m:t>
            </m:r>
          </m:e>
          <m:sup>
            <m:r>
              <m:t>4</m:t>
            </m:r>
          </m:sup>
        </m:sSup>
      </m:oMath>
      <m:oMath>
        <m:r>
          <m:t>z</m:t>
        </m:r>
      </m:oMath>
      <w:r>
        <w:rPr>
          <w:b/>
          <w:i/>
        </w:rPr>
        <w:t>Figure 10.</w:t>
      </w:r>
      <w:r>
        <w:rPr>
          <w:b w:val="0"/>
          <w:i/>
        </w:rPr>
        <w:t xml:space="preserve"> </w:t>
      </w:r>
      <w:r>
        <w:rPr>
          <w:b w:val="0"/>
          <w:i/>
        </w:rPr>
        <w:t>Four offline pipelines (run once per corpus) generate per-row labels: Random Forest ; Politzer–Murray BDE ; SMARTS + Bruns–Watson ; Uni-Mol smoke ensemble . Cached LIMO  is held for Figure 12 (Self-distillation). Sources in Table B.1c.</w:t>
      </w:r>
    </w:p>
    <w:bookmarkEnd w:id="65"/>
    <w:bookmarkEnd w:id="66"/>
    <w:bookmarkStart w:id="71" w:name="score-model-training"/>
    <w:p>
      <w:pPr>
        <w:pStyle w:val="Heading3"/>
        <w:keepNext/>
        <w:keepLines/>
        <w:widowControl w:val="1"/>
      </w:pPr>
      <w:r>
        <w:t xml:space="preserve">4.7 Score-model training</w:t>
      </w:r>
    </w:p>
    <w:p>
      <w:pPr>
        <w:pStyle w:val="FirstParagraph"/>
        <w:jc w:val="both"/>
        <w:keepNext w:val="0"/>
        <w:keepLines w:val="0"/>
        <w:widowControl w:val="1"/>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BodyText"/>
        <w:jc w:val="both"/>
        <w:keepNext w:val="0"/>
        <w:keepLines w:val="0"/>
        <w:widowControl w:val="1"/>
      </w:pPr>
      <w:r>
        <w:t xml:space="preserve">The score-model trunk and six heads are trained on noised LIMO latents using the labels of §4.6 under multi-task supervision: three of the six (Viability, Sensitivity, Hazard) contribute steering signals at sample time, three (Performance, SA, SC) are auxiliary multi-task signals trained for trunk regularisation only.</w:t>
      </w:r>
    </w:p>
    <w:p>
      <w:pPr>
        <w:pStyle w:val="BodyText"/>
        <w:jc w:val="both"/>
        <w:keepNext w:val="0"/>
        <w:keepLines w:val="0"/>
        <w:widowControl w:val="1"/>
      </w:pPr>
      <w:r>
        <w:t xml:space="preserve">Figure 11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BodyText"/>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FirstParagraph"/>
        <w:jc w:val="both"/>
        <w:keepNext w:val="0"/>
        <w:keepLines w:val="0"/>
        <w:widowControl w:val="1"/>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8 and 9)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B.1b).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bookmarkStart w:id="70" w:name="fig-11"/>
    <w:p>
      <w:pPr>
        <w:pStyle w:val="BodyText"/>
        <w:jc w:val="center"/>
        <w:keepNext/>
        <w:keepLines/>
        <w:widowControl w:val="1"/>
      </w:pPr>
      <w:r>
        <w:drawing>
          <wp:inline>
            <wp:extent cx="5943600" cy="3347054"/>
            <wp:effectExtent b="0" l="0" r="0" t="0"/>
            <wp:docPr descr="DGLD guidance training: shared FiLM-MLP trunk + 4 heads + per-head losses" title="" id="68" name="Picture"/>
            <a:graphic>
              <a:graphicData uri="http://schemas.openxmlformats.org/drawingml/2006/picture">
                <pic:pic>
                  <pic:nvPicPr>
                    <pic:cNvPr descr="figs/fig4e1_guide_train.png" id="69" name="Picture"/>
                    <pic:cNvPicPr>
                      <a:picLocks noChangeArrowheads="1" noChangeAspect="1"/>
                    </pic:cNvPicPr>
                  </pic:nvPicPr>
                  <pic:blipFill>
                    <a:blip r:embed="rId67"/>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m:oMath>
        <m:sSub>
          <m:e>
            <m:r>
              <m:t>σ</m:t>
            </m:r>
          </m:e>
          <m:sub>
            <m:r>
              <m:t>t</m:t>
            </m:r>
          </m:sub>
        </m:sSub>
      </m:oMath>
      <m:oMath>
        <m:r>
          <m:t>ρ</m:t>
        </m:r>
        <m:r>
          <m:rPr>
            <m:sty m:val="p"/>
          </m:rPr>
          <m:t>/</m:t>
        </m:r>
        <m:r>
          <m:t>D</m:t>
        </m:r>
        <m:r>
          <m:rPr>
            <m:sty m:val="p"/>
          </m:rPr>
          <m:t>/</m:t>
        </m:r>
        <m:r>
          <m:t>P</m:t>
        </m:r>
        <m:r>
          <m:rPr>
            <m:sty m:val="p"/>
          </m:rPr>
          <m:t>/</m:t>
        </m:r>
      </m:oMath>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rPr>
          <w:b/>
          <w:i/>
        </w:rPr>
        <w:t>Figure 11.</w:t>
      </w:r>
      <w:r>
        <w:rPr>
          <w:b w:val="0"/>
          <w:i/>
        </w:rPr>
        <w:t xml:space="preserve"> </w:t>
      </w:r>
      <w:r>
        <w:rPr>
          <w:b w:val="0"/>
          <w:i/>
        </w:rPr>
        <w:t>Forward-diffused latent  and the  sinusoidal embedding feed a shared 4-block FiLM-MLP trunk (1024-d) to six heads: Viability and Hazard (sigmoid/BCE), Sensitivity (SmoothL1), Performance (SmoothL1, HOF), SA, SC. Loss is the head-availability-gated sum ; AdamW + EMA. Trains on Figure 10 base labels; the Viability head is then refined via Figure 12 (Self-distillation). At sample time only Viability, Sensitivity, and Hazard contribute steering signals; Performance, SA, and SC are auxiliary multi-task heads (Appendix B.4).</w:t>
      </w:r>
    </w:p>
    <w:bookmarkEnd w:id="70"/>
    <w:p>
      <w:pPr>
        <w:pStyle w:val="BodyText"/>
        <w:jc w:val="both"/>
        <w:keepNext w:val="0"/>
        <w:keepLines w:val="0"/>
        <w:widowControl w:val="1"/>
      </w:pPr>
      <w:r>
        <w:t xml:space="preserve">The auxiliary multi-task heads (Performance, SA, SC) train on the shared trunk for regularisation only, not invoked in the production steering bus (Appendix B.4). Two checkpoint variants (production 6-head hazard-aware and its 5-head predecessor) are released on Zenodo (Appendix D.1).</w:t>
      </w:r>
    </w:p>
    <w:bookmarkEnd w:id="71"/>
    <w:bookmarkStart w:id="76" w:name="X0c402eefa1b7ce6651dad9200caea0bd227dc28"/>
    <w:p>
      <w:pPr>
        <w:pStyle w:val="Heading3"/>
        <w:keepNext/>
        <w:keepLines/>
        <w:widowControl w:val="1"/>
      </w:pPr>
      <w:r>
        <w:t xml:space="preserve">4.8 Self-distillation refinement of the viability head</w:t>
      </w:r>
    </w:p>
    <w:p>
      <w:pPr>
        <w:pStyle w:val="FirstParagraph"/>
        <w:jc w:val="both"/>
        <w:keepNext w:val="0"/>
        <w:keepLines w:val="0"/>
        <w:widowControl w:val="1"/>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surrogate-gaming false positives and re-feeding them as labelled hard negatives.</w:t>
      </w:r>
    </w:p>
    <w:p>
      <w:pPr>
        <w:pStyle w:val="BodyText"/>
        <w:jc w:val="both"/>
        <w:keepNext w:val="0"/>
        <w:keepLines w:val="0"/>
        <w:widowControl w:val="1"/>
      </w:pPr>
      <w:r>
        <w:t xml:space="preserve">The FROZEN banner of Figure 12 is read literally. Across all rounds the LIMO encoder, LIMO decoder, the §4.5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BodyText"/>
        <w:jc w:val="both"/>
        <w:keepNext w:val="0"/>
        <w:keepLines w:val="0"/>
        <w:widowControl w:val="1"/>
      </w:pPr>
      <w:r>
        <w:t xml:space="preserve">The five-step protocol (sample → mine → encode → retrain → probe) is detailed in Appendix B.1. The hard-negative ticker on Figure 12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bookmarkStart w:id="75" w:name="fig-12"/>
    <w:p>
      <w:pPr>
        <w:pStyle w:val="BodyText"/>
        <w:jc w:val="center"/>
        <w:keepNext/>
        <w:keepLines/>
        <w:widowControl w:val="1"/>
      </w:pPr>
      <w:r>
        <w:drawing>
          <wp:inline>
            <wp:extent cx="5943600" cy="3345052"/>
            <wp:effectExtent b="0" l="0" r="0" t="0"/>
            <wp:docPr descr="DGLD viability-head self-distillation: 3 rounds of mine-then-retrain, with frozen-component banner and hard-negative growth ticker" title="" id="73" name="Picture"/>
            <a:graphic>
              <a:graphicData uri="http://schemas.openxmlformats.org/drawingml/2006/picture">
                <pic:pic>
                  <pic:nvPicPr>
                    <pic:cNvPr descr="figs/fig4f_self_distillation.png" id="74" name="Picture"/>
                    <pic:cNvPicPr>
                      <a:picLocks noChangeArrowheads="1" noChangeAspect="1"/>
                    </pic:cNvPicPr>
                  </pic:nvPicPr>
                  <pic:blipFill>
                    <a:blip r:embed="rId72"/>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w:r>
        <w:rPr>
          <w:b/>
          <w:i/>
        </w:rPr>
        <w:t>Figure 12.</w:t>
      </w:r>
      <w:r>
        <w:rPr>
          <w:b w:val="0"/>
          <w:i/>
        </w:rPr>
        <w:t xml:space="preserve"> </w:t>
      </w:r>
      <w:r>
        <w:rPr>
          <w:b w:val="0"/>
          <w:i/>
        </w:rPr>
        <w:t>Three rounds of mine-then-retrain that refine the Viability head only of the Figure 11 score model; the denoiser (Figure 9) and LIMO VAE (Figure 7) are frozen. Each round samples, gates with Figure 14 (Filtering), encodes false-positives through frozen LIMO as viab0 hard negatives, and folds them into the next round's training set (137  918 negatives). Stopping criterion in Appendix B.1.</w:t>
      </w:r>
    </w:p>
    <w:bookmarkEnd w:id="75"/>
    <w:p>
      <w:pPr>
        <w:pStyle w:val="BodyText"/>
        <w:jc w:val="both"/>
        <w:keepNext w:val="0"/>
        <w:keepLines w:val="0"/>
        <w:widowControl w:val="1"/>
      </w:pPr>
      <w:r>
        <w:t xml:space="preserve">The stopping criterion is shown in the right-margin box of Figure 12: a held-out probe (7 anchors {RDX, HMX, TNT, FOX-7, PETN, TATB, NTO} and 5 gaming molecules) must show every anchor at</w:t>
      </w:r>
      <w:r>
        <w:t xml:space="preserve"> </w:t>
      </w:r>
      <m:oMath>
        <m:r>
          <m:rPr>
            <m:sty m:val="p"/>
          </m:rPr>
          <m:t>≥</m:t>
        </m:r>
      </m:oMath>
      <w:r>
        <w:t xml:space="preserve"> 0.86 AND every gaming molecule at</w:t>
      </w:r>
      <w:r>
        <w:t xml:space="preserve"> </w:t>
      </w:r>
      <m:oMath>
        <m:r>
          <m:rPr>
            <m:sty m:val="p"/>
          </m:rPr>
          <m:t>≤</m:t>
        </m:r>
      </m:oMath>
      <w:r>
        <w:t xml:space="preserve"> 0.84. Empirically 3 rounds satisfy this; round 2 (corpus + 918 hard negatives) is the production checkpoint. Pseudocode in Appendix B.1.</w:t>
      </w:r>
    </w:p>
    <w:bookmarkEnd w:id="76"/>
    <w:bookmarkStart w:id="81" w:name="sampling"/>
    <w:p>
      <w:pPr>
        <w:pStyle w:val="Heading3"/>
        <w:keepNext/>
        <w:keepLines/>
        <w:widowControl w:val="1"/>
      </w:pPr>
      <w:r>
        <w:t xml:space="preserve">4.9 Sampling</w:t>
      </w:r>
    </w:p>
    <w:p>
      <w:pPr>
        <w:pStyle w:val="FirstParagraph"/>
        <w:jc w:val="both"/>
        <w:keepNext w:val="0"/>
        <w:keepLines w:val="0"/>
        <w:widowControl w:val="1"/>
      </w:pPr>
      <w:r>
        <w:t xml:space="preserve">At sample time, three of the six trained heads (Viability, Sensitivity, Hazard) supply gradient steering signals at every DDIM (denoising diffusion implicit model) step on top of classifier-free guidance. The denoiser remains the same checkpoint as §4.4; only the sampler changes.</w:t>
      </w:r>
    </w:p>
    <w:p>
      <w:pPr>
        <w:pStyle w:val="BodyText"/>
        <w:jc w:val="both"/>
        <w:keepNext w:val="0"/>
        <w:keepLines w:val="0"/>
        <w:widowControl w:val="1"/>
      </w:pPr>
      <w:r>
        <w:t xml:space="preserve">Figure 13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BodyText"/>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FirstParagraph"/>
        <w:jc w:val="both"/>
        <w:keepNext w:val="0"/>
        <w:keepLines w:val="0"/>
        <w:widowControl w:val="1"/>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§4.5 (Figure 9).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§4.12). The final</w:t>
      </w:r>
      <w:r>
        <w:t xml:space="preserve"> </w:t>
      </w:r>
      <m:oMath>
        <m:sSub>
          <m:e>
            <m:r>
              <m:t>z</m:t>
            </m:r>
          </m:e>
          <m:sub>
            <m:r>
              <m:t>0</m:t>
            </m:r>
          </m:sub>
        </m:sSub>
      </m:oMath>
      <w:r>
        <w:t xml:space="preserve"> </w:t>
      </w:r>
      <w:r>
        <w:t xml:space="preserve">decodes through the frozen LIMO decoder to a SMILES pool consumed by Figure 15.</w:t>
      </w:r>
    </w:p>
    <w:bookmarkStart w:id="80" w:name="fig-13"/>
    <w:p>
      <w:pPr>
        <w:pStyle w:val="BodyText"/>
        <w:jc w:val="center"/>
        <w:keepNext/>
        <w:keepLines/>
        <w:widowControl w:val="1"/>
      </w:pPr>
      <w:r>
        <w:drawing>
          <wp:inline>
            <wp:extent cx="5943600" cy="3343275"/>
            <wp:effectExtent b="0" l="0" r="0" t="0"/>
            <wp:docPr descr="DGLD sampling: DDIM denoise with multi-task steering signals" title="" id="78" name="Picture"/>
            <a:graphic>
              <a:graphicData uri="http://schemas.openxmlformats.org/drawingml/2006/picture">
                <pic:pic>
                  <pic:nvPicPr>
                    <pic:cNvPr descr="figs/fig4c_sampling_guidance.png" id="79" name="Picture"/>
                    <pic:cNvPicPr>
                      <a:picLocks noChangeArrowheads="1" noChangeAspect="1"/>
                    </pic:cNvPicPr>
                  </pic:nvPicPr>
                  <pic:blipFill>
                    <a:blip r:embed="rId77"/>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m:oMath>
        <m:sSub>
          <m:e>
            <m:r>
              <m:t>ε</m:t>
            </m:r>
          </m:e>
          <m:sub>
            <m:r>
              <m:t>θ</m:t>
            </m:r>
          </m:sub>
        </m:sSub>
      </m:oMath>
      <m:oMath>
        <m:sSub>
          <m:e>
            <m:r>
              <m:t>z</m:t>
            </m:r>
          </m:e>
          <m:sub>
            <m:r>
              <m:t>0</m:t>
            </m:r>
          </m:sub>
        </m:sSub>
      </m:oMath>
      <m:oMath>
        <m:sSub>
          <m:e>
            <m:r>
              <m:t>s</m:t>
            </m:r>
          </m:e>
          <m:sub>
            <m:r>
              <m:t>h</m:t>
            </m:r>
          </m:sub>
        </m:sSub>
      </m:oMath>
      <w:r>
        <w:rPr>
          <w:b/>
          <w:i/>
        </w:rPr>
        <w:t>Figure 13.</w:t>
      </w:r>
      <w:r>
        <w:rPr>
          <w:b w:val="0"/>
          <w:i/>
        </w:rPr>
        <w:t xml:space="preserve"> </w:t>
      </w:r>
      <w:r>
        <w:rPr>
          <w:b w:val="0"/>
          <w:i/>
        </w:rPr>
        <w:t>A latent  is denoised over 40 DDIM steps with a steering bus  over the three active steering signals of Figure 11 perturbing  at every step. The final  decodes through frozen LIMO to a SMILES pool consumed by Figure 15 (Pool fusion). Per-head scales  in Appendix B.</w:t>
      </w:r>
    </w:p>
    <w:bookmarkEnd w:id="80"/>
    <w:p>
      <w:pPr>
        <w:pStyle w:val="BodyText"/>
        <w:jc w:val="both"/>
        <w:keepNext w:val="0"/>
        <w:keepLines w:val="0"/>
        <w:widowControl w:val="1"/>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[25]</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Appendix D.5. The CFG scale</w:t>
      </w:r>
      <w:r>
        <w:t xml:space="preserve"> </w:t>
      </w:r>
      <m:oMath>
        <m:r>
          <m:t>w</m:t>
        </m:r>
      </m:oMath>
      <w:r>
        <w:t xml:space="preserve"> </w:t>
      </w:r>
      <w:r>
        <w:t xml:space="preserve">is selected from the §4.12 sweep (Figure 16,</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Appendix D.8.</w:t>
      </w:r>
    </w:p>
    <w:bookmarkEnd w:id="81"/>
    <w:bookmarkStart w:id="86" w:name="filtering"/>
    <w:p>
      <w:pPr>
        <w:pStyle w:val="Heading3"/>
        <w:keepNext/>
        <w:keepLines/>
        <w:widowControl w:val="1"/>
      </w:pPr>
      <w:r>
        <w:t xml:space="preserve">4.10 Filtering</w:t>
      </w:r>
    </w:p>
    <w:p>
      <w:pPr>
        <w:pStyle w:val="FirstParagraph"/>
        <w:jc w:val="both"/>
        <w:keepNext w:val="0"/>
        <w:keepLines w:val="0"/>
        <w:widowControl w:val="1"/>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BodyText"/>
        <w:jc w:val="both"/>
        <w:keepNext w:val="0"/>
        <w:keepLines w:val="0"/>
        <w:widowControl w:val="1"/>
      </w:pPr>
      <w:r>
        <w:t xml:space="preserve">Figure 14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[61]</w:t>
        </w:r>
      </w:hyperlink>
      <w:r>
        <w:t xml:space="preserve"> </w:t>
      </w:r>
      <w:r>
        <w:t xml:space="preserve">catalog removes radicals, sulphur, halogens, mixed valence states, and other red flags; survivors are scored by the Uni-Mol smoke ensemble. SA</w:t>
      </w:r>
      <w:r>
        <w:t xml:space="preserve"> </w:t>
      </w:r>
      <w:hyperlink w:anchor="ref-ertl2009sa">
        <w:r>
          <w:rPr>
            <w:rStyle w:val="Hyperlink"/>
          </w:rPr>
          <w:t xml:space="preserve">[53]</w:t>
        </w:r>
      </w:hyperlink>
      <w:r>
        <w:t xml:space="preserve"> </w:t>
      </w:r>
      <m:oMath>
        <m:r>
          <m:rPr>
            <m:sty m:val="p"/>
          </m:rPr>
          <m:t>≤</m:t>
        </m:r>
      </m:oMath>
      <w:r>
        <w:t xml:space="preserve"> 5.0 and SCScore</w:t>
      </w:r>
      <w:r>
        <w:t xml:space="preserve"> </w:t>
      </w:r>
      <w:hyperlink w:anchor="ref-coley2018scscore">
        <w:r>
          <w:rPr>
            <w:rStyle w:val="Hyperlink"/>
          </w:rPr>
          <w:t xml:space="preserve">[54]</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BodyText"/>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FirstParagraph"/>
        <w:jc w:val="both"/>
        <w:keepNext w:val="0"/>
        <w:keepLines w:val="0"/>
        <w:widowControl w:val="1"/>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Uni-Mol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(§5.3).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(§5.3). Illustrative survivors at the §5 production setting: pool=40k</w:t>
      </w:r>
      <w:r>
        <w:t xml:space="preserve"> </w:t>
      </w:r>
      <m:oMath>
        <m:r>
          <m:rPr>
            <m:sty m:val="p"/>
          </m:rPr>
          <m:t>→</m:t>
        </m:r>
      </m:oMath>
      <w:r>
        <w:t xml:space="preserve"> </w:t>
      </w:r>
      <m:oMath>
        <m:r>
          <m:rPr>
            <m:sty m:val="p"/>
          </m:rPr>
          <m:t>∼</m:t>
        </m:r>
      </m:oMath>
      <w:r>
        <w:t xml:space="preserve">1 800 chem-pass after Stage 1+2 (4.6 % Stage-1+2 pass rate; 966 survive the full Uni-Mol + composite filter, §F.2)</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11 DFT-validated lead cards.</w:t>
      </w:r>
    </w:p>
    <w:bookmarkStart w:id="85" w:name="fig-14"/>
    <w:p>
      <w:pPr>
        <w:pStyle w:val="BodyText"/>
        <w:jc w:val="center"/>
        <w:keepNext/>
        <w:keepLines/>
        <w:widowControl w:val="1"/>
      </w:pPr>
      <w:r>
        <w:drawing>
          <wp:inline>
            <wp:extent cx="5943600" cy="3343275"/>
            <wp:effectExtent b="0" l="0" r="0" t="0"/>
            <wp:docPr descr="DGLD post-sampling: decode, filter, rerank" title="" id="83" name="Picture"/>
            <a:graphic>
              <a:graphicData uri="http://schemas.openxmlformats.org/drawingml/2006/picture">
                <pic:pic>
                  <pic:nvPicPr>
                    <pic:cNvPr descr="figs/fig4d_decode_rerank.png" id="84" name="Picture"/>
                    <pic:cNvPicPr>
                      <a:picLocks noChangeArrowheads="1" noChangeAspect="1"/>
                    </pic:cNvPicPr>
                  </pic:nvPicPr>
                  <pic:blipFill>
                    <a:blip r:embed="rId8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m:oMath>
        <m:r>
          <m:rPr>
            <m:sty m:val="p"/>
          </m:rPr>
          <m:t>→</m:t>
        </m:r>
      </m:oMath>
      <m:oMath>
        <m:r>
          <m:rPr>
            <m:sty m:val="p"/>
          </m:rPr>
          <m:t>→</m:t>
        </m:r>
      </m:oMath>
      <w:r>
        <w:rPr>
          <w:b/>
          <w:i/>
        </w:rPr>
        <w:t>Figure 14.</w:t>
      </w:r>
      <w:r>
        <w:rPr>
          <w:b w:val="0"/>
          <w:i/>
        </w:rPr>
        <w:t xml:space="preserve"> </w:t>
      </w:r>
      <w:r>
        <w:rPr>
          <w:b w:val="0"/>
          <w:i/>
        </w:rPr>
        <w:t>Four-stage funnel on the Figure 15 Pool fusion output: Stage 1 SMARTS gate, Stage 2 Pareto reranker (this section), Stage 3 xTB triage (§5.3), Stage 4 DFT audit (§5.3). Illustrative survivors: 40k  1 800 chem-pass after Stage 1+2 (966 full-filter survivors, §F.2)  top-100  11 DFT-validated.</w:t>
      </w:r>
    </w:p>
    <w:bookmarkEnd w:id="85"/>
    <w:p>
      <w:pPr>
        <w:pStyle w:val="BodyText"/>
        <w:jc w:val="both"/>
        <w:keepNext w:val="0"/>
        <w:keepLines w:val="0"/>
        <w:widowControl w:val="1"/>
      </w:pPr>
      <w:r>
        <w:t xml:space="preserve">The Pareto-front procedure in Stage 2 is the four-step sweep:</w:t>
      </w:r>
    </w:p>
    <w:p>
      <w:pPr>
        <w:pStyle w:val="Compact"/>
        <w:numPr>
          <w:ilvl w:val="0"/>
          <w:numId w:val="1002"/>
        </w:numPr>
        <w:ind w:left="360" w:hanging="259"/>
        <w:jc w:val="both"/>
        <w:keepNext w:val="0"/>
        <w:keepLines w:val="0"/>
        <w:widowControl w:val="1"/>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numPr>
          <w:ilvl w:val="0"/>
          <w:numId w:val="1002"/>
        </w:numPr>
        <w:ind w:left="360" w:hanging="259"/>
        <w:jc w:val="both"/>
        <w:keepNext w:val="0"/>
        <w:keepLines w:val="0"/>
        <w:widowControl w:val="1"/>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numPr>
          <w:ilvl w:val="0"/>
          <w:numId w:val="1002"/>
        </w:numPr>
        <w:ind w:left="360" w:hanging="259"/>
        <w:jc w:val="both"/>
        <w:keepNext w:val="0"/>
        <w:keepLines w:val="0"/>
        <w:widowControl w:val="1"/>
      </w:pPr>
      <w:r>
        <w:rPr>
          <w:b/>
          <w:bCs/>
        </w:rPr>
        <w:t xml:space="preserve">Sort</w:t>
      </w:r>
      <w:r>
        <w:t xml:space="preserve"> </w:t>
      </w:r>
      <w:r>
        <w:t xml:space="preserve">with a two-key order: Pareto-front candidates first, then non-front; within each stratum by composite descending.</w:t>
      </w:r>
    </w:p>
    <w:p>
      <w:pPr>
        <w:pStyle w:val="Compact"/>
        <w:numPr>
          <w:ilvl w:val="0"/>
          <w:numId w:val="1002"/>
        </w:numPr>
        <w:ind w:left="360" w:hanging="259"/>
        <w:jc w:val="both"/>
        <w:keepNext w:val="0"/>
        <w:keepLines w:val="0"/>
        <w:widowControl w:val="1"/>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bookmarkEnd w:id="86"/>
    <w:bookmarkStart w:id="91" w:name="pool-fusion-across-sampling-runs"/>
    <w:p>
      <w:pPr>
        <w:pStyle w:val="Heading3"/>
        <w:keepNext/>
        <w:keepLines/>
        <w:widowControl w:val="1"/>
      </w:pPr>
      <w:r>
        <w:t xml:space="preserve">4.11 Pool fusion across sampling runs</w:t>
      </w:r>
    </w:p>
    <w:p>
      <w:pPr>
        <w:pStyle w:val="FirstParagraph"/>
        <w:jc w:val="both"/>
        <w:keepNext w:val="0"/>
        <w:keepLines w:val="0"/>
        <w:widowControl w:val="1"/>
      </w:pPr>
      <w:r>
        <w:t xml:space="preserve">A single sampling lane fixes one (denoiser, conditions, guidance) tuple. Pool fusion runs multiple lanes in parallel and unions their decoded SMILES outputs, exploiting the lanes' independent failure modes for diversity. The §4.10 reranker is what tie-breaks across the fused pool.</w:t>
      </w:r>
    </w:p>
    <w:p>
      <w:pPr>
        <w:pStyle w:val="BodyText"/>
        <w:jc w:val="both"/>
        <w:keepNext w:val="0"/>
        <w:keepLines w:val="0"/>
        <w:widowControl w:val="1"/>
      </w:pPr>
      <w:r>
        <w:t xml:space="preserve">Figure 15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§F.4 four-pool merge (which adds two unguided ablation lanes) is a presentation choice for the merged top-100 result, not the production methodology recipe.</w:t>
      </w:r>
    </w:p>
    <w:bookmarkStart w:id="90" w:name="fig-15"/>
    <w:p>
      <w:pPr>
        <w:pStyle w:val="BodyText"/>
        <w:jc w:val="center"/>
        <w:keepNext/>
        <w:keepLines/>
        <w:widowControl w:val="1"/>
      </w:pPr>
      <w:r>
        <w:drawing>
          <wp:inline>
            <wp:extent cx="5943600" cy="3345052"/>
            <wp:effectExtent b="0" l="0" r="0" t="0"/>
            <wp:docPr descr="DGLD pool fusion across sampling runs: 4 lanes (2 guided production, 2 unguided baseline) varying denoiser and guidance, fanned into Union + canonical-SMILES dedupe" title="" id="88" name="Picture"/>
            <a:graphic>
              <a:graphicData uri="http://schemas.openxmlformats.org/drawingml/2006/picture">
                <pic:pic>
                  <pic:nvPicPr>
                    <pic:cNvPr descr="figs/fig4g_pool_fusion.png" id="89" name="Picture"/>
                    <pic:cNvPicPr>
                      <a:picLocks noChangeArrowheads="1" noChangeAspect="1"/>
                    </pic:cNvPicPr>
                  </pic:nvPicPr>
                  <pic:blipFill>
                    <a:blip r:embed="rId87"/>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w:r>
        <w:rPr>
          <w:b/>
          <w:i/>
        </w:rPr>
        <w:t>Figure 15.</w:t>
      </w:r>
      <w:r>
        <w:rPr>
          <w:b w:val="0"/>
          <w:i/>
        </w:rPr>
        <w:t xml:space="preserve"> </w:t>
      </w:r>
      <w:r>
        <w:rPr>
          <w:b w:val="0"/>
          <w:i/>
        </w:rPr>
        <w:t>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 draw → 40 DDIM → LIMO decode); the four pools converge to a single Union + canonical-SMILES dedupe step that feeds the §4.10 reranker (Figure 14).</w:t>
      </w:r>
    </w:p>
    <w:bookmarkEnd w:id="90"/>
    <w:bookmarkEnd w:id="91"/>
    <w:bookmarkStart w:id="98" w:name="training-and-hyperparameter-selection"/>
    <w:p>
      <w:pPr>
        <w:pStyle w:val="Heading3"/>
        <w:keepNext/>
        <w:keepLines/>
        <w:widowControl w:val="1"/>
      </w:pPr>
      <w:r>
        <w:t xml:space="preserve">4.12 Training and hyperparameter selection</w:t>
      </w:r>
    </w:p>
    <w:p>
      <w:pPr>
        <w:pStyle w:val="FirstParagraph"/>
        <w:jc w:val="both"/>
        <w:keepNext w:val="0"/>
        <w:keepLines w:val="0"/>
        <w:widowControl w:val="1"/>
      </w:pPr>
      <w:r>
        <w:t xml:space="preserve">Every numeric constant in §4.2-§4.11 is selected by one of four mechanisms: empirically swept, stop-criterion-driven, inherited from prior work, or chemist-set. This section walks each bucket and flags what was empirically verified versus what was a defensible default.</w:t>
      </w:r>
    </w:p>
    <w:p>
      <w:pPr>
        <w:pStyle w:val="BodyText"/>
        <w:jc w:val="both"/>
        <w:keepNext w:val="0"/>
        <w:keepLines w:val="0"/>
        <w:widowControl w:val="1"/>
      </w:pPr>
      <w:r>
        <w:t xml:space="preserve">Every numeric constant introduced in §4.2–§4.11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BodyText"/>
        <w:jc w:val="both"/>
        <w:keepNext w:val="0"/>
        <w:keepLines w:val="0"/>
        <w:widowControl w:val="1"/>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16) and the candidate pool size (Figure 17).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§F.4 multi-axis matrix (full grid in Appendix D.6),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Appendix B.3).</w:t>
      </w:r>
    </w:p>
    <w:p>
      <w:pPr>
        <w:pStyle w:val="BodyText"/>
        <w:jc w:val="center"/>
        <w:keepNext/>
        <w:keepLines/>
        <w:widowControl w:val="1"/>
      </w:pPr>
      <w:r>
        <w:drawing>
          <wp:inline>
            <wp:extent cx="5943600" cy="3516503"/>
            <wp:effectExtent b="0" l="0" r="0" t="0"/>
            <wp:docPr descr="CFG sweep" title="" id="93" name="Picture"/>
            <a:graphic>
              <a:graphicData uri="http://schemas.openxmlformats.org/drawingml/2006/picture">
                <pic:pic>
                  <pic:nvPicPr>
                    <pic:cNvPr descr="figs/fig2_cfg_sweep.png" id="94" name="Picture"/>
                    <pic:cNvPicPr>
                      <a:picLocks noChangeArrowheads="1" noChangeAspect="1"/>
                    </pic:cNvPicPr>
                  </pic:nvPicPr>
                  <pic:blipFill>
                    <a:blip r:embed="rId92"/>
                    <a:stretch>
                      <a:fillRect/>
                    </a:stretch>
                  </pic:blipFill>
                  <pic:spPr bwMode="auto">
                    <a:xfrm>
                      <a:off x="0" y="0"/>
                      <a:ext cx="5943600" cy="351650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w</m:t>
        </m:r>
      </m:oMath>
      <m:oMath>
        <m:r>
          <m:t>w</m:t>
        </m:r>
        <m:r>
          <m:rPr>
            <m:sty m:val="p"/>
          </m:rPr>
          <m:t>=</m:t>
        </m:r>
        <m:r>
          <m:t>7</m:t>
        </m:r>
      </m:oMath>
      <w:r>
        <w:rPr>
          <w:b/>
          <w:i/>
        </w:rPr>
        <w:t>Figure 16.</w:t>
      </w:r>
      <w:r>
        <w:rPr>
          <w:b w:val="0"/>
          <w:i/>
        </w:rPr>
        <w:t xml:space="preserve"> </w:t>
      </w:r>
      <w:r>
        <w:rPr>
          <w:b w:val="0"/>
          <w:i/>
        </w:rPr>
        <w:t>Classifier-free guidance scale  sweep at pool=8 000 per setting, ranked by the two-denoiser pool.  is the empirical sweet spot.</w:t>
      </w:r>
    </w:p>
    <w:p>
      <w:pPr>
        <w:pStyle w:val="BodyText"/>
        <w:jc w:val="center"/>
        <w:keepNext/>
        <w:keepLines/>
        <w:widowControl w:val="1"/>
      </w:pPr>
      <w:r>
        <w:drawing>
          <wp:inline>
            <wp:extent cx="5943600" cy="3348690"/>
            <wp:effectExtent b="0" l="0" r="0" t="0"/>
            <wp:docPr descr="Pool size scaling" title="" id="96" name="Picture"/>
            <a:graphic>
              <a:graphicData uri="http://schemas.openxmlformats.org/drawingml/2006/picture">
                <pic:pic>
                  <pic:nvPicPr>
                    <pic:cNvPr descr="figs/fig1_pool_scaling.png" id="97" name="Picture"/>
                    <pic:cNvPicPr>
                      <a:picLocks noChangeArrowheads="1" noChangeAspect="1"/>
                    </pic:cNvPicPr>
                  </pic:nvPicPr>
                  <pic:blipFill>
                    <a:blip r:embed="rId95"/>
                    <a:stretch>
                      <a:fillRect/>
                    </a:stretch>
                  </pic:blipFill>
                  <pic:spPr bwMode="auto">
                    <a:xfrm>
                      <a:off x="0" y="0"/>
                      <a:ext cx="5943600" cy="33486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17.</w:t>
      </w:r>
      <w:r>
        <w:rPr>
          <w:b w:val="0"/>
          <w:i/>
        </w:rPr>
        <w:t xml:space="preserve"> </w:t>
      </w:r>
      <w:r>
        <w:rPr>
          <w:b w:val="0"/>
          <w:i/>
        </w:rPr>
        <w:t>Pool size vs. (i) best composite score over top-1 candidate, (ii) number of candidates passing every filter. Both curves are still moving at pool=40k; the M7 five-lane 100k run (§F.5) confirms the trend: 4 639 passing candidates (4.8× the 40k baseline) with scaffold count expanding from 7 to 24.</w:t>
      </w:r>
    </w:p>
    <w:p>
      <w:pPr>
        <w:pStyle w:val="BodyText"/>
        <w:jc w:val="both"/>
        <w:keepNext w:val="0"/>
        <w:keepLines w:val="0"/>
        <w:widowControl w:val="1"/>
      </w:pPr>
      <w:r>
        <w:t xml:space="preserve">The second bucket is stop-criterion-driven. The self-distillation round count was set by the held-out probe described in §4.8, which requires every anchor at</w:t>
      </w:r>
      <w:r>
        <w:t xml:space="preserve"> </w:t>
      </w:r>
      <m:oMath>
        <m:r>
          <m:rPr>
            <m:sty m:val="p"/>
          </m:rPr>
          <m:t>≥</m:t>
        </m:r>
      </m:oMath>
      <w:r>
        <w:t xml:space="preserve"> 0.86 and every gaming molecule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configuration that demotes the worst gaming molecule (gem-tetranitro) furthest, to viability 0.74. The hard-negative count (918) is the cumulative round-2 mining yield, not a tuned target.</w:t>
      </w:r>
    </w:p>
    <w:p>
      <w:pPr>
        <w:pStyle w:val="BodyText"/>
        <w:jc w:val="both"/>
        <w:keepNext w:val="0"/>
        <w:keepLines w:val="0"/>
        <w:widowControl w:val="1"/>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[21]</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BodyText"/>
        <w:jc w:val="both"/>
        <w:keepNext w:val="0"/>
        <w:keepLines w:val="0"/>
        <w:widowControl w:val="1"/>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high-energy-density-materials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BodyText"/>
        <w:jc w:val="both"/>
        <w:keepNext w:val="0"/>
        <w:keepLines w:val="0"/>
        <w:widowControl w:val="1"/>
      </w:pPr>
      <w:r>
        <w:t xml:space="preserve">The selection procedure uses 1D ablations throughout: each hyperparameter is fixed by a per-axis sweep, a stop-criterion count, a prior-art default, or a chemist-set threshold, with the full grids in §5 and Appendix D. A joint optimisation over (</w:t>
      </w:r>
      <m:oMath>
        <m:r>
          <m:t>w</m:t>
        </m:r>
      </m:oMath>
      <w:r>
        <w:t xml:space="preserve">,</w:t>
      </w:r>
      <w:r>
        <w:t xml:space="preserve"> </w:t>
      </w:r>
      <m:oMath>
        <m:sSub>
          <m:e>
            <m:r>
              <m:t>s</m:t>
            </m:r>
          </m:e>
          <m:sub>
            <m:r>
              <m:t>h</m:t>
            </m:r>
          </m:sub>
        </m:sSub>
      </m:oMath>
      <w:r>
        <w:t xml:space="preserve">, pool size) and per-target retuning are scoped as future work. §5.6 hosts only the</w:t>
      </w:r>
      <w:r>
        <w:t xml:space="preserve"> </w:t>
      </w:r>
      <w:r>
        <w:rPr>
          <w:i/>
          <w:iCs/>
        </w:rPr>
        <w:t xml:space="preserve">use</w:t>
      </w:r>
      <w:r>
        <w:t xml:space="preserve"> </w:t>
      </w:r>
      <w:r>
        <w:t xml:space="preserve">of these settings (baseline comparisons, top-1 metrics) and Appendix D gives the full per-axis grids; the selection process lives here. The full compute footprint is summarised in Appendix D.2.</w:t>
      </w:r>
    </w:p>
    <w:bookmarkEnd w:id="98"/>
    <w:bookmarkStart w:id="99" w:name="baseline-generators"/>
    <w:p>
      <w:pPr>
        <w:pStyle w:val="Heading3"/>
        <w:keepNext/>
        <w:keepLines/>
        <w:widowControl w:val="1"/>
      </w:pPr>
      <w:r>
        <w:t xml:space="preserve">4.13 Baseline generators</w:t>
      </w:r>
    </w:p>
    <w:p>
      <w:pPr>
        <w:pStyle w:val="FirstParagraph"/>
        <w:jc w:val="both"/>
        <w:keepNext w:val="0"/>
        <w:keepLines w:val="0"/>
        <w:widowControl w:val="1"/>
      </w:pPr>
      <w:r>
        <w:t xml:space="preserve">Four no-diffusion baselines are run through the identical downstream validation pipeline (canonicalisation, chemistry filters, Uni-Mol surrogate scoring, novelty window) on the same training corpus, so that any difference reflects the generator rather than the evaluation.</w:t>
      </w:r>
    </w:p>
    <w:p>
      <w:pPr>
        <w:pStyle w:val="BodyText"/>
        <w:jc w:val="both"/>
        <w:keepNext w:val="0"/>
        <w:keepLines w:val="0"/>
        <w:widowControl w:val="1"/>
      </w:pPr>
      <w:r>
        <w:rPr>
          <w:b/>
          <w:bCs/>
        </w:rPr>
        <w:t xml:space="preserve">SMILES-LSTM.</w:t>
      </w:r>
      <w:r>
        <w:t xml:space="preserve"> </w:t>
      </w:r>
      <w:r>
        <w:t xml:space="preserve">A character-level LSTM (embedding</w:t>
      </w:r>
      <w:r>
        <w:t xml:space="preserve"> </w:t>
      </w:r>
      <m:oMath>
        <m:r>
          <m:rPr>
            <m:sty m:val="p"/>
          </m:rPr>
          <m:t>→</m:t>
        </m:r>
      </m:oMath>
      <w:r>
        <w:t xml:space="preserve"> </w:t>
      </w:r>
      <w:r>
        <w:t xml:space="preserve">2-layer LSTM, 512 hidden units,</w:t>
      </w:r>
      <w:r>
        <w:t xml:space="preserve"> </w:t>
      </w:r>
      <m:oMath>
        <m:r>
          <m:rPr>
            <m:sty m:val="p"/>
          </m:rPr>
          <m:t>∼</m:t>
        </m:r>
      </m:oMath>
      <w:r>
        <w:t xml:space="preserve">6 M parameters) trained from scratch on the 326 k-molecule energetic SMILES corpus (AdamW, learning rate</w:t>
      </w:r>
      <w:r>
        <w:t xml:space="preserve"> </w:t>
      </w:r>
      <m:oMath>
        <m:sSup>
          <m:e>
            <m:r>
              <m:t>10</m:t>
            </m:r>
          </m:e>
          <m:sup>
            <m:r>
              <m:rPr>
                <m:sty m:val="p"/>
              </m:rPr>
              <m:t>−</m:t>
            </m:r>
            <m:r>
              <m:t>3</m:t>
            </m:r>
          </m:sup>
        </m:sSup>
      </m:oMath>
      <w:r>
        <w:t xml:space="preserve">, weight decay</w:t>
      </w:r>
      <w:r>
        <w:t xml:space="preserve"> </w:t>
      </w:r>
      <m:oMath>
        <m:sSup>
          <m:e>
            <m:r>
              <m:t>10</m:t>
            </m:r>
          </m:e>
          <m:sup>
            <m:r>
              <m:rPr>
                <m:sty m:val="p"/>
              </m:rPr>
              <m:t>−</m:t>
            </m:r>
            <m:r>
              <m:t>4</m:t>
            </m:r>
          </m:sup>
        </m:sSup>
      </m:oMath>
      <w:r>
        <w:t xml:space="preserve">, batch 128, gradient clip 1.0, 5 epochs, sequence length</w:t>
      </w:r>
      <w:r>
        <w:t xml:space="preserve"> </w:t>
      </w:r>
      <m:oMath>
        <m:r>
          <m:rPr>
            <m:sty m:val="p"/>
          </m:rPr>
          <m:t>≤</m:t>
        </m:r>
      </m:oMath>
      <w:r>
        <w:t xml:space="preserve"> 120). Ten thousand SMILES are sampled autoregressively at temperature 1.0 for each of three seeds. This baseline matches DGLD's corpus and parameter budget but omits diffusion and score-model guidance.</w:t>
      </w:r>
    </w:p>
    <w:p>
      <w:pPr>
        <w:pStyle w:val="BodyText"/>
        <w:jc w:val="both"/>
        <w:keepNext w:val="0"/>
        <w:keepLines w:val="0"/>
        <w:widowControl w:val="1"/>
      </w:pPr>
      <w:r>
        <w:rPr>
          <w:b/>
          <w:bCs/>
        </w:rPr>
        <w:t xml:space="preserve">SELFIES-GA.</w:t>
      </w:r>
      <w:r>
        <w:t xml:space="preserve"> </w:t>
      </w:r>
      <w:r>
        <w:t xml:space="preserve">A genetic algorithm over SELFIES (</w:t>
      </w:r>
      <w:r>
        <w:rPr>
          <w:rStyle w:val="VerbatimChar"/>
        </w:rPr>
        <w:t xml:space="preserve">selfies</w:t>
      </w:r>
      <w:r>
        <w:t xml:space="preserve"> 2.1.1: token substitution/insertion/deletion up to three mutations, single-point crossover), initialised from the same corpus and optimising the DGLD Pareto composite (viability, sensitivity, novelty, performance) each generation. The primary run evolves a population of 2 000 over 30 generations (elite fraction 0.50, new fraction 0.20, crossover fraction 0.15, seed 42); a compute-matched variant evolves 40 000 over 15 generations. Every candidate is scored each generation by the same Uni-Mol surrogate; the 40 000-pool best-novel candidate is carried through the full B3LYP/6-31G(d)</w:t>
      </w:r>
      <w:r>
        <w:t xml:space="preserve"> </w:t>
      </w:r>
      <m:oMath>
        <m:r>
          <m:rPr>
            <m:sty m:val="p"/>
          </m:rPr>
          <m:t>→</m:t>
        </m:r>
      </m:oMath>
      <w:r>
        <w:t xml:space="preserve"> </w:t>
      </w:r>
      <m:oMath>
        <m:r>
          <m:t>ω</m:t>
        </m:r>
      </m:oMath>
      <w:r>
        <w:t xml:space="preserve">B97X-D3BJ/def2-TZVP</w:t>
      </w:r>
      <w:r>
        <w:t xml:space="preserve"> </w:t>
      </w:r>
      <m:oMath>
        <m:r>
          <m:rPr>
            <m:sty m:val="p"/>
          </m:rPr>
          <m:t>→</m:t>
        </m:r>
      </m:oMath>
      <w:r>
        <w:t xml:space="preserve"> </w:t>
      </w:r>
      <w:r>
        <w:t xml:space="preserve">Kamlet–Jacobs DFT audit.</w:t>
      </w:r>
    </w:p>
    <w:p>
      <w:pPr>
        <w:pStyle w:val="BodyText"/>
        <w:jc w:val="both"/>
        <w:keepNext w:val="0"/>
        <w:keepLines w:val="0"/>
        <w:widowControl w:val="1"/>
      </w:pPr>
      <w:r>
        <w:rPr>
          <w:b/>
          <w:bCs/>
        </w:rPr>
        <w:t xml:space="preserve">MolMIM 70 M.</w:t>
      </w:r>
      <w:r>
        <w:t xml:space="preserve"> </w:t>
      </w:r>
      <w:r>
        <w:t xml:space="preserve">NVIDIA MolMIM (</w:t>
      </w:r>
      <m:oMath>
        <m:r>
          <m:rPr>
            <m:sty m:val="p"/>
          </m:rPr>
          <m:t>∼</m:t>
        </m:r>
      </m:oMath>
      <w:r>
        <w:t xml:space="preserve">70 M parameters,</w:t>
      </w:r>
      <w:r>
        <w:t xml:space="preserve"> </w:t>
      </w:r>
      <w:r>
        <w:rPr>
          <w:rStyle w:val="VerbatimChar"/>
        </w:rPr>
        <w:t xml:space="preserve">molmim_70m_24_3</w:t>
      </w:r>
      <w:r>
        <w:t xml:space="preserve"> </w:t>
      </w:r>
      <w:r>
        <w:t xml:space="preserve">checkpoint, BioNeMo 1.5), used pretrained without energetic-domain fine-tuning as an out-of-domain reference. Molecules are produced by greedy–perturbate latent decoding (scaled radius 1.0, single seed), yielding 5 598 samples that are scored on the same surrogate. Its composite is on an uncalibrated scale and is not comparable to the other methods.</w:t>
      </w:r>
    </w:p>
    <w:p>
      <w:pPr>
        <w:pStyle w:val="BodyText"/>
        <w:jc w:val="both"/>
        <w:keepNext w:val="0"/>
        <w:keepLines w:val="0"/>
        <w:widowControl w:val="1"/>
      </w:pPr>
      <w:r>
        <w:rPr>
          <w:b/>
          <w:bCs/>
        </w:rPr>
        <w:t xml:space="preserve">REINVENT 4.</w:t>
      </w:r>
      <w:r>
        <w:t xml:space="preserve"> </w:t>
      </w:r>
      <w:r>
        <w:t xml:space="preserve">AstraZeneca REINVENT 4 (v4.4.12) with reinforcement-learning fine-tuning of its built-in SMILES-transformer prior under an N-fraction-oriented reward (N-rich substructure match, synthetic-accessibility penalty, molecular-weight floor, CHNO alerts), with no DGLD-corpus pretraining. The 40 000-target run uses 8 000 reinforcement-learning steps; a multi-seed variant uses staged learning (2 000 steps, DAP,</w:t>
      </w:r>
      <w:r>
        <w:t xml:space="preserve"> </w:t>
      </w:r>
      <m:oMath>
        <m:r>
          <m:t>σ</m:t>
        </m:r>
        <m:r>
          <m:rPr>
            <m:sty m:val="p"/>
          </m:rPr>
          <m:t>=</m:t>
        </m:r>
        <m:r>
          <m:t>128</m:t>
        </m:r>
      </m:oMath>
      <w:r>
        <w:t xml:space="preserve">, seeds 42/1/2). Because the reward does not target</w:t>
      </w:r>
      <w:r>
        <w:t xml:space="preserve"> </w:t>
      </w:r>
      <m:oMath>
        <m:r>
          <m:t>ρ</m:t>
        </m:r>
      </m:oMath>
      <w:r>
        <w:t xml:space="preserve">/</w:t>
      </w:r>
      <m:oMath>
        <m:r>
          <m:t>D</m:t>
        </m:r>
      </m:oMath>
      <w:r>
        <w:t xml:space="preserve">/</w:t>
      </w:r>
      <m:oMath>
        <m:r>
          <m:t>P</m:t>
        </m:r>
      </m:oMath>
      <w:r>
        <w:t xml:space="preserve"> </w:t>
      </w:r>
      <w:r>
        <w:t xml:space="preserve">directly, the top-100 by N-fraction are scored post hoc on the same surrogate.</w:t>
      </w:r>
    </w:p>
    <w:p>
      <w:pPr>
        <w:pStyle w:val="BodyText"/>
        <w:jc w:val="both"/>
        <w:keepNext w:val="0"/>
        <w:keepLines w:val="0"/>
        <w:widowControl w:val="1"/>
      </w:pPr>
      <w:r>
        <w:t xml:space="preserve">All four baselines are scored on the same Uni-Mol surrogate; only the SELFIES-GA best-novel candidate is carried to DFT. The reranker composite is generator-internal for SELFIES-GA, an N-fraction proxy for REINVENT 4, and uncalibrated for MolMIM, so composite values are compared within, not across, methods.</w:t>
      </w:r>
    </w:p>
    <w:bookmarkEnd w:id="99"/>
    <w:bookmarkEnd w:id="100"/>
    <w:bookmarkStart w:id="137" w:name="sec-exp"/>
    <w:p>
      <w:pPr>
        <w:pStyle w:val="Heading2"/>
        <w:keepNext/>
        <w:keepLines/>
        <w:widowControl w:val="1"/>
      </w:pPr>
      <w:r>
        <w:t xml:space="preserve">5. Experiments</w:t>
      </w:r>
    </w:p>
    <w:bookmarkStart w:id="101" w:name="roadmap-and-headline-targets"/>
    <w:p>
      <w:pPr>
        <w:pStyle w:val="Heading3"/>
        <w:keepNext/>
        <w:keepLines/>
        <w:widowControl w:val="1"/>
      </w:pPr>
      <w:r>
        <w:t xml:space="preserve">5.1 Roadmap and headline targets</w:t>
      </w:r>
    </w:p>
    <w:p>
      <w:pPr>
        <w:pStyle w:val="FirstParagraph"/>
        <w:jc w:val="both"/>
        <w:keepNext w:val="0"/>
        <w:keepLines w:val="0"/>
        <w:widowControl w:val="1"/>
      </w:pPr>
      <w:r>
        <w:t xml:space="preserve">§5 is structured results-first: §5.2 reports the gated Pareto reranker top leads (Stages 1+2 of the validation chain); §5.3 reports physics validation (xTB triage and DFT confirmation, Stages 3+4); §5.4 combines novelty, retrosynthesis, and the E-set scaffold-diversity audit; §5.5 contrasts DGLD against no-diffusion baselines; §5.6 is the ablation summary. The four headline targets are</w:t>
      </w:r>
      <w:r>
        <w:t xml:space="preserve"> </w:t>
      </w:r>
      <m:oMath>
        <m:r>
          <m:t>ρ</m:t>
        </m:r>
        <m:r>
          <m:rPr>
            <m:sty m:val="p"/>
          </m:rPr>
          <m:t>≥</m:t>
        </m:r>
        <m:r>
          <m:t>1.85</m:t>
        </m:r>
      </m:oMath>
      <w:r>
        <w:t xml:space="preserve"> g/cm</w:t>
      </w:r>
      <w:r>
        <w:rPr>
          <w:vertAlign w:val="superscript"/>
        </w:rPr>
        <w:t xml:space="preserve">3</w:t>
      </w:r>
      <w:r>
        <w:t xml:space="preserve">,</w:t>
      </w:r>
      <w:r>
        <w:t xml:space="preserve"> </w:t>
      </w:r>
      <m:oMath>
        <m:r>
          <m:t>D</m:t>
        </m:r>
        <m:r>
          <m:rPr>
            <m:sty m:val="p"/>
          </m:rPr>
          <m:t>≥</m:t>
        </m:r>
        <m:r>
          <m:t>9.0</m:t>
        </m:r>
      </m:oMath>
      <w:r>
        <w:t xml:space="preserve"> km/s,</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§4.10 (Fig 14). Hyperparameters and the production configuration (CFG=7, pool</w:t>
      </w:r>
      <w:r>
        <w:t xml:space="preserve"> </w:t>
      </w:r>
      <m:oMath>
        <m:r>
          <m:rPr>
            <m:sty m:val="p"/>
          </m:rPr>
          <m:t>≥</m:t>
        </m:r>
      </m:oMath>
      <w:r>
        <w:t xml:space="preserve"> </w:t>
      </w:r>
      <w:r>
        <w:t xml:space="preserve">40k per denoiser, alpha-anneal disabled) are documented in §4.12 and Appendix B.5 (Table B.5) and are not re-derived here.</w:t>
      </w:r>
    </w:p>
    <w:bookmarkEnd w:id="101"/>
    <w:bookmarkStart w:id="109" w:name="X44f1f51bcdec0f0d500c05572a47919d181fce8"/>
    <w:p>
      <w:pPr>
        <w:pStyle w:val="Heading3"/>
        <w:keepNext/>
        <w:keepLines/>
        <w:widowControl w:val="1"/>
      </w:pPr>
      <w:r>
        <w:t xml:space="preserve">5.2 Top leads from the gated Pareto reranker (Stages 1+2)</w:t>
      </w:r>
    </w:p>
    <w:p>
      <w:pPr>
        <w:pStyle w:val="FirstParagraph"/>
        <w:jc w:val="both"/>
        <w:keepNext w:val="0"/>
        <w:keepLines w:val="0"/>
        <w:widowControl w:val="1"/>
      </w:pPr>
      <w:r>
        <w:t xml:space="preserve">Applying the §4.10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 20). The eleven chem-pass leads are shown in Figure 19.</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Appendix D.10).</w:t>
      </w:r>
    </w:p>
    <w:bookmarkStart w:id="105" w:name="fig-lead-cards-grid"/>
    <w:p>
      <w:pPr>
        <w:pStyle w:val="BodyText"/>
        <w:jc w:val="center"/>
        <w:keepNext/>
        <w:keepLines/>
        <w:widowControl w:val="1"/>
      </w:pPr>
      <w:r>
        <w:drawing>
          <wp:inline>
            <wp:extent cx="5943600" cy="5063204"/>
            <wp:effectExtent b="0" l="0" r="0" t="0"/>
            <wp:docPr descr="Eleven DGLD lead cards in a grid" title="" id="103" name="Picture"/>
            <a:graphic>
              <a:graphicData uri="http://schemas.openxmlformats.org/drawingml/2006/picture">
                <pic:pic>
                  <pic:nvPicPr>
                    <pic:cNvPr descr="figs/fig_lead_cards_grid.png" id="104" name="Picture"/>
                    <pic:cNvPicPr>
                      <a:picLocks noChangeArrowheads="1" noChangeAspect="1"/>
                    </pic:cNvPicPr>
                  </pic:nvPicPr>
                  <pic:blipFill>
                    <a:blip r:embed="rId102"/>
                    <a:stretch>
                      <a:fillRect/>
                    </a:stretch>
                  </pic:blipFill>
                  <pic:spPr bwMode="auto">
                    <a:xfrm>
                      <a:off x="0" y="0"/>
                      <a:ext cx="5943600" cy="506320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oMath>
      <m:oMath>
        <m:r>
          <m:t>D</m:t>
        </m:r>
      </m:oMath>
      <m:oMath>
        <m:r>
          <m:t>P</m:t>
        </m:r>
      </m:oMath>
      <m:oMath>
        <m:r>
          <m:rPr>
            <m:sty m:val="p"/>
          </m:rPr>
          <m:t>≥</m:t>
        </m:r>
        <m:r>
          <m:t>1.5</m:t>
        </m:r>
      </m:oMath>
      <m:oMath>
        <m:r>
          <m:rPr>
            <m:sty m:val="p"/>
          </m:rPr>
          <m:t>&lt;</m:t>
        </m:r>
        <m:r>
          <m:t>1.5</m:t>
        </m:r>
      </m:oMath>
      <w:r>
        <w:rPr>
          <w:b/>
          <w:i/>
        </w:rPr>
        <w:t>Figure 19.</w:t>
      </w:r>
      <w:r>
        <w:rPr>
          <w:b w:val="0"/>
          <w:i/>
        </w:rPr>
        <w:t xml:space="preserve"> </w:t>
      </w:r>
      <w:r>
        <w:rPr>
          <w:b w:val="0"/>
          <w:i/>
        </w:rPr>
        <w:t>Eleven chem-pass DGLD leads (L1, L3, L4, L5, L9, L11, L13, L16, L18, L19, L20). Each card shows the RDKit 2D depiction, chemotype label, molecular formula, and 6-anchor-calibrated DFT/Kamlet–Jacobs values (, , , HOF). The status bar reports the four validation gates: SMARTS pass, Pareto rank (“Pareto –” for L20, added from the pool=80k extension set and not assigned a top-100 rank), xTB HOMO–LUMO status, and DFT. Border and fill colour encode electronic stability: blue = xTB gap  eV (pass); orange = gap  eV (fail, L3/L16). The bottom-right marker is a filled circle (DFT-converged minimum) or a triangle (xTB-gap fail, L3/L16); the top-right asterisk marks a DFT-confirmed real minimum (any “graph altered” label in the status bar is a zwitterionic-nitro canonical-SMILES round-trip artefact, not a real change).</w:t>
      </w:r>
    </w:p>
    <w:bookmarkEnd w:id="105"/>
    <w:p>
      <w:pPr>
        <w:pStyle w:val="BodyText"/>
        <w:jc w:val="both"/>
        <w:keepNext w:val="0"/>
        <w:keepLines w:val="0"/>
        <w:widowControl w:val="1"/>
      </w:pPr>
      <w:r>
        <w:t xml:space="preserve">The top leads (Figure 19, L1 and L3–L5) have viability 0.83–1.00, MW between 163 and 218 Da, and oxygen balance within ±15 %. Lead L1 is the aromatic trinitro-1,2-isoxazole, predicted at</w:t>
      </w:r>
      <w:r>
        <w:t xml:space="preserve"> </w:t>
      </w:r>
      <m:oMath>
        <m:r>
          <m:t>ρ</m:t>
        </m:r>
        <m:r>
          <m:rPr>
            <m:sty m:val="p"/>
          </m:rPr>
          <m:t>=</m:t>
        </m:r>
        <m:r>
          <m:t>2.00</m:t>
        </m:r>
      </m:oMath>
      <w:r>
        <w:t xml:space="preserve"> </w:t>
      </w:r>
      <w:r>
        <w:t xml:space="preserve">g/cm</w:t>
      </w:r>
      <w:r>
        <w:rPr>
          <w:vertAlign w:val="superscript"/>
        </w:rPr>
        <w:t xml:space="preserve">3</w:t>
      </w:r>
      <w:r>
        <w:t xml:space="preserve">,</w:t>
      </w:r>
      <w:r>
        <w:t xml:space="preserve"> </w:t>
      </w:r>
      <m:oMath>
        <m:r>
          <m:t>D</m:t>
        </m:r>
        <m:r>
          <m:rPr>
            <m:sty m:val="p"/>
          </m:rPr>
          <m:t>=</m:t>
        </m:r>
        <m:r>
          <m:t>9.56</m:t>
        </m:r>
      </m:oMath>
      <w:r>
        <w:t xml:space="preserve"> </w:t>
      </w:r>
      <w:r>
        <w:t xml:space="preserve">km/s,</w:t>
      </w:r>
      <w:r>
        <w:t xml:space="preserve"> </w:t>
      </w:r>
      <m:oMath>
        <m:r>
          <m:t>P</m:t>
        </m:r>
        <m:r>
          <m:rPr>
            <m:sty m:val="p"/>
          </m:rPr>
          <m:t>=</m:t>
        </m:r>
        <m:r>
          <m:t>40.5</m:t>
        </m:r>
      </m:oMath>
      <w:r>
        <w:t xml:space="preserve"> </w:t>
      </w:r>
      <w:r>
        <w:t xml:space="preserve">GPa on the Uni-Mol surrogate; its 6-anchor-calibrated Kamlet–Jacobs</w:t>
      </w:r>
      <w:r>
        <w:t xml:space="preserve"> </w:t>
      </w:r>
      <m:oMath>
        <m:r>
          <m:t>D</m:t>
        </m:r>
        <m:r>
          <m:rPr>
            <m:sty m:val="p"/>
          </m:rPr>
          <m:t>=</m:t>
        </m:r>
        <m:r>
          <m:t>8.25</m:t>
        </m:r>
      </m:oMath>
      <w:r>
        <w:t xml:space="preserve"> </w:t>
      </w:r>
      <w:r>
        <w:t xml:space="preserve">km/s ranks with the calibrated HMX (7.52 km/s) and PETN (8.24 km/s) anchors (Section 2.3).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 20); the top-200 survivors populate the high-detonation corner of the</w:t>
      </w:r>
      <w:r>
        <w:t xml:space="preserve"> </w:t>
      </w:r>
      <m:oMath>
        <m:r>
          <m:rPr>
            <m:sty m:val="p"/>
          </m:rPr>
          <m:t>(</m:t>
        </m:r>
        <m:r>
          <m:t>D</m:t>
        </m:r>
        <m:r>
          <m:rPr>
            <m:sty m:val="p"/>
          </m:rPr>
          <m:t>,</m:t>
        </m:r>
        <m:r>
          <m:t>P</m:t>
        </m:r>
        <m:r>
          <m:rPr>
            <m:sty m:val="p"/>
          </m:rPr>
          <m:t>)</m:t>
        </m:r>
      </m:oMath>
      <w:r>
        <w:t xml:space="preserve"> </w:t>
      </w:r>
      <w:r>
        <w:t xml:space="preserve">plane (Figure 2). Unguided single-objective ranking (without the gating layer) puts a polynitro-on-C2 gaming molecule (a surrogate-gaming false positive: high predicted score, physically implausible) at the top; the gates correctly reject it (full SMARTS-trace and rejected-candidate property tabulation in Appendix D.7).</w:t>
      </w:r>
    </w:p>
    <w:p>
      <w:pPr>
        <w:pStyle w:val="BodyText"/>
        <w:jc w:val="center"/>
        <w:keepNext/>
        <w:keepLines/>
        <w:widowControl w:val="1"/>
      </w:pPr>
      <w:r>
        <w:drawing>
          <wp:inline>
            <wp:extent cx="5943600" cy="3988623"/>
            <wp:effectExtent b="0" l="0" r="0" t="0"/>
            <wp:docPr descr="Pareto front of the gated reranker" title="" id="107" name="Picture"/>
            <a:graphic>
              <a:graphicData uri="http://schemas.openxmlformats.org/drawingml/2006/picture">
                <pic:pic>
                  <pic:nvPicPr>
                    <pic:cNvPr descr="figs/fig6_pareto_v2.png" id="108" name="Picture"/>
                    <pic:cNvPicPr>
                      <a:picLocks noChangeArrowheads="1" noChangeAspect="1"/>
                    </pic:cNvPicPr>
                  </pic:nvPicPr>
                  <pic:blipFill>
                    <a:blip r:embed="rId106"/>
                    <a:stretch>
                      <a:fillRect/>
                    </a:stretch>
                  </pic:blipFill>
                  <pic:spPr bwMode="auto">
                    <a:xfrm>
                      <a:off x="0" y="0"/>
                      <a:ext cx="5943600" cy="3988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20.</w:t>
      </w:r>
      <w:r>
        <w:rPr>
          <w:b w:val="0"/>
          <w:i/>
        </w:rPr>
        <w:t xml:space="preserve"> </w:t>
      </w:r>
      <w:r>
        <w:rPr>
          <w:b w:val="0"/>
          <w:i/>
        </w:rPr>
        <w:t>Filtered candidates (post hard-gate): saturating-performance score (x) vs. viability classifier output (y), coloured by sensitivity proxy. Stars mark the Pareto front.</w:t>
      </w:r>
    </w:p>
    <w:bookmarkEnd w:id="109"/>
    <w:bookmarkStart w:id="114" w:name="Xf6b2c372450e114420fe9f50105be8ff34efab6"/>
    <w:p>
      <w:pPr>
        <w:pStyle w:val="Heading3"/>
        <w:keepNext/>
        <w:keepLines/>
        <w:widowControl w:val="1"/>
      </w:pPr>
      <w:r>
        <w:t xml:space="preserve">5.3 Physics validation and DFT confirmation (Stages 3+4)</w:t>
      </w:r>
    </w:p>
    <w:p>
      <w:pPr>
        <w:pStyle w:val="FirstParagraph"/>
        <w:jc w:val="both"/>
        <w:keepNext w:val="0"/>
        <w:keepLines w:val="0"/>
        <w:widowControl w:val="1"/>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§6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Appendix C.12.</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yields the more physically-credible final set, which is the production configuration.</w:t>
      </w:r>
    </w:p>
    <w:p>
      <w:pPr>
        <w:pStyle w:val="BodyText"/>
        <w:jc w:val="both"/>
        <w:keepNext w:val="0"/>
        <w:keepLines w:val="0"/>
        <w:widowControl w:val="1"/>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11 chem-pass leads alongside two anchors (RDX, TATB) using GPU4PySCF (density from Bondi van-der-Waals integration with packing 0.69).</w:t>
      </w:r>
      <w:r>
        <w:t xml:space="preserve"> </w:t>
      </w:r>
      <w:r>
        <w:rPr>
          <w:b/>
          <w:bCs/>
        </w:rPr>
        <w:t xml:space="preserve">All eleven chem-pass leads + two anchors are real local minima</w:t>
      </w:r>
      <w:r>
        <w:t xml:space="preserve"> </w:t>
      </w:r>
      <w:r>
        <w:t xml:space="preserve">(no imaginary frequencies; min real modes 6.8–52 cm</w:t>
      </w:r>
      <w:r>
        <w:rPr>
          <w:vertAlign w:val="superscript"/>
        </w:rPr>
        <w:t xml:space="preserve">−1</w:t>
      </w:r>
      <w:r>
        <w:t xml:space="preserve">, with near-zero soft-torsion modes in L9 and L20); three SMARTS-rejected reference scaffolds (R2, R3, R14) optimised under the same protocol are in Appendix C.5. The candidates that do not advance to Stage 4 are accounted for in Appendix C.5 (45 removed at the Stage-2 hard filters; 28 fail K-J/imaginary-frequency/composition gates).</w:t>
      </w:r>
    </w:p>
    <w:p>
      <w:pPr>
        <w:pStyle w:val="BodyText"/>
        <w:jc w:val="both"/>
        <w:keepNext w:val="0"/>
        <w:keepLines w:val="0"/>
        <w:widowControl w:val="1"/>
      </w:pPr>
      <w:r>
        <w:rPr>
          <w:b/>
          <w:bCs/>
        </w:rPr>
        <w:t xml:space="preserve">6-anchor calibration (Table 2).</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kJ/mol, with leave-one-out RMS</w:t>
      </w:r>
      <w:r>
        <w:t xml:space="preserve"> </w:t>
      </w:r>
      <m:oMath>
        <m:r>
          <m:rPr>
            <m:sty m:val="p"/>
          </m:rPr>
          <m:t>±</m:t>
        </m:r>
        <m:r>
          <m:t>0.078</m:t>
        </m:r>
      </m:oMath>
      <w:r>
        <w:t xml:space="preserve"> g/cm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kJ/mol on HOF (full intercept derivation in Appendix C.1–C.3).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kJ/mol calibrates to</w:t>
      </w:r>
      <w:r>
        <w:t xml:space="preserve"> </w:t>
      </w:r>
      <m:oMath>
        <m:r>
          <m:rPr>
            <m:sty m:val="p"/>
          </m:rPr>
          <m:t>+</m:t>
        </m:r>
        <m:r>
          <m:t>22.9</m:t>
        </m:r>
      </m:oMath>
      <w:r>
        <w:t xml:space="preserve"> kJ/mol.</w:t>
      </w:r>
    </w:p>
    <w:p>
      <w:pPr>
        <w:pStyle w:val="BodyText"/>
        <w:jc w:val="both"/>
        <w:keepNext w:val="0"/>
        <w:keepLines w:val="0"/>
        <w:widowControl w:val="1"/>
      </w:pPr>
      <w:r>
        <w:rPr>
          <w:b/>
          <w:bCs/>
        </w:rPr>
        <w:t xml:space="preserve">Kamlet–Jacobs recompute and headline corroboration.</w:t>
      </w:r>
      <w:r>
        <w:t xml:space="preserve"> </w:t>
      </w:r>
      <w:r>
        <w:t xml:space="preserve">Two K-J applications appear: (i) per-lead calibrated branch (Table 3):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C.4):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km/s across the 11 chem-pass leads (Figure 21).</w:t>
      </w:r>
      <w:r>
        <w:t xml:space="preserve"> </w:t>
      </w:r>
      <w:r>
        <w:rPr>
          <w:b/>
          <w:bCs/>
        </w:rPr>
        <w:t xml:space="preserve">L1 calibrated K-J</w:t>
      </w:r>
      <w:r>
        <w:rPr>
          <w:b/>
          <w:bCs/>
        </w:rPr>
        <w:t xml:space="preserve"> </w:t>
      </w:r>
      <m:oMath>
        <m:r>
          <m:t>D</m:t>
        </m:r>
        <m:r>
          <m:rPr>
            <m:sty m:val="p"/>
          </m:rPr>
          <m:t>=</m:t>
        </m:r>
        <m:r>
          <m:t>8.25</m:t>
        </m:r>
      </m:oMath>
      <w:r>
        <w:rPr>
          <w:b/>
          <w:bCs/>
        </w:rPr>
        <w:t xml:space="preserve"> km/s; the 1.31 km/s residual to the Uni-Mol surrogate (9.56 km/s) is larger than the K-J anchor residuals in L1's own composition regime</w:t>
      </w:r>
      <w:r>
        <w:t xml:space="preserve"> </w:t>
      </w:r>
      <w:r>
        <w:t xml:space="preserve">(L1:</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km/s gap is therefore plausibly Uni-Mol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(§6).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Appendix C.6–C.7. An independent Cantera ideal-gas CJ recompute ranks L1, L4, L5 as RDX-class; absolute</w:t>
      </w:r>
      <w:r>
        <w:t xml:space="preserve"> </w:t>
      </w:r>
      <m:oMath>
        <m:r>
          <m:t>D</m:t>
        </m:r>
      </m:oMath>
      <w:r>
        <w:t xml:space="preserve"> </w:t>
      </w:r>
      <w:r>
        <w:t xml:space="preserve">values require BKW/JCZ3 covolume corrections (§6), full discussion in Appendix C.13.</w:t>
      </w:r>
    </w:p>
    <w:bookmarkStart w:id="113" w:name="fig-dft-dumbbell"/>
    <w:p>
      <w:pPr>
        <w:pStyle w:val="BodyText"/>
        <w:jc w:val="center"/>
        <w:keepNext/>
        <w:keepLines/>
        <w:widowControl w:val="1"/>
      </w:pPr>
      <w:r>
        <w:drawing>
          <wp:inline>
            <wp:extent cx="5943600" cy="2667190"/>
            <wp:effectExtent b="0" l="0" r="0" t="0"/>
            <wp:docPr descr="DFT dumbbell + N-fraction residual scatter" title="" id="111" name="Picture"/>
            <a:graphic>
              <a:graphicData uri="http://schemas.openxmlformats.org/drawingml/2006/picture">
                <pic:pic>
                  <pic:nvPicPr>
                    <pic:cNvPr descr="figs/fig_dft_dumbbell.png" id="112" name="Picture"/>
                    <pic:cNvPicPr>
                      <a:picLocks noChangeArrowheads="1" noChangeAspect="1"/>
                    </pic:cNvPicPr>
                  </pic:nvPicPr>
                  <pic:blipFill>
                    <a:blip r:embed="rId110"/>
                    <a:stretch>
                      <a:fillRect/>
                    </a:stretch>
                  </pic:blipFill>
                  <pic:spPr bwMode="auto">
                    <a:xfrm>
                      <a:off x="0" y="0"/>
                      <a:ext cx="5943600" cy="26671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D</m:t>
        </m:r>
      </m:oMath>
      <m:oMath>
        <m:r>
          <m:t>D</m:t>
        </m:r>
        <m:r>
          <m:rPr>
            <m:sty m:val="p"/>
          </m:rPr>
          <m:t>=</m:t>
        </m:r>
        <m:r>
          <m:t>9.0</m:t>
        </m:r>
      </m:oMath>
      <m:oMath>
        <m:r>
          <m:t>r</m:t>
        </m:r>
        <m:r>
          <m:rPr>
            <m:sty m:val="p"/>
          </m:rPr>
          <m:t>=</m:t>
        </m:r>
        <m:r>
          <m:t>0.20</m:t>
        </m:r>
      </m:oMath>
      <m:oMath>
        <m:r>
          <m:t>r</m:t>
        </m:r>
        <m:r>
          <m:rPr>
            <m:sty m:val="p"/>
          </m:rPr>
          <m:t>=</m:t>
        </m:r>
        <m:r>
          <m:t>0.43</m:t>
        </m:r>
      </m:oMath>
      <w:r>
        <w:rPr>
          <w:b/>
          <w:i/>
        </w:rPr>
        <w:t>Figure 21.</w:t>
      </w:r>
      <w:r>
        <w:rPr>
          <w:b w:val="0"/>
          <w:i/>
        </w:rPr>
        <w:t xml:space="preserve"> </w:t>
      </w:r>
      <w:r>
        <w:rPr>
          <w:b w:val="0"/>
          <w:i/>
        </w:rPr>
        <w:t>Left: dumbbell plot connecting Uni-Mol-predicted  (blue) to anchor-calibrated DFT–K-J  (orange) for each DFT-converged lead; dotted green line is the literature-scale HMX target of  km/s (the 6-anchor-calibrated HMX anchor is 7.52 km/s, Section 2.3, so L1's calibrated 8.25 sits below it). Right: per-lead residual vs N-fraction with linear fit (Pearson  across the leads and reference compounds shown); the panel title reports the global 575-row Tier-A correlation (, Table C.4).</w:t>
      </w:r>
    </w:p>
    <w:bookmarkEnd w:id="113"/>
    <w:p>
      <w:pPr>
        <w:pStyle w:val="BodyText"/>
        <w:jc w:val="both"/>
        <w:keepNext w:val="0"/>
        <w:keepLines w:val="0"/>
        <w:widowControl w:val="1"/>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(Appendix D.12).</w:t>
      </w:r>
    </w:p>
    <w:p>
      <w:pPr>
        <w:pStyle w:val="TableCaption"/>
        <w:spacing w:before="280" w:after="60" w:line="240" w:lineRule="auto"/>
        <w:jc w:val="center"/>
        <w:keepNext/>
        <w:keepLines/>
        <w:widowControl w:val="1"/>
      </w:pP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m:oMath>
        <m:sSub>
          <m:e>
            <m:r>
              <m:t>​</m:t>
            </m:r>
          </m:e>
          <m:sub>
            <m:r>
              <m:rPr>
                <m:nor/>
                <m:sty m:val="p"/>
              </m:rPr>
              <m:t>cal</m:t>
            </m:r>
          </m:sub>
        </m:sSub>
        <m:r>
          <m:rPr>
            <m:sty m:val="p"/>
          </m:rPr>
          <m:t>=</m:t>
        </m:r>
      </m:oMath>
      <m:oMath>
        <m:sSub>
          <m:e>
            <m:r>
              <m:t>​</m:t>
            </m:r>
          </m:e>
          <m:sub>
            <m:r>
              <m:rPr>
                <m:nor/>
                <m:sty m:val="p"/>
              </m:rPr>
              <m:t>DFT</m:t>
            </m:r>
          </m:sub>
        </m:sSub>
        <m:r>
          <m:rPr>
            <m:sty m:val="p"/>
          </m:rPr>
          <m:t>−</m:t>
        </m:r>
        <m:r>
          <m:t>206.7</m:t>
        </m:r>
      </m:oMath>
      <m:oMath>
        <m:r>
          <m:rPr>
            <m:sty m:val="p"/>
          </m:rPr>
          <m:t>±</m:t>
        </m:r>
        <m:r>
          <m:t>0.078</m:t>
        </m:r>
      </m:oMath>
      <m:oMath>
        <m:r>
          <m:rPr>
            <m:sty m:val="p"/>
          </m:rPr>
          <m:t>±</m:t>
        </m:r>
        <m:r>
          <m:t>64.6</m:t>
        </m:r>
      </m:oMath>
      <w:r>
        <w:rPr>
          <w:b/>
          <w:i/>
        </w:rPr>
        <w:t>Table 2.</w:t>
      </w:r>
      <w:r>
        <w:rPr>
          <w:b w:val="0"/>
          <w:i/>
        </w:rPr>
        <w:t xml:space="preserve"> </w:t>
      </w:r>
      <w:r>
        <w:rPr>
          <w:b w:val="0"/>
          <w:i/>
        </w:rPr>
        <w:t>6-anchor DFT calibration (RDX, TATB, HMX, PETN, FOX-7, NTO). Linear corrections  and HOFHOF kJ/mol; LOO RMS  g/cm3 and  kJ/mol.</w:t>
      </w:r>
    </w:p>
    <w:tbl>
      <w:tblPr>
        <w:tblStyle w:val="Table"/>
        <w:tblW w:type="pct" w:w="5000"/>
        <w:jc w:val="center"/>
        <w:tblLook w:firstRow="1" w:lastRow="0" w:firstColumn="0" w:lastColumn="0" w:noHBand="0" w:noVBand="0" w:val="0020"/>
        <w:tblCaption w:val="Table 2. 6-anchor DFT calibration (RDX, TATB, HMX, PETN, FOX-7, NTO). Linear corrections \rho_{\text{cal}} = 1.392\,\rho_{\text{DFT}} - 0.415 and HOF_{\text{cal}} =HOF_{\text{DFT}} - 206.7 kJ/mol; LOO RMS \pm 0.078 g/cm3 and \pm 64.6 kJ/m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nor/>
                      <m:sty m:val="p"/>
                    </m:rPr>
                    <m:t>exp</m:t>
                  </m:r>
                </m:sub>
              </m:sSub>
            </m:oMath>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m:oMath>
              <m:sSub>
                <m:e>
                  <m:r>
                    <m:t>​</m:t>
                  </m:r>
                </m:e>
                <m:sub>
                  <m:r>
                    <m:rPr>
                      <m:nor/>
                      <m:sty m:val="p"/>
                    </m:rPr>
                    <m:t>exp</m:t>
                  </m:r>
                </m:sub>
              </m:sSub>
            </m:oMath>
            <w:r>
              <w:rPr>
                <w:rFonts w:ascii="Times New Roman" w:hAnsi="Times New Roman"/>
                <w:b/>
                <w:sz w:val="19"/>
              </w:rPr>
              <w:t xml:space="preserve"> </w:t>
            </w:r>
            <w:r>
              <w:rPr>
                <w:rFonts w:ascii="Times New Roman" w:hAnsi="Times New Roman"/>
                <w:b/>
                <w:sz w:val="19"/>
              </w:rPr>
              <w:t xml:space="preserve">(kJ/mol)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HMX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PETN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−538 (condensed-phase 298 K from LLNL Explosives Handbook, Dobratz 1981; literature range −504 to −539 kJ/mol depending on measurement method; the chosen value is within the ±64.6 kJ/mol LOO RMS)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FOX-7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NTO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r>
    </w:tbl>
    <w:p/>
    <w:p>
      <w:pPr>
        <w:pStyle w:val="TableCaption"/>
        <w:spacing w:before="280" w:after="60" w:line="240" w:lineRule="auto"/>
        <w:jc w:val="center"/>
        <w:keepNext/>
        <w:keepLines/>
        <w:widowControl w:val="1"/>
      </w:pPr>
      <m:oMath>
        <m:r>
          <m:t>D</m:t>
        </m:r>
      </m:oMath>
      <m:oMath>
        <m:r>
          <m:t>P</m:t>
        </m:r>
      </m:oMath>
      <m:oMath>
        <m:r>
          <m:t>δ</m:t>
        </m:r>
        <m:r>
          <m:t>D</m:t>
        </m:r>
      </m:oMath>
      <m:oMath>
        <m:r>
          <m:t>δ</m:t>
        </m:r>
        <m:r>
          <m:t>P</m:t>
        </m:r>
      </m:oMath>
      <m:oMath>
        <m:r>
          <m:t>δ</m:t>
        </m:r>
        <m:sSub>
          <m:e>
            <m:r>
              <m:t>ρ</m:t>
            </m:r>
          </m:e>
          <m:sub>
            <m:r>
              <m:rPr>
                <m:sty m:val="p"/>
              </m:rPr>
              <m:t>L</m:t>
            </m:r>
            <m:r>
              <m:rPr>
                <m:sty m:val="p"/>
              </m:rPr>
              <m:t>O</m:t>
            </m:r>
            <m:r>
              <m:rPr>
                <m:sty m:val="p"/>
              </m:rPr>
              <m:t>O</m:t>
            </m:r>
          </m:sub>
        </m:sSub>
        <m:r>
          <m:rPr>
            <m:sty m:val="p"/>
          </m:rPr>
          <m:t>=</m:t>
        </m:r>
        <m:r>
          <m:t>0.078</m:t>
        </m:r>
      </m:oMath>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m:oMath>
        <m:sSub>
          <m:e>
            <m:r>
              <m:t>f</m:t>
            </m:r>
          </m:e>
          <m:sub>
            <m:r>
              <m:t>N</m:t>
            </m:r>
          </m:sub>
        </m:sSub>
      </m:oMath>
      <m:oMath>
        <m:r>
          <m:t>δ</m:t>
        </m:r>
        <m:r>
          <m:t>D</m:t>
        </m:r>
      </m:oMath>
      <w:r>
        <w:rPr>
          <w:b/>
          <w:i/>
        </w:rPr>
        <w:t>Table 3.</w:t>
      </w:r>
      <w:r>
        <w:rPr>
          <w:b w:val="0"/>
          <w:i/>
        </w:rPr>
        <w:t xml:space="preserve"> </w:t>
      </w:r>
      <w:r>
        <w:rPr>
          <w:b w:val="0"/>
          <w:i/>
        </w:rPr>
        <w:t>Per-lead calibration-propagated uncertainty on K-J  and .  and  are obtained by propagating the 6-anchor LOO calibration errors ( g/cm3,  kJ/mol) through the K-J analytic sensitivity slopes in quadrature. The "K-J formula bias" column reports a per-lead estimate of the typical K-J under-prediction at the lead's N-fraction, derived from the §5.3  regression on 575 Tier-A rows; the propagated calibration uncertainty () is separate. Uni-Mol surrogate error is a third source not included here.</w:t>
      </w:r>
    </w:p>
    <w:tbl>
      <w:tblPr>
        <w:tblStyle w:val="Table"/>
        <w:tblW w:type="pct" w:w="5000"/>
        <w:jc w:val="center"/>
        <w:tblLook w:firstRow="1" w:lastRow="0" w:firstColumn="0" w:lastColumn="0" w:noHBand="0" w:noVBand="0" w:val="0020"/>
        <w:tblCaption w:val="Table 3. Per-lead calibration-propagated uncertainty on K-J D and P. \delta D and \delta P are obtained by propagating the 6-anchor LOO calibration errors (\delta\rho_\mathrm{LOO}=0.078 g/cm3, \delta\mathrm{HOF}_\mathrm{LOO}=64.6 kJ/mol) through the K-J analytic sensitivity slopes in quadrature. The &quot;K-J formula bias&quot; column reports a per-lead estimate of the typical K-J under-prediction at the lead's N-fraction, derived from the §5.3 f_N regression on 575 Tier-A rows; the propagated calibration uncertainty (\delta D) is separate. Uni-Mol surrogate error is a third source not included her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(g/cm</w:t>
            </w:r>
            <w:r>
              <w:rPr>
                <w:rFonts w:ascii="Times New Roman" w:hAnsi="Times New Roman"/>
                <w:b/>
                <w:sz w:val="17"/>
                <w:vertAlign w:val="superscript"/>
              </w:rPr>
              <w:t xml:space="preserve">3</w:t>
            </w:r>
            <w:r>
              <w:rPr>
                <w:rFonts w:ascii="Times New Roman" w:hAnsi="Times New Roman"/>
                <w:b/>
                <w:sz w:val="17"/>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HOF</w:t>
            </w:r>
            <m:oMath>
              <m:sSub>
                <m:e>
                  <m:r>
                    <m:t>​</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D</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P</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P</m:t>
              </m:r>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K-J formula bias (typical, 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rPr>
                  <m:sty m:val="p"/>
                </m:rPr>
                <m:t>∂</m:t>
              </m:r>
              <m:r>
                <m:t>D</m:t>
              </m:r>
              <m:r>
                <m:rPr>
                  <m:sty m:val="p"/>
                </m:rPr>
                <m:t>/</m:t>
              </m:r>
              <m:r>
                <m:rPr>
                  <m:sty m:val="p"/>
                </m:rPr>
                <m:t>∂</m:t>
              </m:r>
              <m:r>
                <m:t>ρ</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8.25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 ± 0.4 (</w:t>
            </w:r>
            <m:oMath>
              <m:sSub>
                <m:e>
                  <m:r>
                    <m:t>f</m:t>
                  </m:r>
                </m:e>
                <m:sub>
                  <m:r>
                    <m:t>N</m:t>
                  </m:r>
                </m:sub>
              </m:sSub>
              <m:r>
                <m:rPr>
                  <m:sty m:val="p"/>
                </m:rPr>
                <m:t>≈</m:t>
              </m:r>
              <m:r>
                <m:t>0.29</m:t>
              </m:r>
            </m:oMath>
            <w:r>
              <w:rPr>
                <w:rFonts w:ascii="Times New Roman" w:hAnsi="Times New Roman"/>
                <w:sz w:val="17"/>
              </w:rPr>
              <w:t xml:space="preserve">, PETN-like)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L20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1.983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7.41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2.69</w:t>
            </w:r>
          </w:p>
        </w:tc>
      </w:tr>
    </w:tbl>
    <w:p>
      <w:pPr>
        <w:pStyle w:val="BodyText"/>
        <w:spacing w:before="240"/>
        <w:jc w:val="both"/>
        <w:keepNext w:val="0"/>
        <w:keepLines w:val="0"/>
        <w:widowControl w:val="1"/>
      </w:pPr>
      <w:r>
        <w:rPr>
          <w:b/>
          <w:bCs/>
        </w:rPr>
        <w:t xml:space="preserve">Literature context for L1.</w:t>
      </w:r>
      <w:r>
        <w:t xml:space="preserve"> </w:t>
      </w:r>
      <w:r>
        <w:t xml:space="preserve">The polynitroisoxazole family is established in the energetic-materials literature (</w:t>
      </w:r>
      <w:hyperlink w:anchor="ref-sabatini2016">
        <w:r>
          <w:rPr>
            <w:rStyle w:val="Hyperlink"/>
          </w:rPr>
          <w:t xml:space="preserve">[62]</w:t>
        </w:r>
      </w:hyperlink>
      <w:hyperlink w:anchor="ref-konnov2025nitroisoxazole">
        <w:r>
          <w:rPr>
            <w:rStyle w:val="Hyperlink"/>
          </w:rPr>
          <w:t xml:space="preserve">[63]</w:t>
        </w:r>
      </w:hyperlink>
      <w:r>
        <w:t xml:space="preserve">); the isomeric 3,4,5-trinitro-1</w:t>
      </w:r>
      <w:r>
        <w:rPr>
          <w:i/>
          <w:iCs/>
        </w:rPr>
        <w:t xml:space="preserve">H</w:t>
      </w:r>
      <w:r>
        <w:t xml:space="preserve">-pyrazole</w:t>
      </w:r>
      <w:r>
        <w:t xml:space="preserve"> </w:t>
      </w:r>
      <w:hyperlink w:anchor="ref-herve2010">
        <w:r>
          <w:rPr>
            <w:rStyle w:val="Hyperlink"/>
          </w:rPr>
          <w:t xml:space="preserve">[64]</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bookmarkEnd w:id="114"/>
    <w:bookmarkStart w:id="118" w:name="sec-extension-set"/>
    <w:p>
      <w:pPr>
        <w:pStyle w:val="Heading3"/>
        <w:keepNext/>
        <w:keepLines/>
        <w:widowControl w:val="1"/>
      </w:pPr>
      <w:r>
        <w:t xml:space="preserve">5.4 Novelty, synthesisability, and scaffold diversity</w:t>
      </w:r>
    </w:p>
    <w:p>
      <w:pPr>
        <w:pStyle w:val="FirstParagraph"/>
        <w:jc w:val="both"/>
        <w:keepNext w:val="0"/>
        <w:keepLines w:val="0"/>
        <w:widowControl w:val="1"/>
      </w:pPr>
      <w:r>
        <w:t xml:space="preserve">Three audits frame the merged top-100 against PubChem, public USPTO retrosynthesis templates, and a scaffold-distinct E-set extension. A scaffold-diversity audit shows DGLD spans a chemotype distribution (the scaffold-distinct E-set extension, E1–E10: 10 DFT-validated candidates (7 novel, 3 known) / 8 Bemis–Murcko scaffolds / 7 families), not a single isoxazole hit.</w:t>
      </w:r>
    </w:p>
    <w:bookmarkStart w:id="115" w:name="novelty-audit"/>
    <w:p>
      <w:pPr>
        <w:pStyle w:val="Heading4"/>
        <w:keepNext/>
        <w:keepLines/>
        <w:widowControl w:val="1"/>
      </w:pPr>
      <w:r>
        <w:t xml:space="preserve">Novelty audit</w:t>
      </w:r>
    </w:p>
    <w:p>
      <w:pPr>
        <w:pStyle w:val="FirstParagraph"/>
        <w:jc w:val="both"/>
        <w:keepNext w:val="0"/>
        <w:keepLines w:val="0"/>
        <w:widowControl w:val="1"/>
      </w:pPr>
      <w:r>
        <w:t xml:space="preserve">Of the merged top-100,</w:t>
      </w:r>
      <w:r>
        <w:t xml:space="preserve"> </w:t>
      </w:r>
      <w:r>
        <w:rPr>
          <w:b/>
          <w:bCs/>
        </w:rPr>
        <w:t xml:space="preserve">96/97 are absent from PubChem</w:t>
      </w:r>
      <w:r>
        <w:t xml:space="preserve"> </w:t>
      </w:r>
      <w:hyperlink w:anchor="ref-kim2023pubchem">
        <w:r>
          <w:rPr>
            <w:rStyle w:val="Hyperlink"/>
          </w:rPr>
          <w:t xml:space="preserve">[65]</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have no near-neighbour above Tanimoto 0.55 in the 65 980-row labelled master</w:t>
      </w:r>
      <w:r>
        <w:t xml:space="preserve"> </w:t>
      </w:r>
      <w:r>
        <w:t xml:space="preserve">(Table 4); of the three that do (dinitramide, 1,2-dinitrohydrazine, N,N′-dinitrocarbodiimide), one is an exact match, and all three are established high-density CHNO motifs the model recovers. Novelty here is assessed against PubChem, the SureChEMBL patent corpus, and the labelled master; all eleven leads are absent from these sources, though a full CAS Registry (SciFinder) check is recommended before a formal novelty claim.</w:t>
      </w:r>
      <w:r>
        <w:t xml:space="preserve"> </w:t>
      </w:r>
      <w:r>
        <w:rPr>
          <w:b/>
          <w:bCs/>
        </w:rPr>
        <w:t xml:space="preserve">Zero of the 100 candidates lie within Tanimoto 0.70 of any augmented-corpus row, and zero are exact matches in the 694 518-row augmented corpus</w:t>
      </w:r>
      <w:r>
        <w:t xml:space="preserve"> </w:t>
      </w:r>
      <w:r>
        <w:t xml:space="preserve">(Table 4);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Appendix D.7). Applied to the DFT-audited set, this strengthened gate flags one N-nitroimine (oxime-nitrate-imidazoline) that the production SMARTS gate passes; it is tabulated as reference R2 (Table C.1c), not a chem-pass lead, so the confirmed set is 11 leads (10 unique).</w:t>
      </w:r>
    </w:p>
    <w:p>
      <w:pPr>
        <w:pStyle w:val="TableCaption"/>
        <w:spacing w:before="280" w:after="60" w:line="240" w:lineRule="auto"/>
        <w:jc w:val="center"/>
        <w:keepNext/>
        <w:keepLines/>
        <w:widowControl w:val="1"/>
      </w:pPr>
      <w:r>
        <w:rPr>
          <w:b/>
          <w:i/>
        </w:rPr>
        <w:t>Table 4.</w:t>
      </w:r>
      <w:r>
        <w:rPr>
          <w:b w:val="0"/>
          <w:i/>
        </w:rPr>
        <w:t xml:space="preserve"> </w:t>
      </w:r>
      <w:r>
        <w:rPr>
          <w:b w:val="0"/>
          <w:i/>
        </w:rPr>
        <w:t>Stratified novelty of the merged top-100 against the 65 980-row labelled master and the 694 518-row augmented training corpus. Max Tanimoto on Morgan FP (radius 2, 2048 bits) per candidate against every reference row.</w:t>
      </w:r>
    </w:p>
    <w:tbl>
      <w:tblPr>
        <w:tblStyle w:val="Table"/>
        <w:tblW w:type="pct" w:w="5000"/>
        <w:jc w:val="center"/>
        <w:tblLook w:firstRow="1" w:lastRow="0" w:firstColumn="0" w:lastColumn="0" w:noHBand="0" w:noVBand="0" w:val="0020"/>
        <w:tblCaption w:val="Table 4. Stratified novelty of the merged top-100 against the 65 980-row labelled master and the 694 518-row augmented training corpus. Max Tanimoto on Morgan FP (radius 2, 2048 bits) per candidate against every reference row."/>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Reference set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Median NN-Tanimoto</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p25 / p75</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0.55</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0.70</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exact match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65 980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0.32 / 0.42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Augmented training corpus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694 518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0.29 / 0.38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r>
    </w:tbl>
    <w:bookmarkEnd w:id="115"/>
    <w:bookmarkStart w:id="116" w:name="retrosynthesis-audit"/>
    <w:p>
      <w:pPr>
        <w:pStyle w:val="Heading4"/>
        <w:keepNext/>
        <w:keepLines/>
        <w:widowControl w:val="1"/>
      </w:pPr>
      <w:r>
        <w:t xml:space="preserve">Retrosynthesis audit</w:t>
      </w:r>
    </w:p>
    <w:p>
      <w:pPr>
        <w:pStyle w:val="FirstParagraph"/>
        <w:jc w:val="both"/>
        <w:keepNext w:val="0"/>
        <w:keepLines w:val="0"/>
        <w:widowControl w:val="1"/>
      </w:pPr>
      <w:r>
        <w:t xml:space="preserve">AiZynthFinder</w:t>
      </w:r>
      <w:r>
        <w:t xml:space="preserve"> </w:t>
      </w:r>
      <w:hyperlink w:anchor="ref-genheden2020aizynth">
        <w:r>
          <w:rPr>
            <w:rStyle w:val="Hyperlink"/>
          </w:rPr>
          <w:t xml:space="preserve">[58]</w:t>
        </w:r>
      </w:hyperlink>
      <w:r>
        <w:t xml:space="preserve"> </w:t>
      </w:r>
      <w:r>
        <w:t xml:space="preserve">with public USPTO expansion + filter policies and the ZINC in-stock catalog (200 MCTS iter, 300 s/target) was applied to L1, L4, L5 and then extended to the remaining eight chem-pass leads.</w:t>
      </w:r>
      <w:r>
        <w:t xml:space="preserve"> </w:t>
      </w:r>
      <w:r>
        <w:rPr>
          <w:b/>
          <w:bCs/>
        </w:rPr>
        <w:t xml:space="preserve">L1 returns 9 productive routes; the top route is 4 steps with state score 0.50</w:t>
      </w:r>
      <w:r>
        <w:t xml:space="preserve"> </w:t>
      </w:r>
      <w:r>
        <w:t xml:space="preserve">(Table 5). L4, L5, and the eight extension leads return zero productive routes within budget; reproduced at 5× budget (1000 MCTS iter, 1800 s) on L4/L5. The L1 disconnection sequence (electrophilic ring-nitration; Boc protection; diphenylphosphoryl azide (DPPA)-mediated Curtius rearrangement on 4,5-dinitro-1,2-isoxazole-3-carboxylic acid), its hazard caveats (acyl-azide intermediate at primary-explosive class), and the ZINC catalog gap on energetic-domain intermediates are documented in Appendix D.14. The 1/11 hit rate quantifies a public-USPTO drug-domain template-database gap, not unsynthesisability of the candidates; an energetics-domain template extension is flagged as community follow-up in §6.</w:t>
      </w:r>
    </w:p>
    <w:p>
      <w:pPr>
        <w:pStyle w:val="TableCaption"/>
        <w:spacing w:before="280" w:after="60" w:line="240" w:lineRule="auto"/>
        <w:jc w:val="center"/>
        <w:keepNext/>
        <w:keepLines/>
        <w:widowControl w:val="1"/>
      </w:pPr>
      <w:r>
        <w:rPr>
          <w:b/>
          <w:i/>
        </w:rPr>
        <w:t>Table 5.</w:t>
      </w:r>
      <w:r>
        <w:rPr>
          <w:b w:val="0"/>
          <w:i/>
        </w:rPr>
        <w:t xml:space="preserve"> </w:t>
      </w:r>
      <w:r>
        <w:rPr>
          <w:b w:val="0"/>
          <w:i/>
        </w:rPr>
        <w:t>AiZynthFinder retrosynthetic search on three representative leads (L1 aromatic, L4 5-ring N-rich, L5 open-chain), 200 MCTS iterations / 300 s, USPTO templates + ZINC in-stock catalog. State score 0.049 = "target node only" baseline.</w:t>
      </w:r>
    </w:p>
    <w:tbl>
      <w:tblPr>
        <w:tblStyle w:val="Table"/>
        <w:tblW w:type="pct" w:w="5000"/>
        <w:jc w:val="center"/>
        <w:tblLook w:firstRow="1" w:lastRow="0" w:firstColumn="0" w:lastColumn="0" w:noHBand="0" w:noVBand="0" w:val="0020"/>
        <w:tblCaption w:val="Table 5. AiZynthFinder retrosynthetic search on three representative leads (L1 aromatic, L4 5-ring N-rich, L5 open-chain), 200 MCTS iterations / 300 s, USPTO templates + ZINC in-stock catalog. State score 0.049 = &quot;target node only&quot; bas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Routes found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Top-route steps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State score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aromatic 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tetrazoline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0.049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acyl oxime nitrate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0.049</w:t>
            </w:r>
          </w:p>
        </w:tc>
      </w:tr>
    </w:tbl>
    <w:bookmarkEnd w:id="116"/>
    <w:bookmarkStart w:id="117" w:name="e-set-scaffold-diversity-audit-e1e10"/>
    <w:p>
      <w:pPr>
        <w:pStyle w:val="Heading4"/>
        <w:keepNext/>
        <w:keepLines/>
        <w:widowControl w:val="1"/>
      </w:pPr>
      <w:r>
        <w:t xml:space="preserve">E-set scaffold-diversity audit (E1–E10)</w:t>
      </w:r>
    </w:p>
    <w:p>
      <w:pPr>
        <w:pStyle w:val="FirstParagraph"/>
        <w:jc w:val="both"/>
        <w:keepNext w:val="0"/>
        <w:keepLines w:val="0"/>
        <w:widowControl w:val="1"/>
      </w:pPr>
      <w:r>
        <w:t xml:space="preserve">To probe scaffold diversity beyond the single sampling stream of the L-set, we mined a 500-candidate extension pool from the four sampling runs of §5.2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7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TableCaption"/>
        <w:spacing w:before="280" w:after="60" w:line="240" w:lineRule="auto"/>
        <w:jc w:val="center"/>
        <w:keepNext/>
        <w:keepLines/>
        <w:widowControl w:val="1"/>
      </w:pPr>
      <w:r>
        <w:rPr>
          <w:b/>
          <w:i/>
        </w:rPr>
        <w:t>Table 6.</w:t>
      </w:r>
      <w:r>
        <w:rPr>
          <w:b w:val="0"/>
          <w:i/>
        </w:rPr>
        <w:t xml:space="preserve"> </w:t>
      </w:r>
      <w:r>
        <w:rPr>
          <w:b w:val="0"/>
          <w:i/>
        </w:rPr>
        <w:t>Extension-set leads: structure and pre-screen. Columns: lead ID, canonical SMILES, chemotype family, molecular formula, atom count (n_atoms), GFN2-xTB HOMO–LUMO gap in eV, and whether the molecular graph is preserved after xTB geometry optimisation (yes/no). See † footnote between Tables 5 and 6 for the E2/E9 K-J caveats referenced in Table 7.</w:t>
      </w:r>
    </w:p>
    <w:tbl>
      <w:tblPr>
        <w:tblStyle w:val="Table"/>
        <w:tblW w:type="pct" w:w="5000"/>
        <w:jc w:val="center"/>
        <w:tblLook w:firstRow="1" w:lastRow="0" w:firstColumn="0" w:lastColumn="0" w:noHBand="0" w:noVBand="0" w:val="0020"/>
        <w:tblCaption w:val="Table 6. Extension-set leads: structure and pre-screen. Columns: lead ID, canonical SMILES, chemotype family, molecular formula, atom count (n_atoms), GFN2-xTB HOMO–LUMO gap in eV, and whether the molecular graph is preserved after xTB geometry optimisation (yes/no). See † footnote between Tables 5 and 6 for the E2/E9 K-J caveats referenced in Table 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chemotype 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xTB gap (eV)</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graph unchanged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acyclic gem-dinitro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O=[N+]([O-])Nc1conc1[N+](=O)[O-]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isoxazole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O=[N+]([O-])NC1=CC1([N+](=O)[O-])[N+](=O)[O-]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cyclopropene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O=[N+]([O-])OCC1([N+](=O)[O-])C=N1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small-ring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O=[N+]([O-])c1c[nH]c([N+](=O)[O-])c1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NH-pyrrole nitroaromatic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(retry)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N=C1C(O[N+](=O)[O-])=CC1[N+](=O)[O-]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cyclobutenimine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CC1(C([N+](=O)[O-])[N+](=O)[O-])C=C([N+](=O)[O-])C=C1[N+](=O)[O-]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geminal polynitro carbocycle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7</w:t>
            </w:r>
            <w:r>
              <w:rPr>
                <w:rFonts w:ascii="Times New Roman" w:hAnsi="Times New Roman"/>
                <w:sz w:val="18"/>
              </w:rPr>
              <w:t xml:space="preserve">H</w:t>
            </w:r>
            <w:r>
              <w:rPr>
                <w:rFonts w:ascii="Times New Roman" w:hAnsi="Times New Roman"/>
                <w:sz w:val="18"/>
                <w:vertAlign w:val="subscript"/>
              </w:rPr>
              <w:t xml:space="preserve">6</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c1nnn[nH]1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bare 1H-tetrazole (no NO</w:t>
            </w:r>
            <w:r>
              <w:rPr>
                <w:rFonts w:ascii="Times New Roman" w:hAnsi="Times New Roman"/>
                <w:sz w:val="18"/>
                <w:vertAlign w:val="subscript"/>
              </w:rPr>
              <w:t xml:space="preserve">2</w:t>
            </w: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O=[N+]([O-])C1=NCC=N1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nitro-imidazoline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bl>
    <w:p>
      <w:pPr>
        <w:pStyle w:val="BodyText"/>
        <w:spacing w:before="240"/>
        <w:jc w:val="both"/>
        <w:keepNext w:val="0"/>
        <w:keepLines w:val="0"/>
        <w:widowControl w:val="1"/>
      </w:pPr>
      <w:r>
        <w:t xml:space="preserve">†E2 D and P are flagged: OB = +28.9 % exceeds the +25 % K-J reliability limit; these values are upper-bound estimates only (see §5.4 E2 audit). E9 K-J is undefined (OB &lt; −200 %).</w:t>
      </w:r>
    </w:p>
    <w:p>
      <w:pPr>
        <w:pStyle w:val="TableCaption"/>
        <w:spacing w:before="280" w:after="60" w:line="240" w:lineRule="auto"/>
        <w:jc w:val="center"/>
        <w:keepNext/>
        <w:keepLines/>
        <w:widowControl w:val="1"/>
      </w:pPr>
      <w:r>
        <w:rPr>
          <w:b/>
          <w:i/>
        </w:rPr>
        <w:t>Table 7.</w:t>
      </w:r>
      <w:r>
        <w:rPr>
          <w:b w:val="0"/>
          <w:i/>
        </w:rPr>
        <w:t xml:space="preserve"> </w:t>
      </w:r>
      <w:r>
        <w:rPr>
          <w:b w:val="0"/>
          <w:i/>
        </w:rPr>
        <w:t>Extension-set leads: DFT, 6-anchor calibration, Kamlet–Jacobs, and h50. Columns: lead ID, raw DFT density ρDFT (g/cm3), 6-anchor-calibrated density ρcal (g/cm3), raw DFT heat of formation HOFDFT (kJ/mol), calibrated HOFcal (kJ/mol), Kamlet–Jacobs detonation velocity on calibrated inputs DK-J,cal (km/s), Kamlet–Jacobs detonation pressure PK-J,cal (GPa), and Politzer–Murray BDE-correlated drop-weight impact sensitivity h50,BDE (cm). †E2 D and P are flagged: OB = +28.9 % exceeds the +25 % K-J reliability limit; these values are upper-bound estimates only (see §5.4 E2 audit). E9 K-J is undefined (OB &lt; −200 %). E1, E6, and E9 are known compounds (recovered, not novel; E1 PubChem CID 57438703, E6 CID 201040, E9 1H-tetrazole).</w:t>
      </w:r>
    </w:p>
    <w:tbl>
      <w:tblPr>
        <w:tblStyle w:val="Table"/>
        <w:tblW w:type="pct" w:w="5000"/>
        <w:jc w:val="center"/>
        <w:tblLook w:firstRow="1" w:lastRow="0" w:firstColumn="0" w:lastColumn="0" w:noHBand="0" w:noVBand="0" w:val="0020"/>
        <w:tblCaption w:val="Table 7. Extension-set leads: DFT, 6-anchor calibration, Kamlet–Jacobs, and h50. Columns: lead ID, raw DFT density ρDFT (g/cm3), 6-anchor-calibrated density ρcal (g/cm3), raw DFT heat of formation HOFDFT (kJ/mol), calibrated HOFcal (kJ/mol), Kamlet–Jacobs detonation velocity on calibrated inputs DK-J,cal (km/s), Kamlet–Jacobs detonation pressure PK-J,cal (GPa), and Politzer–Murray BDE-correlated drop-weight impact sensitivity h50,BDE (cm). †E2 D and P are flagged: OB = +28.9 % exceeds the +25 % K-J reliability limit; these values are upper-bound estimates only (see §5.4 E2 audit). E9 K-J is undefined (OB &lt; −200 %). E1, E6, and E9 are known compounds (recovered, not novel; E1 PubChem CID 57438703, E6 CID 201040, E9 1H-tetrazo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D</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h50</w:t>
            </w:r>
            <w:r>
              <w:rPr>
                <w:rFonts w:ascii="Times New Roman" w:hAnsi="Times New Roman"/>
                <w:b/>
                <w:sz w:val="18"/>
                <w:vertAlign w:val="subscript"/>
              </w:rPr>
              <w:t xml:space="preserve">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2.043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235.5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506.9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1.483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42.5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bl>
    <w:p>
      <w:pPr>
        <w:pStyle w:val="BodyText"/>
        <w:spacing w:before="240"/>
        <w:jc w:val="both"/>
        <w:keepNext w:val="0"/>
        <w:keepLines w:val="0"/>
        <w:widowControl w:val="1"/>
      </w:pPr>
      <w:r>
        <w:rPr>
          <w:b/>
          <w:bCs/>
        </w:rPr>
        <w:t xml:space="preserve">E1 oxatriazole: independent recovery of a known structure.</w:t>
      </w:r>
      <w:r>
        <w:t xml:space="preserve"> </w:t>
      </w:r>
      <w:r>
        <w:t xml:space="preserve">E1 (4-nitro-1,2,3,5-oxatriazole) is a</w:t>
      </w:r>
      <w:r>
        <w:t xml:space="preserve"> </w:t>
      </w:r>
      <w:r>
        <w:rPr>
          <w:i/>
          <w:iCs/>
        </w:rPr>
        <w:t xml:space="preserve">known</w:t>
      </w:r>
      <w:r>
        <w:t xml:space="preserve"> </w:t>
      </w:r>
      <w:r>
        <w:t xml:space="preserve">compound (PubChem CID 57438703), not a novel structure; the unguided sampler surfaced it independently, an external check that DGLD reaches genuine energetic chemotypes. Under the same 6-anchor calibration applied to L1, E1 reaches</w:t>
      </w:r>
      <w:r>
        <w:t xml:space="preserve"> </w:t>
      </w:r>
      <m:oMath>
        <m:sSub>
          <m:e>
            <m:r>
              <m:t>ρ</m:t>
            </m:r>
          </m:e>
          <m:sub>
            <m:r>
              <m:rPr>
                <m:nor/>
                <m:sty m:val="p"/>
              </m:rPr>
              <m:t>cal</m:t>
            </m:r>
          </m:sub>
        </m:sSub>
        <m:r>
          <m:rPr>
            <m:sty m:val="p"/>
          </m:rPr>
          <m:t>=</m:t>
        </m:r>
        <m:r>
          <m:t>2.04</m:t>
        </m:r>
      </m:oMath>
      <w:r>
        <w:rPr>
          <w:b/>
          <w:bCs/>
        </w:rPr>
        <w:t xml:space="preserve"> g/cm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km/s,</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E1's calibrated</w:t>
      </w:r>
      <w:r>
        <w:t xml:space="preserve"> </w:t>
      </w:r>
      <m:oMath>
        <m:r>
          <m:t>D</m:t>
        </m:r>
      </m:oMath>
      <w:r>
        <w:t xml:space="preserve"> </w:t>
      </w:r>
      <w:r>
        <w:t xml:space="preserve">exceeds L1's, though its calibrated density is marginally lower (2.04 vs 2.09 g/cm</w:t>
      </w:r>
      <w:r>
        <w:rPr>
          <w:vertAlign w:val="superscript"/>
        </w:rPr>
        <w:t xml:space="preserve">3</w:t>
      </w:r>
      <w:r>
        <w:t xml:space="preserve">). The 1,2,3,5-oxatriazole ring system has known thermal/Lewis-acid ring-opening pathways (Sheremetev 2007; Katritzky 2010); a dedicated BDE and DSC/TGA stability screen is required before E1 is promoted to synthesis priority (Appendix C.5.1). Without an oxatriazole-class anchor, E1's calibrated</w:t>
      </w:r>
      <w:r>
        <w:t xml:space="preserve"> </w:t>
      </w:r>
      <m:oMath>
        <m:r>
          <m:t>D</m:t>
        </m:r>
        <m:r>
          <m:rPr>
            <m:sty m:val="p"/>
          </m:rPr>
          <m:t>=</m:t>
        </m:r>
        <m:r>
          <m:t>9.00</m:t>
        </m:r>
      </m:oMath>
      <w:r>
        <w:t xml:space="preserve"> km/s is an extrapolation: read as a lower-confidence corroborating datapoint, it marks a second HMX-class-range performance point from a chemotype family disjoint from L1's (for a known structure, an external-validation signal rather than a new lead), or is an upper bound pending an oxatriazole-anchor recompute (a thermochemical-equilibrium CJ on calibrated inputs and an oxatriazole-class anchor extension are scoped as future work in §6).</w:t>
      </w:r>
    </w:p>
    <w:p>
      <w:pPr>
        <w:pStyle w:val="BodyText"/>
        <w:jc w:val="both"/>
        <w:keepNext w:val="0"/>
        <w:keepLines w:val="0"/>
        <w:widowControl w:val="1"/>
      </w:pPr>
      <w:r>
        <w:t xml:space="preserve">Of the 10 E-set candidates (Tables 5 and 6),</w:t>
      </w:r>
      <w:r>
        <w:t xml:space="preserve"> </w:t>
      </w:r>
      <w:r>
        <w:rPr>
          <w:b/>
          <w:bCs/>
        </w:rPr>
        <w:t xml:space="preserve">5 of 9 with defined K-J clear</w:t>
      </w:r>
      <w:r>
        <w:rPr>
          <w:b/>
          <w:bCs/>
        </w:rPr>
        <w:t xml:space="preserve"> </w:t>
      </w:r>
      <m:oMath>
        <m:sSub>
          <m:e>
            <m:r>
              <m:t>D</m:t>
            </m:r>
          </m:e>
          <m:sub>
            <m:r>
              <m:rPr>
                <m:nor/>
                <m:sty m:val="p"/>
              </m:rPr>
              <m:t>K-J,cal</m:t>
            </m:r>
          </m:sub>
        </m:sSub>
        <m:r>
          <m:rPr>
            <m:sty m:val="p"/>
          </m:rPr>
          <m:t>≥</m:t>
        </m:r>
        <m:r>
          <m:t>7.0</m:t>
        </m:r>
      </m:oMath>
      <w:r>
        <w:rPr>
          <w:b/>
          <w:bCs/>
        </w:rPr>
        <w:t xml:space="preserve"> km/s</w:t>
      </w:r>
      <w:r>
        <w:t xml:space="preserve"> </w:t>
      </w:r>
      <w:r>
        <w:t xml:space="preserve">(E1–E5); 8 of 10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km/s) is upper-bound only because its OB = +28.9 % exceeds the +25 % K-J reliability limit (Appendix D.13). The L-set sits at the upper edge of a credible distribution; L1 is the top-ranked novel lead, and the sampler's independent recovery of the known oxatriazole E1 shows its reach spans chemically distinct families.</w:t>
      </w:r>
    </w:p>
    <w:bookmarkEnd w:id="117"/>
    <w:bookmarkEnd w:id="118"/>
    <w:bookmarkStart w:id="131" w:name="comparison-with-no-diffusion-baselines"/>
    <w:p>
      <w:pPr>
        <w:pStyle w:val="Heading3"/>
        <w:keepNext/>
        <w:keepLines/>
        <w:widowControl w:val="1"/>
      </w:pPr>
      <w:r>
        <w:t xml:space="preserve">5.5 Comparison with no-diffusion baselines</w:t>
      </w:r>
    </w:p>
    <w:p>
      <w:pPr>
        <w:pStyle w:val="FirstParagraph"/>
        <w:jc w:val="both"/>
        <w:keepNext w:val="0"/>
        <w:keepLines w:val="0"/>
        <w:widowControl w:val="1"/>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§F.2 and §F.3 respectively. Results are in Table 8 and Figure 22.</w:t>
      </w:r>
    </w:p>
    <w:p>
      <w:pPr>
        <w:pStyle w:val="TableCaption"/>
        <w:spacing w:before="280" w:after="60" w:line="240" w:lineRule="auto"/>
        <w:jc w:val="center"/>
        <w:keepNext/>
        <w:keepLines/>
        <w:widowControl w:val="1"/>
      </w:pPr>
      <m:oMath>
        <m:r>
          <m:t>D</m:t>
        </m:r>
      </m:oMath>
      <m:oMath>
        <m:r>
          <m:t>ρ</m:t>
        </m:r>
      </m:oMath>
      <m:oMath>
        <m:r>
          <m:t>P</m:t>
        </m:r>
      </m:oMath>
      <m:oMath>
        <m:r>
          <m:t>D</m:t>
        </m:r>
        <m:r>
          <m:rPr>
            <m:sty m:val="p"/>
          </m:rPr>
          <m:t>/</m:t>
        </m:r>
        <m:r>
          <m:t>ρ</m:t>
        </m:r>
        <m:r>
          <m:rPr>
            <m:sty m:val="p"/>
          </m:rPr>
          <m:t>/</m:t>
        </m:r>
        <m:r>
          <m:t>P</m:t>
        </m:r>
      </m:oMath>
      <w:r>
        <w:rPr>
          <w:b/>
          <w:i/>
        </w:rPr>
        <w:t>Table 8.</w:t>
      </w:r>
      <w:r>
        <w:rPr>
          <w:b w:val="0"/>
          <w:i/>
        </w:rPr>
        <w:t xml:space="preserve"> </w:t>
      </w:r>
      <w:r>
        <w:rPr>
          <w:b w:val="0"/>
          <w:i/>
        </w:rPr>
        <w:t>Top-1 comparison: SMILES-LSTM, MolMIM 70 M, SELFIES-GA, and REINVENT 4 no-diffusion baselines vs. unguided and best-novel DGLD conditions (head-to-head in Supplementary Section F.4). Columns: top-1 composite; , , ;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are Uni-Mol scores for the seed-42 top-100 by N-fraction, post-hoc (the RL reward was N-fraction, not the DGLD composite); max-Tanimoto for the top-100 is in the [0.15, 0.65] novelty window (not memorisation).</w:t>
      </w:r>
    </w:p>
    <w:tbl>
      <w:tblPr>
        <w:tblStyle w:val="Table"/>
        <w:tblW w:type="pct" w:w="5000"/>
        <w:jc w:val="center"/>
        <w:tblLayout w:type="autofit"/>
        <w:tblLook w:firstRow="1" w:lastRow="0" w:firstColumn="0" w:lastColumn="0" w:noHBand="0" w:noVBand="0" w:val="0020"/>
        <w:tblCaption w:val="Table 8. Top-1 comparison: SMILES-LSTM, MolMIM 70 M, SELFIES-GA, and REINVENT 4 no-diffusion baselines vs. unguided and best-novel DGLD conditions (head-to-head in Supplementary Section F.4). Columns: top-1 composite; D, \rho, P;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D/\rho/P are Uni-Mol scores for the seed-42 top-100 by N-fraction, post-hoc (the RL reward was N-fraction, not the DGLD composite); max-Tanimoto for the top-100 is in the [0.15, 0.65] novelty window (not memorisation)."/>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Method / 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memo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SMILES-LSTM</w:t>
            </w:r>
            <w:r>
              <w:rPr>
                <w:rFonts w:ascii="Times New Roman" w:hAnsi="Times New Roman"/>
                <w:sz w:val="18"/>
              </w:rPr>
              <w:t xml:space="preserve"> </w:t>
            </w:r>
            <w:r>
              <w:rPr>
                <w:rFonts w:ascii="Times New Roman" w:hAnsi="Times New Roman"/>
                <w:sz w:val="18"/>
              </w:rPr>
              <w:t xml:space="preserve">(no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0.083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18.3%</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MolMIM 70 M</w:t>
            </w:r>
            <w:r>
              <w:rPr>
                <w:rFonts w:ascii="Times New Roman" w:hAnsi="Times New Roman"/>
                <w:sz w:val="18"/>
              </w:rPr>
              <w:t xml:space="preserve"> </w:t>
            </w:r>
            <w:r>
              <w:rPr>
                <w:rFonts w:ascii="Times New Roman" w:hAnsi="Times New Roman"/>
                <w:sz w:val="18"/>
              </w:rPr>
              <w:t xml:space="preserve">(drug-domain pretrain, 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SELFIES-GA</w:t>
            </w:r>
            <w:r>
              <w:rPr>
                <w:rFonts w:ascii="Times New Roman" w:hAnsi="Times New Roman"/>
                <w:sz w:val="18"/>
              </w:rPr>
              <w:t xml:space="preserve"> </w:t>
            </w:r>
            <w:r>
              <w:rPr>
                <w:rFonts w:ascii="Times New Roman" w:hAnsi="Times New Roman"/>
                <w:sz w:val="18"/>
              </w:rPr>
              <w:t xml:space="preserve">(property optimisation, 2 000 pool, 30 gen)</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n.c.</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 75/100 rediscoveries)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REINVENT 4</w:t>
            </w:r>
            <w:r>
              <w:rPr>
                <w:rFonts w:ascii="Times New Roman" w:hAnsi="Times New Roman"/>
                <w:sz w:val="18"/>
              </w:rPr>
              <w:t xml:space="preserve"> </w:t>
            </w:r>
            <w:r>
              <w:rPr>
                <w:rFonts w:ascii="Times New Roman" w:hAnsi="Times New Roman"/>
                <w:sz w:val="18"/>
              </w:rPr>
              <w:t xml:space="preserve">(N-frac RL, 40k pool, seed 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9.02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34.5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0.57 (aminotetrazine); 0.32–0.38 (seeds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near-zero</w:t>
            </w:r>
            <w:r>
              <w:rPr>
                <w:rFonts w:ascii="Times New Roman" w:hAnsi="Times New Roman"/>
                <w:sz w:val="18"/>
              </w:rPr>
              <w:t xml:space="preserve"> </w:t>
            </w:r>
            <w:r>
              <w:rPr>
                <w:rFonts w:ascii="Times New Roman" w:hAnsi="Times New Roman"/>
                <w:sz w:val="18"/>
              </w:rPr>
              <w:t xml:space="preserve">&lt;0.1% (0.04% exact match, seeds 1-2; &lt;1% novelty-window, seed 42)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bl>
    <w:bookmarkStart w:id="122" w:name="fig-baseline-forest"/>
    <w:p>
      <w:pPr>
        <w:pStyle w:val="BodyText"/>
        <w:jc w:val="center"/>
        <w:keepNext/>
        <w:keepLines/>
        <w:widowControl w:val="1"/>
      </w:pPr>
      <w:r>
        <w:drawing>
          <wp:inline>
            <wp:extent cx="5943600" cy="3272694"/>
            <wp:effectExtent b="0" l="0" r="0" t="0"/>
            <wp:docPr descr="Forest plot of top-1 Pareto-reranker composite penalty" title="" id="120" name="Picture"/>
            <a:graphic>
              <a:graphicData uri="http://schemas.openxmlformats.org/drawingml/2006/picture">
                <pic:pic>
                  <pic:nvPicPr>
                    <pic:cNvPr descr="figs/fig_baseline_forest.png" id="121" name="Picture"/>
                    <pic:cNvPicPr>
                      <a:picLocks noChangeArrowheads="1" noChangeAspect="1"/>
                    </pic:cNvPicPr>
                  </pic:nvPicPr>
                  <pic:blipFill>
                    <a:blip r:embed="rId119"/>
                    <a:stretch>
                      <a:fillRect/>
                    </a:stretch>
                  </pic:blipFill>
                  <pic:spPr bwMode="auto">
                    <a:xfrm>
                      <a:off x="0" y="0"/>
                      <a:ext cx="5943600" cy="32726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w:r>
        <w:rPr>
          <w:b/>
          <w:i/>
        </w:rPr>
        <w:t>Figure 22.</w:t>
      </w:r>
      <w:r>
        <w:rPr>
          <w:b w:val="0"/>
          <w:i/>
        </w:rPr>
        <w:t xml:space="preserve"> </w:t>
      </w:r>
      <w:r>
        <w:rPr>
          <w:b w:val="0"/>
          <w:i/>
        </w:rPr>
        <w:t>Forest plot of top-1 Pareto-reranker composite penalty (mean  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8 footnotes for cross-method comparability caveats.</w:t>
      </w:r>
    </w:p>
    <w:bookmarkEnd w:id="122"/>
    <w:p>
      <w:pPr>
        <w:pStyle w:val="BodyText"/>
        <w:jc w:val="both"/>
        <w:keepNext w:val="0"/>
        <w:keepLines w:val="0"/>
        <w:widowControl w:val="1"/>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km/s,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km/s but collapses to</w:t>
      </w:r>
      <w:r>
        <w:rPr>
          <w:b/>
          <w:bCs/>
        </w:rPr>
        <w:t xml:space="preserve"> </w:t>
      </w:r>
      <m:oMath>
        <m:sSub>
          <m:e>
            <m:r>
              <m:t>D</m:t>
            </m:r>
          </m:e>
          <m:sub>
            <m:r>
              <m:rPr>
                <m:nor/>
                <m:sty m:val="p"/>
              </m:rPr>
              <m:t>DFT</m:t>
            </m:r>
          </m:sub>
        </m:sSub>
        <m:r>
          <m:rPr>
            <m:sty m:val="p"/>
          </m:rPr>
          <m:t>=</m:t>
        </m:r>
        <m:r>
          <m:t>6.28</m:t>
        </m:r>
      </m:oMath>
      <w:r>
        <w:rPr>
          <w:b/>
          <w:bCs/>
        </w:rPr>
        <w:t xml:space="preserve"> km/s under the same DFT audit chain applied to DGLD leads (3.5 km/s surrogate artefact</w:t>
      </w:r>
      <w:r>
        <w:t xml:space="preserve">; the Uni-Mol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Uni-Mol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km/s,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km/s, 0.37 km/s 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 Appendix E lists the ten most-novel candidates from each baseline pool.</w:t>
      </w:r>
    </w:p>
    <w:bookmarkStart w:id="126" w:name="fig-quadrant-scatter"/>
    <w:p>
      <w:pPr>
        <w:pStyle w:val="BodyText"/>
        <w:jc w:val="center"/>
        <w:keepNext/>
        <w:keepLines/>
        <w:widowControl w:val="1"/>
      </w:pPr>
      <w:r>
        <w:drawing>
          <wp:inline>
            <wp:extent cx="5943600" cy="4771512"/>
            <wp:effectExtent b="0" l="0" r="0" t="0"/>
            <wp:docPr descr="Productive-quadrant scatter: S vs viability for DFT-confirmed leads" title="" id="124" name="Picture"/>
            <a:graphic>
              <a:graphicData uri="http://schemas.openxmlformats.org/drawingml/2006/picture">
                <pic:pic>
                  <pic:nvPicPr>
                    <pic:cNvPr descr="figs/fig_quadrant_scatter.png" id="125" name="Picture"/>
                    <pic:cNvPicPr>
                      <a:picLocks noChangeArrowheads="1" noChangeAspect="1"/>
                    </pic:cNvPicPr>
                  </pic:nvPicPr>
                  <pic:blipFill>
                    <a:blip r:embed="rId123"/>
                    <a:stretch>
                      <a:fillRect/>
                    </a:stretch>
                  </pic:blipFill>
                  <pic:spPr bwMode="auto">
                    <a:xfrm>
                      <a:off x="0" y="0"/>
                      <a:ext cx="5943600" cy="477151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x</m:t>
        </m:r>
      </m:oMath>
      <m:oMath>
        <m:r>
          <m:t>y</m:t>
        </m:r>
      </m:oMath>
      <m:oMath>
        <m:r>
          <m:t>S</m:t>
        </m:r>
      </m:oMath>
      <m:oMath>
        <m:r>
          <m:t>S</m:t>
        </m:r>
        <m:r>
          <m:rPr>
            <m:sty m:val="p"/>
          </m:rPr>
          <m:t>=</m:t>
        </m:r>
        <m:r>
          <m:t>0.65</m:t>
        </m:r>
      </m:oMath>
      <m:oMath>
        <m:r>
          <m:rPr>
            <m:sty m:val="p"/>
          </m:rPr>
          <m:t>=</m:t>
        </m:r>
        <m:r>
          <m:t>0.83</m:t>
        </m:r>
      </m:oMath>
      <m:oMath>
        <m:sSub>
          <m:e>
            <m:r>
              <m:t>h</m:t>
            </m:r>
          </m:e>
          <m:sub>
            <m:r>
              <m:t>50</m:t>
            </m:r>
          </m:sub>
        </m:sSub>
      </m:oMath>
      <m:oMath>
        <m:sSub>
          <m:e>
            <m:r>
              <m:t>h</m:t>
            </m:r>
          </m:e>
          <m:sub>
            <m:r>
              <m:t>50</m:t>
            </m:r>
          </m:sub>
        </m:sSub>
      </m:oMath>
      <m:oMath>
        <m:r>
          <m:t>S</m:t>
        </m:r>
      </m:oMath>
      <m:oMath>
        <m:r>
          <m:t>S</m:t>
        </m:r>
      </m:oMath>
      <m:oMath>
        <m:r>
          <m:t>D</m:t>
        </m:r>
        <m:r>
          <m:rPr>
            <m:sty m:val="p"/>
          </m:rPr>
          <m:t>=</m:t>
        </m:r>
        <m:r>
          <m:t>7.70</m:t>
        </m:r>
      </m:oMath>
      <m:oMath>
        <m:r>
          <m:t>D</m:t>
        </m:r>
        <m:r>
          <m:rPr>
            <m:sty m:val="p"/>
          </m:rPr>
          <m:t>=</m:t>
        </m:r>
        <m:r>
          <m:t>9.02</m:t>
        </m:r>
      </m:oMath>
      <m:oMath>
        <m:r>
          <m:rPr>
            <m:sty m:val="p"/>
          </m:rPr>
          <m:t>→</m:t>
        </m:r>
      </m:oMath>
      <m:oMath>
        <m:r>
          <m:t>D</m:t>
        </m:r>
        <m:r>
          <m:rPr>
            <m:sty m:val="p"/>
          </m:rPr>
          <m:t>=</m:t>
        </m:r>
        <m:r>
          <m:t>9.73</m:t>
        </m:r>
      </m:oMath>
      <m:oMath>
        <m:r>
          <m:t>6.28</m:t>
        </m:r>
      </m:oMath>
      <m:oMath>
        <m:r>
          <m:t>S</m:t>
        </m:r>
      </m:oMath>
      <m:oMath>
        <m:sSub>
          <m:e>
            <m:r>
              <m:t>h</m:t>
            </m:r>
          </m:e>
          <m:sub>
            <m:r>
              <m:t>50</m:t>
            </m:r>
          </m:sub>
        </m:sSub>
      </m:oMath>
      <w:r>
        <w:rPr>
          <w:b/>
          <w:i/>
        </w:rPr>
        <w:t>Figure 23.</w:t>
      </w:r>
      <w:r>
        <w:rPr>
          <w:b w:val="0"/>
          <w:i/>
        </w:rPr>
        <w:t xml:space="preserve"> </w:t>
      </w:r>
      <w:r>
        <w:rPr>
          <w:b w:val="0"/>
          <w:i/>
        </w:rPr>
        <w:t>Productive-quadrant scatter for the 11 DFT-confirmed lead cards (10 unique) with the four no-diffusion baselines as reference markers. -axis: viability probability (RF classifier, energetic vs ZINC); -axis: composite score  (higher = better). Dashed lines mark the top-5 thresholds (, viab ); the green-tinted upper-right quadrant is the productive zone (novel + HMX-class). Marker area is proportional to drop-weight impact sensitivity  (cm; larger = safer). L1 (guided Hz-C2, red) sits at the top of the productive quadrant; L3–L5 (filled blue, unguided C0) cluster near the threshold boundary; L9–L20 (hollow blue) carry real  but  and viability are not tabulated and are placed along the Pareto-floor strip. Baseline markers ( not on the DGLD composite scale; placed as reference): SMILES-LSTM (red X, memorised; Tanimoto 1.0), MolMIM 70 M (orange diamond, drug-domain;  km/s), REINVENT 4 (green square, N-fraction RL; top-1  km/s, novel), SELFIES-GA (purple, surrogate  DFT collapse: top-1 falls from  to  km/s under DFT audit). Source: /viab for L1, L3–L5 from §5.2 prose;  from Table C.1b; baselines from Table 8.</w:t>
      </w:r>
    </w:p>
    <w:bookmarkEnd w:id="126"/>
    <w:p>
      <w:pPr>
        <w:pStyle w:val="BodyText"/>
        <w:jc w:val="both"/>
        <w:keepNext w:val="0"/>
        <w:keepLines w:val="0"/>
        <w:widowControl w:val="1"/>
      </w:pPr>
      <w:r>
        <w:rPr>
          <w:b/>
          <w:bCs/>
        </w:rPr>
        <w:t xml:space="preserve">Note on Fig 23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8, Fig 22, and Table F.4. Cross-figure ranking is consistent (DGLD Hz-C2 best on both) but absolute values are not comparable.</w:t>
      </w:r>
    </w:p>
    <w:p>
      <w:pPr>
        <w:pStyle w:val="BodyText"/>
        <w:jc w:val="both"/>
        <w:keepNext w:val="0"/>
        <w:keepLines w:val="0"/>
        <w:widowControl w:val="1"/>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shown in Figure 24, with per-condition values in Appendix D.11.</w:t>
      </w:r>
    </w:p>
    <w:bookmarkStart w:id="130" w:name="fig-moses-panels"/>
    <w:p>
      <w:pPr>
        <w:pStyle w:val="BodyText"/>
        <w:jc w:val="center"/>
        <w:keepNext/>
        <w:keepLines/>
        <w:widowControl w:val="1"/>
      </w:pPr>
      <w:r>
        <w:drawing>
          <wp:inline>
            <wp:extent cx="5943600" cy="3335845"/>
            <wp:effectExtent b="0" l="0" r="0" t="0"/>
            <wp:docPr descr="MOSES-style distribution-learning small multiples" title="" id="128" name="Picture"/>
            <a:graphic>
              <a:graphicData uri="http://schemas.openxmlformats.org/drawingml/2006/picture">
                <pic:pic>
                  <pic:nvPicPr>
                    <pic:cNvPr descr="figs/fig_moses_small_multiples.png" id="129" name="Picture"/>
                    <pic:cNvPicPr>
                      <a:picLocks noChangeArrowheads="1" noChangeAspect="1"/>
                    </pic:cNvPicPr>
                  </pic:nvPicPr>
                  <pic:blipFill>
                    <a:blip r:embed="rId127"/>
                    <a:stretch>
                      <a:fillRect/>
                    </a:stretch>
                  </pic:blipFill>
                  <pic:spPr bwMode="auto">
                    <a:xfrm>
                      <a:off x="0" y="0"/>
                      <a:ext cx="5943600" cy="333584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24.</w:t>
      </w:r>
      <w:r>
        <w:rPr>
          <w:b w:val="0"/>
          <w:i/>
        </w:rPr>
        <w:t xml:space="preserve"> </w:t>
      </w:r>
      <w:r>
        <w:rPr>
          <w:b w:val="0"/>
          <w:i/>
        </w:rPr>
        <w:t>Distribution-learning small-multiples comparing SMILES-LSTM (red) against seven DGLD conditions (blue) on validity proxy, top-100 scaffold uniqueness, internal diversity, and FCD vs the labelled master.</w:t>
      </w:r>
    </w:p>
    <w:bookmarkEnd w:id="130"/>
    <w:bookmarkEnd w:id="131"/>
    <w:bookmarkStart w:id="136" w:name="ablation-summary"/>
    <w:p>
      <w:pPr>
        <w:pStyle w:val="Heading3"/>
        <w:keepNext/>
        <w:keepLines/>
        <w:widowControl w:val="1"/>
      </w:pPr>
      <w:r>
        <w:t xml:space="preserve">5.6 Ablation summary</w:t>
      </w:r>
    </w:p>
    <w:p>
      <w:pPr>
        <w:pStyle w:val="FirstParagraph"/>
        <w:jc w:val="both"/>
        <w:keepNext w:val="0"/>
        <w:keepLines w:val="0"/>
        <w:widowControl w:val="1"/>
      </w:pPr>
      <w:r>
        <w:t xml:space="preserve">Seven ablations measure the contribution of each system component to the headline. Table 9 lists the headline result of each; full prose, sub-tables, and figures are in Appendix F. The forest plot of effect sizes (Figure 25) summarises the guidance-axis ablations visually.</w:t>
      </w:r>
    </w:p>
    <w:p>
      <w:pPr>
        <w:pStyle w:val="TableCaption"/>
        <w:spacing w:before="280" w:after="60" w:line="240" w:lineRule="auto"/>
        <w:jc w:val="center"/>
        <w:keepNext/>
        <w:keepLines/>
        <w:widowControl w:val="1"/>
      </w:pPr>
      <w:r>
        <w:rPr>
          <w:b/>
          <w:i/>
        </w:rPr>
        <w:t>Table 9.</w:t>
      </w:r>
      <w:r>
        <w:rPr>
          <w:b w:val="0"/>
          <w:i/>
        </w:rPr>
        <w:t xml:space="preserve"> </w:t>
      </w:r>
      <w:r>
        <w:rPr>
          <w:b w:val="0"/>
          <w:i/>
        </w:rPr>
        <w:t>Ablation summary. Each row reports the single headline number from a self-contained ablation; the right column points to the appendix subsection with full prose, sub-tables, and figures.</w:t>
      </w:r>
    </w:p>
    <w:tbl>
      <w:tblPr>
        <w:tblStyle w:val="Table"/>
        <w:tblW w:type="pct" w:w="5000"/>
        <w:jc w:val="center"/>
        <w:tblLook w:firstRow="1" w:lastRow="0" w:firstColumn="0" w:lastColumn="0" w:noHBand="0" w:noVBand="0" w:val="0020"/>
        <w:tblCaption w:val="Table 9. Ablation summary. Each row reports the single headline number from a self-contained ablation; the right column points to the appendix subsection with full prose, sub-tables, and figur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Ablation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What is varied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Headline result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Detail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Tier-gate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label-trust mask on / 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Keep-rate 4.6 % → 53.9 % when off; sampler collapses to poly-N open chains; val loss +0.089.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Diffusion vs Gaussian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conditional latent vs</w:t>
            </w:r>
            <w:r>
              <w:rPr>
                <w:rFonts w:ascii="Times New Roman" w:hAnsi="Times New Roman"/>
                <w:sz w:val="19"/>
              </w:rPr>
              <w:t xml:space="preserve"> </w:t>
            </w:r>
            <m:oMath>
              <m:r>
                <m:rPr>
                  <m:scr m:val="script"/>
                  <m:sty m:val="p"/>
                </m:rPr>
                <m:t>N</m:t>
              </m:r>
              <m:r>
                <m:rPr>
                  <m:sty m:val="p"/>
                </m:rPr>
                <m:t>(</m:t>
              </m:r>
              <m:r>
                <m:t>0</m:t>
              </m:r>
              <m:r>
                <m:rPr>
                  <m:sty m:val="p"/>
                </m:rPr>
                <m:t>,</m:t>
              </m:r>
              <m:r>
                <m:t>I</m:t>
              </m:r>
              <m:r>
                <m:rPr>
                  <m:sty m:val="p"/>
                </m:rPr>
                <m:t>)</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r>
                <m:rPr>
                  <m:sty m:val="p"/>
                </m:rPr>
                <m:t>=</m:t>
              </m:r>
              <m:r>
                <m:t>9.47</m:t>
              </m:r>
            </m:oMath>
            <w:r>
              <w:rPr>
                <w:rFonts w:ascii="Times New Roman" w:hAnsi="Times New Roman"/>
                <w:sz w:val="19"/>
              </w:rPr>
              <w:t xml:space="preserve"> </w:t>
            </w:r>
            <w:r>
              <w:rPr>
                <w:rFonts w:ascii="Times New Roman" w:hAnsi="Times New Roman"/>
                <w:sz w:val="19"/>
              </w:rPr>
              <w:t xml:space="preserve">vs</w:t>
            </w:r>
            <w:r>
              <w:rPr>
                <w:rFonts w:ascii="Times New Roman" w:hAnsi="Times New Roman"/>
                <w:sz w:val="19"/>
              </w:rPr>
              <w:t xml:space="preserve"> </w:t>
            </w:r>
            <m:oMath>
              <m:r>
                <m:t>9.02</m:t>
              </m:r>
            </m:oMath>
            <w:r>
              <w:rPr>
                <w:rFonts w:ascii="Times New Roman" w:hAnsi="Times New Roman"/>
                <w:sz w:val="19"/>
              </w:rPr>
              <w:t xml:space="preserve"> km/s (+0.45); 4.6 % vs 48 % keep-rate reversal shows the prior concentrates on the high-</w:t>
            </w:r>
            <m:oMath>
              <m:r>
                <m:t>D</m:t>
              </m:r>
            </m:oMath>
            <w:r>
              <w:rPr>
                <w:rFonts w:ascii="Times New Roman" w:hAnsi="Times New Roman"/>
                <w:sz w:val="19"/>
              </w:rPr>
              <w:t xml:space="preserve"> </w:t>
            </w:r>
            <w:r>
              <w:rPr>
                <w:rFonts w:ascii="Times New Roman" w:hAnsi="Times New Roman"/>
                <w:sz w:val="19"/>
              </w:rPr>
              <w:t xml:space="preserve">tail.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Multi-head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 C1 / C2 / C3 head combinations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nearly invariant (9.44–9.53 km/s, pool 40k); guidance reduces scaffold count from 12 to 5 (production C2 default).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Hazard / SA axis (multi-seed)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scale grid ×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Hz-C2 most novel (max-Tani 0.27 ± 0.03); SA-C3 worsens composite by 13 % (production</w:t>
            </w:r>
            <w:r>
              <w:rPr>
                <w:rFonts w:ascii="Times New Roman" w:hAnsi="Times New Roman"/>
                <w:sz w:val="19"/>
              </w:rPr>
              <w:t xml:space="preserve"> </w:t>
            </w:r>
            <m:oMath>
              <m:sSub>
                <m:e>
                  <m:r>
                    <m:t>s</m:t>
                  </m:r>
                </m:e>
                <m:sub>
                  <m:r>
                    <m:rPr>
                      <m:nor/>
                      <m:sty m:val="p"/>
                    </m:rPr>
                    <m:t>SA</m:t>
                  </m:r>
                </m:sub>
              </m:sSub>
              <m:r>
                <m:rPr>
                  <m:sty m:val="p"/>
                </m:rPr>
                <m:t>=</m:t>
              </m:r>
              <m:r>
                <m:t>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Self-distillation budget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vs 918 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Worst-offender gaming molecule (gem-tetranitro) demoted by −0.10 absolute at 918; required for steer-off.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F.1, D.9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Pool 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lane × 40k vs 5 lanes ×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Post-filter yield 966 → 4 639 (4.8×); scaffolds 7 → 24; max</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9.51 → 9.79 km/s.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CFG scale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rPr>
                  <m:sty m:val="p"/>
                </m:rPr>
                <m:t>{</m:t>
              </m:r>
              <m:r>
                <m:t>5</m:t>
              </m:r>
              <m:r>
                <m:rPr>
                  <m:sty m:val="p"/>
                </m:rPr>
                <m:t>,</m:t>
              </m:r>
              <m:r>
                <m:t>7</m:t>
              </m:r>
              <m:r>
                <m:rPr>
                  <m:sty m:val="p"/>
                </m:rPr>
                <m:t>,</m:t>
              </m:r>
              <m:r>
                <m:t>9</m:t>
              </m:r>
              <m:r>
                <m:rPr>
                  <m:sty m:val="p"/>
                </m:rPr>
                <m:t>}</m:t>
              </m:r>
            </m:oMath>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t>7</m:t>
              </m:r>
            </m:oMath>
            <w:r>
              <w:rPr>
                <w:rFonts w:ascii="Times New Roman" w:hAnsi="Times New Roman"/>
                <w:sz w:val="19"/>
              </w:rPr>
              <w:t xml:space="preserve"> </w:t>
            </w:r>
            <w:r>
              <w:rPr>
                <w:rFonts w:ascii="Times New Roman" w:hAnsi="Times New Roman"/>
                <w:sz w:val="19"/>
              </w:rPr>
              <w:t xml:space="preserve">is the empirical optimum (983 final candidates vs 528 at</w:t>
            </w:r>
            <w:r>
              <w:rPr>
                <w:rFonts w:ascii="Times New Roman" w:hAnsi="Times New Roman"/>
                <w:sz w:val="19"/>
              </w:rPr>
              <w:t xml:space="preserve"> </w:t>
            </w:r>
            <m:oMath>
              <m:r>
                <m:t>w</m:t>
              </m:r>
              <m:r>
                <m:rPr>
                  <m:sty m:val="p"/>
                </m:rPr>
                <m:t>=</m:t>
              </m:r>
              <m:r>
                <m:t>5</m:t>
              </m:r>
            </m:oMath>
            <w:r>
              <w:rPr>
                <w:rFonts w:ascii="Times New Roman" w:hAnsi="Times New Roman"/>
                <w:sz w:val="19"/>
              </w:rPr>
              <w:t xml:space="preserve">, 427 at</w:t>
            </w:r>
            <w:r>
              <w:rPr>
                <w:rFonts w:ascii="Times New Roman" w:hAnsi="Times New Roman"/>
                <w:sz w:val="19"/>
              </w:rPr>
              <w:t xml:space="preserve"> </w:t>
            </w:r>
            <m:oMath>
              <m:r>
                <m:t>w</m:t>
              </m:r>
              <m:r>
                <m:rPr>
                  <m:sty m:val="p"/>
                </m:rPr>
                <m:t>=</m:t>
              </m:r>
              <m:r>
                <m:t>9</m:t>
              </m:r>
            </m:oMath>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§4.12, D.8</w:t>
            </w:r>
          </w:p>
        </w:tc>
      </w:tr>
    </w:tbl>
    <w:bookmarkStart w:id="135" w:name="fig-forest-ablation"/>
    <w:p>
      <w:pPr>
        <w:pStyle w:val="BodyText"/>
        <w:jc w:val="center"/>
        <w:keepNext/>
        <w:keepLines/>
        <w:widowControl w:val="1"/>
      </w:pPr>
      <w:r>
        <w:drawing>
          <wp:inline>
            <wp:extent cx="5943600" cy="2095370"/>
            <wp:effectExtent b="0" l="0" r="0" t="0"/>
            <wp:docPr descr="Forest plot of guidance ablation effect sizes vs unguided baseline" title="" id="133" name="Picture"/>
            <a:graphic>
              <a:graphicData uri="http://schemas.openxmlformats.org/drawingml/2006/picture">
                <pic:pic>
                  <pic:nvPicPr>
                    <pic:cNvPr descr="figs/fig_forest_ablation.png" id="134" name="Picture"/>
                    <pic:cNvPicPr>
                      <a:picLocks noChangeArrowheads="1" noChangeAspect="1"/>
                    </pic:cNvPicPr>
                  </pic:nvPicPr>
                  <pic:blipFill>
                    <a:blip r:embed="rId132"/>
                    <a:stretch>
                      <a:fillRect/>
                    </a:stretch>
                  </pic:blipFill>
                  <pic:spPr bwMode="auto">
                    <a:xfrm>
                      <a:off x="0" y="0"/>
                      <a:ext cx="5943600" cy="20953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sSub>
          <m:e>
            <m:r>
              <m:t>s</m:t>
            </m:r>
          </m:e>
          <m:sub>
            <m:r>
              <m:rPr>
                <m:nor/>
                <m:sty m:val="p"/>
              </m:rPr>
              <m:t>SA</m:t>
            </m:r>
          </m:sub>
        </m:sSub>
        <m:r>
          <m:rPr>
            <m:sty m:val="p"/>
          </m:rPr>
          <m:t>=</m:t>
        </m:r>
        <m:r>
          <m:t>0</m:t>
        </m:r>
      </m:oMath>
      <w:r>
        <w:rPr>
          <w:b/>
          <w:i/>
        </w:rPr>
        <w:t>Figure 25.</w:t>
      </w:r>
      <w:r>
        <w:rPr>
          <w:b w:val="0"/>
          <w:i/>
        </w:rPr>
        <w:t xml:space="preserve"> </w:t>
      </w:r>
      <w:r>
        <w:rPr>
          <w:b w:val="0"/>
          <w:i/>
        </w:rPr>
        <w:t>Guidance-ablation forest plot. Each panel shows the effect size (delta vs unguided Hz-C0 = SA-C0 baseline) for one metric across the six guided conditions. Error bars are propagated standard errors. Composite and max-Tanimoto: negative delta is improvement;  and : positive delta is improvement. Hz-C2 is the best joint novelty condition; SA-axis conditions consistently trade novelty for composite improvement (production sets ).</w:t>
      </w:r>
    </w:p>
    <w:bookmarkEnd w:id="135"/>
    <w:p>
      <w:pPr>
        <w:pStyle w:val="BodyText"/>
        <w:jc w:val="both"/>
        <w:keepNext w:val="0"/>
        <w:keepLines w:val="0"/>
        <w:widowControl w:val="1"/>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km/s</w:t>
      </w:r>
      <w:r>
        <w:t xml:space="preserve"> </w:t>
      </w:r>
      <m:oMath>
        <m:r>
          <m:t>D</m:t>
        </m:r>
      </m:oMath>
      <w:r>
        <w:t xml:space="preserve">-lift over a compute-matched Gaussian-latent control, whose 48 % vs 4.6 %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BodyText"/>
        <w:jc w:val="both"/>
        <w:keepNext w:val="0"/>
        <w:keepLines w:val="0"/>
        <w:widowControl w:val="1"/>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with top-1</w:t>
      </w:r>
      <w:r>
        <w:t xml:space="preserve"> </w:t>
      </w:r>
      <m:oMath>
        <m:r>
          <m:t>D</m:t>
        </m:r>
      </m:oMath>
      <w:r>
        <w:t xml:space="preserve"> </w:t>
      </w:r>
      <w:r>
        <w:t xml:space="preserve">invariant across conditions; the qualitative ablation conclusions are robust to seed across all six guidance axes (Table F.4, full multi-seed table). The 6-seed unguided baseline gives the tightest mean (top-1 composite 0.451 ± 0.126); the SA-axis SA-C3 (viab+sens+SA) is the worst at 0.698 ± 0.015.</w:t>
      </w:r>
    </w:p>
    <w:p>
      <w:pPr>
        <w:pStyle w:val="BodyText"/>
        <w:jc w:val="both"/>
        <w:keepNext w:val="0"/>
        <w:keepLines w:val="0"/>
        <w:widowControl w:val="1"/>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(Appendix B.4 contains the full SA / SC drug-domain transfer-head story).</w:t>
      </w:r>
    </w:p>
    <w:bookmarkEnd w:id="136"/>
    <w:bookmarkEnd w:id="137"/>
    <w:bookmarkStart w:id="138" w:name="sec-disc"/>
    <w:p>
      <w:pPr>
        <w:pStyle w:val="Heading2"/>
        <w:keepNext/>
        <w:keepLines/>
        <w:widowControl w:val="1"/>
      </w:pPr>
      <w:r>
        <w:t xml:space="preserve">6. Limitations</w:t>
      </w:r>
    </w:p>
    <w:p>
      <w:pPr>
        <w:pStyle w:val="FirstParagraph"/>
        <w:jc w:val="both"/>
        <w:keepNext w:val="0"/>
        <w:keepLines w:val="0"/>
        <w:widowControl w:val="1"/>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(§C.3); a ±5% packing-factor error alone propagates to ±0.10 g/cm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km/s per g/cm</w:t>
      </w:r>
      <w:r>
        <w:rPr>
          <w:vertAlign w:val="superscript"/>
        </w:rPr>
        <w:t xml:space="preserve">3</w:t>
      </w:r>
      <w:r>
        <w:t xml:space="preserve"> </w:t>
      </w:r>
      <w:r>
        <w:t xml:space="preserve">(Table 3) yields ±0.29 km/s in</w:t>
      </w:r>
      <w:r>
        <w:t xml:space="preserve"> </w:t>
      </w:r>
      <m:oMath>
        <m:r>
          <m:t>D</m:t>
        </m:r>
      </m:oMath>
      <w:r>
        <w:t xml:space="preserve">, comparable to the 6-anchor calibration uncertainty of ±0.23 km/s.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g/cm</w:t>
      </w:r>
      <w:r>
        <w:rPr>
          <w:vertAlign w:val="superscript"/>
        </w:rPr>
        <w:t xml:space="preserve">3</w:t>
      </w:r>
      <w:r>
        <w:t xml:space="preserve"> </w:t>
      </w:r>
      <w:r>
        <w:t xml:space="preserve">(§C.4).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w:t>
      </w:r>
      <w:r>
        <w:t xml:space="preserve"> </w:t>
      </w:r>
      <w:hyperlink w:anchor="ref-csp-cgd-2023">
        <w:r>
          <w:rPr>
            <w:rStyle w:val="Hyperlink"/>
          </w:rPr>
          <w:t xml:space="preserve">[00]</w:t>
        </w:r>
      </w:hyperlink>
      <w:r>
        <w:t xml:space="preserve"> </w:t>
      </w:r>
      <w:r>
        <w:t xml:space="preserve">demonstrate that polymorph screening is feasible at this candidate-list scale.</w:t>
      </w:r>
    </w:p>
    <w:p>
      <w:pPr>
        <w:pStyle w:val="BodyText"/>
        <w:jc w:val="both"/>
        <w:keepNext w:val="0"/>
        <w:keepLines w:val="0"/>
        <w:widowControl w:val="1"/>
      </w:pPr>
      <w:r>
        <w:rPr>
          <w:b/>
          <w:bCs/>
        </w:rPr>
        <w:t xml:space="preserve">Independent cross-checks on L1 and E1.</w:t>
      </w:r>
      <w:r>
        <w:t xml:space="preserve"> </w:t>
      </w:r>
      <w:r>
        <w:t xml:space="preserve">Two independent semi-empirical cross-checks confirm conservative bounds. A Bondi-vdW packing-factor bracket on L1 and E1 (Appendix C.9) yields</w:t>
      </w:r>
      <w:r>
        <w:t xml:space="preserve"> </w:t>
      </w:r>
      <m:oMath>
        <m:r>
          <m:t>ρ</m:t>
        </m:r>
        <m:r>
          <m:rPr>
            <m:sty m:val="p"/>
          </m:rPr>
          <m:t>∈</m:t>
        </m:r>
        <m:r>
          <m:rPr>
            <m:sty m:val="p"/>
          </m:rPr>
          <m:t>[</m:t>
        </m:r>
        <m:r>
          <m:t>1.69</m:t>
        </m:r>
        <m:r>
          <m:rPr>
            <m:sty m:val="p"/>
          </m:rPr>
          <m:t>,</m:t>
        </m:r>
        <m:r>
          <m:t>1.87</m:t>
        </m:r>
        <m:r>
          <m:rPr>
            <m:sty m:val="p"/>
          </m:rPr>
          <m:t>]</m:t>
        </m:r>
      </m:oMath>
      <w:r>
        <w:t xml:space="preserve"> g/cm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(Appendix C.10) places the weakest-bond cleavage of L1 at 86 kcal/mol and E1 at 93 kcal/mol, both on C–NO</w:t>
      </w:r>
      <w:r>
        <w:rPr>
          <w:vertAlign w:val="subscript"/>
        </w:rPr>
        <w:t xml:space="preserve">2</w:t>
      </w:r>
      <w:r>
        <w:t xml:space="preserve"> </w:t>
      </w:r>
      <w:r>
        <w:t xml:space="preserve">nitro-loss channels with no sub-80 kcal/mol channel that would predict primary-explosive sensitivity.</w:t>
      </w:r>
    </w:p>
    <w:p>
      <w:pPr>
        <w:pStyle w:val="BodyText"/>
        <w:jc w:val="both"/>
        <w:keepNext w:val="0"/>
        <w:keepLines w:val="0"/>
        <w:widowControl w:val="1"/>
      </w:pPr>
      <w:r>
        <w:t xml:space="preserve">The Uni-Mol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km/s is therefore an extrapolation outside the anchor chemical space. DNTF lies outside the calibration's applicability domain (a furazan-class outlier, Appendix C.11), so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km/s.</w:t>
      </w:r>
    </w:p>
    <w:p>
      <w:pPr>
        <w:pStyle w:val="BodyText"/>
        <w:jc w:val="both"/>
        <w:keepNext w:val="0"/>
        <w:keepLines w:val="0"/>
        <w:widowControl w:val="1"/>
      </w:pPr>
      <w:r>
        <w:t xml:space="preserve">The 1.5–2 km/s Kamlet–Jacobs vs Uni-Mol residual reported in §5.3 is consistent with the typical disagreement between Kamlet–Jacobs and full Chapman–Jouguet thermochemical-equilibrium codes (EXPLO5, Sućeska et al.; Cheetah-2, Fried–Howard) on high-N CHNO compounds: published benchmarks place this disagreement in the 0.3–1.5 km/s band for typical organic explosives and at the higher end (1–2 km/s) for compounds with N-fraction</w:t>
      </w:r>
      <w:r>
        <w:t xml:space="preserve"> </w:t>
      </w:r>
      <m:oMath>
        <m:r>
          <m:rPr>
            <m:sty m:val="p"/>
          </m:rPr>
          <m:t>≳</m:t>
        </m:r>
        <m:r>
          <m:t>0.4</m:t>
        </m:r>
      </m:oMath>
      <w:r>
        <w:t xml:space="preserve">, where the K-J fixed-product-distribution assumption breaks down. The population-level §5.3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&lt;</m:t>
        </m:r>
        <m:sSup>
          <m:e>
            <m:r>
              <m:t>10</m:t>
            </m:r>
          </m:e>
          <m:sup>
            <m:r>
              <m:rPr>
                <m:sty m:val="p"/>
              </m:rPr>
              <m:t>−</m:t>
            </m:r>
            <m:r>
              <m:t>26</m:t>
            </m:r>
          </m:sup>
        </m:sSup>
      </m:oMath>
      <w:r>
        <w:t xml:space="preserve">)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Uni-Mol</w:t>
      </w:r>
      <w:r>
        <w:t xml:space="preserve"> </w:t>
      </w:r>
      <m:oMath>
        <m:r>
          <m:t>D</m:t>
        </m:r>
      </m:oMath>
      <w:r>
        <w:t xml:space="preserve"> </w:t>
      </w:r>
      <w:r>
        <w:t xml:space="preserve">should be read as relative-ranking-grade, not absolute-value-grade.</w:t>
      </w:r>
    </w:p>
    <w:p>
      <w:pPr>
        <w:pStyle w:val="BodyText"/>
        <w:jc w:val="both"/>
        <w:keepNext w:val="0"/>
        <w:keepLines w:val="0"/>
        <w:widowControl w:val="1"/>
      </w:pPr>
      <w:r>
        <w:rPr>
          <w:b/>
          <w:bCs/>
        </w:rPr>
        <w:t xml:space="preserve">Public USPTO retrosynthesis templates are drug-domain-biased for energetic-materials chemistry.</w:t>
      </w:r>
      <w:r>
        <w:t xml:space="preserve"> </w:t>
      </w:r>
      <w:r>
        <w:t xml:space="preserve">AiZynthFinder finds a 4-step productive route for L1 (state score 0.50) but not for the ten remaining lead cards, which reflects the Reaxys-/USPTO-derived template database rather than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BodyText"/>
        <w:jc w:val="both"/>
        <w:keepNext w:val="0"/>
        <w:keepLines w:val="0"/>
        <w:widowControl w:val="1"/>
      </w:pPr>
      <w:r>
        <w:t xml:space="preserve">The statistical scope of the headline numbers is bounded as follows. §F.4 reports a 4-condition × 3-seed head-to-head at pool=10k with a no-diffusion SMILES-LSTM baseline, and §F.3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§F.4 matrix as the variance estimate. Each denoiser is a</w:t>
      </w:r>
      <w:r>
        <w:t xml:space="preserve"> </w:t>
      </w:r>
      <m:oMath>
        <m:r>
          <m:rPr>
            <m:sty m:val="p"/>
          </m:rPr>
          <m:t>∼</m:t>
        </m:r>
      </m:oMath>
      <w:r>
        <w:t xml:space="preserve">6 hr training run; the v4b production architecture is trained at three seeds and the production C2 condition (Hz-C2 viab+sens+hazard, pool = 10k per seed) resampled. Across the 3 denoiser seeds, top-1</w:t>
      </w:r>
      <w:r>
        <w:t xml:space="preserve"> </w:t>
      </w:r>
      <m:oMath>
        <m:r>
          <m:t>D</m:t>
        </m:r>
      </m:oMath>
      <w:r>
        <w:t xml:space="preserve"> </w:t>
      </w:r>
      <w:r>
        <w:t xml:space="preserve">= 9.38</w:t>
      </w:r>
      <w:r>
        <w:t xml:space="preserve"> </w:t>
      </w:r>
      <m:oMath>
        <m:r>
          <m:rPr>
            <m:sty m:val="p"/>
          </m:rPr>
          <m:t>±</m:t>
        </m:r>
      </m:oMath>
      <w:r>
        <w:t xml:space="preserve"> </w:t>
      </w:r>
      <w:r>
        <w:t xml:space="preserve">0.01 km/s (relative s.d. 0.1%), top-1</w:t>
      </w:r>
      <w:r>
        <w:t xml:space="preserve"> </w:t>
      </w:r>
      <m:oMath>
        <m:r>
          <m:t>ρ</m:t>
        </m:r>
      </m:oMath>
      <w:r>
        <w:t xml:space="preserve"> </w:t>
      </w:r>
      <w:r>
        <w:t xml:space="preserve">= 1.92</w:t>
      </w:r>
      <w:r>
        <w:t xml:space="preserve"> </w:t>
      </w:r>
      <m:oMath>
        <m:r>
          <m:rPr>
            <m:sty m:val="p"/>
          </m:rPr>
          <m:t>±</m:t>
        </m:r>
      </m:oMath>
      <w:r>
        <w:t xml:space="preserve"> </w:t>
      </w:r>
      <w:r>
        <w:t xml:space="preserve">0.01 g/cm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stable across denoiser-init seeds.</w:t>
      </w:r>
    </w:p>
    <w:p>
      <w:pPr>
        <w:pStyle w:val="BodyText"/>
        <w:jc w:val="both"/>
        <w:keepNext w:val="0"/>
        <w:keepLines w:val="0"/>
        <w:widowControl w:val="1"/>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(§5.4: median 0.32, 0/100 within Tanimoto 0.70) is the train-leakage proxy. The Uni-Mol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(Appendix D.3).</w:t>
      </w:r>
    </w:p>
    <w:bookmarkEnd w:id="138"/>
    <w:bookmarkStart w:id="140" w:name="sec-conc"/>
    <w:p>
      <w:pPr>
        <w:pStyle w:val="Heading2"/>
        <w:keepNext/>
        <w:keepLines/>
        <w:widowControl w:val="1"/>
      </w:pPr>
      <w:r>
        <w:t xml:space="preserve">7. Conclusion</w:t>
      </w:r>
    </w:p>
    <w:p>
      <w:pPr>
        <w:pStyle w:val="FirstParagraph"/>
        <w:jc w:val="both"/>
        <w:keepNext w:val="0"/>
        <w:keepLines w:val="0"/>
        <w:widowControl w:val="1"/>
      </w:pPr>
      <w:r>
        <w:t xml:space="preserve">DGLD demonstrates that a label-quality gate at training time, multi-head score-model guidance at sample time, and a four-stage chemistry-validation funnel are sufficient to produce novel CHNO leads in the HMX/PETN performance band on commodity hardware. Eleven lead cards (10 unique compounds; L3 and L16 coincide)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and is structurally dissimilar from all 65 980 training molecules (nearest-neighbour Tanimoto 0.27). Three strong energetics-domain baselines fail the novel-and-on-target test on the same compute: SMILES-LSTM memorises 18.3% of outputs; SELFIES-GA sees its best novel candidate collapse to</w:t>
      </w:r>
      <w:r>
        <w:t xml:space="preserve"> </w:t>
      </w:r>
      <m:oMath>
        <m:sSub>
          <m:e>
            <m:r>
              <m:t>D</m:t>
            </m:r>
          </m:e>
          <m:sub>
            <m:r>
              <m:rPr>
                <m:nor/>
                <m:sty m:val="p"/>
              </m:rPr>
              <m:t>DFT</m:t>
            </m:r>
          </m:sub>
        </m:sSub>
        <m:r>
          <m:rPr>
            <m:sty m:val="p"/>
          </m:rPr>
          <m:t>=</m:t>
        </m:r>
        <m:r>
          <m:t>6.28</m:t>
        </m:r>
      </m:oMath>
      <w:r>
        <w:t xml:space="preserve"> km/s under DFT audit; REINVENT 4 generates novel high-N heterocycles but peaks at</w:t>
      </w:r>
      <w:r>
        <w:t xml:space="preserve"> </w:t>
      </w:r>
      <m:oMath>
        <m:r>
          <m:t>D</m:t>
        </m:r>
        <m:r>
          <m:rPr>
            <m:sty m:val="p"/>
          </m:rPr>
          <m:t>=</m:t>
        </m:r>
        <m:r>
          <m:t>9.02</m:t>
        </m:r>
      </m:oMath>
      <w:r>
        <w:t xml:space="preserve"> km/s. Across all four baselines, among the baselines only SELFIES-GA's top candidate was DFT-audited (and collapsed); DGLD is the only method with productive-quadrant coverage confirmed at DFT level. (Kamlet–Jacobs relative ranking throughout; absolute</w:t>
      </w:r>
      <w:r>
        <w:t xml:space="preserve"> </w:t>
      </w:r>
      <m:oMath>
        <m:r>
          <m:t>D</m:t>
        </m:r>
      </m:oMath>
      <w:r>
        <w:t xml:space="preserve"> </w:t>
      </w:r>
      <w:r>
        <w:t xml:space="preserve">requires a thermochemical-equilibrium solver, §6.)</w:t>
      </w:r>
    </w:p>
    <w:p>
      <w:pPr>
        <w:pStyle w:val="BodyText"/>
        <w:jc w:val="both"/>
        <w:keepNext w:val="0"/>
        <w:keepLines w:val="0"/>
        <w:widowControl w:val="1"/>
      </w:pPr>
      <w:r>
        <w:t xml:space="preserve">On the same sampling run the sampler recovered the known oxatriazole E1 (Section 2.4), whose calibrated</w:t>
      </w:r>
      <w:r>
        <w:t xml:space="preserve"> </w:t>
      </w:r>
      <m:oMath>
        <m:sSub>
          <m:e>
            <m:r>
              <m:t>D</m:t>
            </m:r>
          </m:e>
          <m:sub>
            <m:r>
              <m:rPr>
                <m:nor/>
                <m:sty m:val="p"/>
              </m:rPr>
              <m:t>K-J,cal</m:t>
            </m:r>
          </m:sub>
        </m:sSub>
        <m:r>
          <m:rPr>
            <m:sty m:val="p"/>
          </m:rPr>
          <m:t>=</m:t>
        </m:r>
        <m:r>
          <m:t>9.00</m:t>
        </m:r>
      </m:oMath>
      <w:r>
        <w:t xml:space="preserve"> km/s comes from a scaffold family disjoint from L1; its recovery validates the sampler's scaffold reach rather than adding a novel lead, and its calibrated D is an upper bound pending thermal stability confirmation and a 1,2,3,5-oxatriazole-class DFT anchor (§6).</w:t>
      </w:r>
    </w:p>
    <w:p>
      <w:pPr>
        <w:pStyle w:val="BodyText"/>
        <w:jc w:val="both"/>
        <w:keepNext w:val="0"/>
        <w:keepLines w:val="0"/>
        <w:widowControl w:val="1"/>
      </w:pPr>
      <w:r>
        <w:rPr>
          <w:b/>
          <w:bCs/>
        </w:rPr>
        <w:t xml:space="preserve">Recommendation for synthesis-and-characterisation.</w:t>
      </w:r>
      <w:r>
        <w:t xml:space="preserve"> </w:t>
      </w:r>
      <w:r>
        <w:t xml:space="preserve">L1 meets five criteria for an experimental campaign: it is absent from PubChem, SureChEMBL patent structures,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§5.4; subject to the §D.14 acyl-azide intermediate hazard noted there: DPPA Curtius rearrangement, the acyl-azide is a primary-explosive-class motif requiring careful handling), the GFN2-xTB HOMO–LUMO gap is 2.6 eV, the GFN2-xTB weakest-bond BDE is 86 kcal/mol on a C–NO</w:t>
      </w:r>
      <w:r>
        <w:rPr>
          <w:vertAlign w:val="subscript"/>
        </w:rPr>
        <w:t xml:space="preserve">2</w:t>
      </w:r>
      <w:r>
        <w:t xml:space="preserve"> </w:t>
      </w:r>
      <w:r>
        <w:t xml:space="preserve">bond (the dominant decomposition channel; nitro loss, with no sub-80 kcal/mol primary-explosive sensitivity flag), and DFT confirms a real local minimum. Polymorph screening and crystal-density refinement (§6) are required before any density-derived performance claim can be considered quantitative.</w:t>
      </w:r>
    </w:p>
    <w:p>
      <w:pPr>
        <w:pStyle w:val="BodyText"/>
        <w:jc w:val="both"/>
        <w:keepNext w:val="0"/>
        <w:keepLines w:val="0"/>
        <w:widowControl w:val="1"/>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1/11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(§7.1), so the next compound to enter the HMX-class band can be discovered, validated, and recommended for synthesis at the cost of a few GPU-days.</w:t>
      </w:r>
    </w:p>
    <w:bookmarkStart w:id="139" w:name="code-and-data-availability"/>
    <w:p>
      <w:pPr>
        <w:pStyle w:val="Heading3"/>
        <w:keepNext/>
        <w:keepLines/>
        <w:widowControl w:val="1"/>
      </w:pPr>
      <w:r>
        <w:t xml:space="preserve">7.1 Code and data availability</w:t>
      </w:r>
    </w:p>
    <w:p>
      <w:pPr>
        <w:pStyle w:val="FirstParagraph"/>
        <w:jc w:val="both"/>
        <w:keepNext w:val="0"/>
        <w:keepLines w:val="0"/>
        <w:widowControl w:val="1"/>
      </w:pPr>
      <w:r>
        <w:t xml:space="preserve">The code, the trained model checkpoints (LIMO VAE, two conditional latent denoisers DGLD-H and DGLD-P, two multi-head latent score models, the SELFIES alphabet, and run metadata), the labelled, unlabelled, and motif-augmented training data, and the mined hard-negative latents are archived together as a single package on Zenodo under DOI</w:t>
      </w:r>
      <w:r>
        <w:t xml:space="preserve"> </w:t>
      </w:r>
      <w:hyperlink r:id="rId10">
        <w:r>
          <w:rPr>
            <w:rStyle w:val="VerbatimChar"/>
          </w:rPr>
          <w:t xml:space="preserve">10.5281/zenodo.19821952</w:t>
        </w:r>
      </w:hyperlink>
      <w:r>
        <w:t xml:space="preserve"> </w:t>
      </w:r>
      <w:r>
        <w:t xml:space="preserve">(concept DOI, resolving to the latest version; code under Apache-2.0, data and checkpoints under CC-BY-4.0). Sampling and post-processing scripts (the M1 head-to-head sweep, the Pareto-reranker chemist-filter + Uni-Mol smoke-model rerank, the multi-head score-model training loop) are released as a runnable bundle alongside the manuscript. The labelled master, the augmented unlabelled corpus, and the hard-negative latents are derived from the public sources documented in §A.1 and are redistributed in canonicalised form with row-level provenance.</w:t>
      </w:r>
    </w:p>
    <w:bookmarkEnd w:id="139"/>
    <w:bookmarkEnd w:id="140"/>
    <w:bookmarkStart w:id="216" w:name="sec-ref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bookmarkStart w:id="141"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41"/>
    </w:p>
    <w:p>
      <w:pPr>
        <w:pStyle w:val="ReferenceEntry"/>
        <w:spacing w:after="100"/>
        <w:ind w:left="475" w:hanging="475"/>
        <w:jc w:val="left"/>
        <w:keepNext w:val="0"/>
        <w:keepLines w:val="0"/>
        <w:widowControl w:val="1"/>
      </w:pPr>
      <w:r>
        <w:rPr>
          <w:rFonts w:ascii="Times New Roman" w:hAnsi="Times New Roman"/>
          <w:sz w:val="20"/>
        </w:rPr>
        <w:t xml:space="preserve">2. </w:t>
      </w:r>
      <w:bookmarkStart w:id="142"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42"/>
    </w:p>
    <w:p>
      <w:pPr>
        <w:pStyle w:val="ReferenceEntry"/>
        <w:spacing w:after="100"/>
        <w:ind w:left="475" w:hanging="475"/>
        <w:jc w:val="left"/>
        <w:keepNext w:val="0"/>
        <w:keepLines w:val="0"/>
        <w:widowControl w:val="1"/>
      </w:pPr>
      <w:r>
        <w:rPr>
          <w:rFonts w:ascii="Times New Roman" w:hAnsi="Times New Roman"/>
          <w:sz w:val="20"/>
        </w:rPr>
        <w:t xml:space="preserve">3. </w:t>
      </w:r>
      <w:bookmarkStart w:id="143" w:name="ref-zhou2023unimol"/>
      <w:r>
        <w:t xml:space="preserve">Zhou, G. et al. (2023). Uni-Mol: A Universal 3D Molecular Representation Learning Framework.</w:t>
      </w:r>
      <w:r>
        <w:t xml:space="preserve"> </w:t>
      </w:r>
      <w:r>
        <w:rPr>
          <w:i/>
          <w:iCs/>
        </w:rPr>
        <w:t xml:space="preserve">ICLR 2023</w:t>
      </w:r>
      <w:r>
        <w:t xml:space="preserve">.</w:t>
      </w:r>
      <w:bookmarkEnd w:id="143"/>
    </w:p>
    <w:p>
      <w:pPr>
        <w:pStyle w:val="ReferenceEntry"/>
        <w:spacing w:after="100"/>
        <w:ind w:left="475" w:hanging="475"/>
        <w:jc w:val="left"/>
        <w:keepNext w:val="0"/>
        <w:keepLines w:val="0"/>
        <w:widowControl w:val="1"/>
      </w:pPr>
      <w:r>
        <w:rPr>
          <w:rFonts w:ascii="Times New Roman" w:hAnsi="Times New Roman"/>
          <w:sz w:val="20"/>
        </w:rPr>
        <w:t xml:space="preserve">4. </w:t>
      </w:r>
      <w:bookmarkStart w:id="144" w:name="ref-ho2022cfg"/>
      <w:r>
        <w:t xml:space="preserve">Ho, J., &amp; Salimans, T. (2022). Classifier-Free Diffusion Guidance. arXiv:2207.12598.</w:t>
      </w:r>
      <w:bookmarkEnd w:id="144"/>
    </w:p>
    <w:p>
      <w:pPr>
        <w:pStyle w:val="ReferenceEntry"/>
        <w:spacing w:after="100"/>
        <w:ind w:left="475" w:hanging="475"/>
        <w:jc w:val="left"/>
        <w:keepNext w:val="0"/>
        <w:keepLines w:val="0"/>
        <w:widowControl w:val="1"/>
      </w:pPr>
      <w:r>
        <w:rPr>
          <w:rFonts w:ascii="Times New Roman" w:hAnsi="Times New Roman"/>
          <w:sz w:val="20"/>
        </w:rPr>
        <w:t xml:space="preserve">5. </w:t>
      </w:r>
      <w:bookmarkStart w:id="145"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45"/>
    </w:p>
    <w:p>
      <w:pPr>
        <w:pStyle w:val="ReferenceEntry"/>
        <w:spacing w:after="100"/>
        <w:ind w:left="475" w:hanging="475"/>
        <w:jc w:val="left"/>
        <w:keepNext w:val="0"/>
        <w:keepLines w:val="0"/>
        <w:widowControl w:val="1"/>
      </w:pPr>
      <w:r>
        <w:rPr>
          <w:rFonts w:ascii="Times New Roman" w:hAnsi="Times New Roman"/>
          <w:sz w:val="20"/>
        </w:rPr>
        <w:t xml:space="preserve">6. </w:t>
      </w:r>
      <w:bookmarkStart w:id="146"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46"/>
    </w:p>
    <w:p>
      <w:pPr>
        <w:pStyle w:val="ReferenceEntry"/>
        <w:spacing w:after="100"/>
        <w:ind w:left="475" w:hanging="475"/>
        <w:jc w:val="left"/>
        <w:keepNext w:val="0"/>
        <w:keepLines w:val="0"/>
        <w:widowControl w:val="1"/>
      </w:pPr>
      <w:r>
        <w:rPr>
          <w:rFonts w:ascii="Times New Roman" w:hAnsi="Times New Roman"/>
          <w:sz w:val="20"/>
        </w:rPr>
        <w:t xml:space="preserve">7. </w:t>
      </w:r>
      <w:bookmarkStart w:id="147"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47"/>
    </w:p>
    <w:p>
      <w:pPr>
        <w:pStyle w:val="ReferenceEntry"/>
        <w:spacing w:after="100"/>
        <w:ind w:left="475" w:hanging="475"/>
        <w:jc w:val="left"/>
        <w:keepNext w:val="0"/>
        <w:keepLines w:val="0"/>
        <w:widowControl w:val="1"/>
      </w:pPr>
      <w:r>
        <w:rPr>
          <w:rFonts w:ascii="Times New Roman" w:hAnsi="Times New Roman"/>
          <w:sz w:val="20"/>
        </w:rPr>
        <w:t xml:space="preserve">8. </w:t>
      </w:r>
      <w:bookmarkStart w:id="148"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48"/>
    </w:p>
    <w:p>
      <w:pPr>
        <w:pStyle w:val="ReferenceEntry"/>
        <w:spacing w:after="100"/>
        <w:ind w:left="475" w:hanging="475"/>
        <w:jc w:val="left"/>
        <w:keepNext w:val="0"/>
        <w:keepLines w:val="0"/>
        <w:widowControl w:val="1"/>
      </w:pPr>
      <w:r>
        <w:rPr>
          <w:rFonts w:ascii="Times New Roman" w:hAnsi="Times New Roman"/>
          <w:sz w:val="20"/>
        </w:rPr>
        <w:t xml:space="preserve">9. </w:t>
      </w:r>
      <w:bookmarkStart w:id="149"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49"/>
    </w:p>
    <w:p>
      <w:pPr>
        <w:pStyle w:val="ReferenceEntry"/>
        <w:spacing w:after="100"/>
        <w:ind w:left="475" w:hanging="475"/>
        <w:jc w:val="left"/>
        <w:keepNext w:val="0"/>
        <w:keepLines w:val="0"/>
        <w:widowControl w:val="1"/>
      </w:pPr>
      <w:r>
        <w:rPr>
          <w:rFonts w:ascii="Times New Roman" w:hAnsi="Times New Roman"/>
          <w:sz w:val="20"/>
        </w:rPr>
        <w:t xml:space="preserve">10. </w:t>
      </w:r>
      <w:bookmarkStart w:id="150"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50"/>
    </w:p>
    <w:p>
      <w:pPr>
        <w:pStyle w:val="ReferenceEntry"/>
        <w:spacing w:after="100"/>
        <w:ind w:left="475" w:hanging="475"/>
        <w:jc w:val="left"/>
        <w:keepNext w:val="0"/>
        <w:keepLines w:val="0"/>
        <w:widowControl w:val="1"/>
      </w:pPr>
      <w:r>
        <w:rPr>
          <w:rFonts w:ascii="Times New Roman" w:hAnsi="Times New Roman"/>
          <w:sz w:val="20"/>
        </w:rPr>
        <w:t xml:space="preserve">11. </w:t>
      </w:r>
      <w:bookmarkStart w:id="151" w:name="ref-reidenbach2023molmim"/>
      <w:r>
        <w:t xml:space="preserve">Reidenbach, D., Livne, M., Ilango, R. K., Gill, M., &amp; Israeli, J. (2023). MolMIM: A Molecular Language Model for Property-Guided Molecule Generation via Mutual Information Machines. (MLDD Workshop, ICLR 2023; arXiv:2208.09016).</w:t>
      </w:r>
      <w:bookmarkEnd w:id="151"/>
    </w:p>
    <w:p>
      <w:pPr>
        <w:pStyle w:val="ReferenceEntry"/>
        <w:spacing w:after="100"/>
        <w:ind w:left="475" w:hanging="475"/>
        <w:jc w:val="left"/>
        <w:keepNext w:val="0"/>
        <w:keepLines w:val="0"/>
        <w:widowControl w:val="1"/>
      </w:pPr>
      <w:r>
        <w:rPr>
          <w:rFonts w:ascii="Times New Roman" w:hAnsi="Times New Roman"/>
          <w:sz w:val="20"/>
        </w:rPr>
        <w:t xml:space="preserve">12. </w:t>
      </w:r>
      <w:bookmarkStart w:id="152" w:name="ref-jaegle2021perceiver"/>
      <w:r>
        <w:t xml:space="preserve">Jaegle, A. et al. (2021). Perceiver: General Perception with Iterative Attention.</w:t>
      </w:r>
      <w:r>
        <w:t xml:space="preserve"> </w:t>
      </w:r>
      <w:r>
        <w:rPr>
          <w:i/>
          <w:iCs/>
        </w:rPr>
        <w:t xml:space="preserve">ICML 2021</w:t>
      </w:r>
      <w:r>
        <w:t xml:space="preserve">. arXiv:2103.03206.</w:t>
      </w:r>
      <w:bookmarkEnd w:id="152"/>
    </w:p>
    <w:p>
      <w:pPr>
        <w:pStyle w:val="ReferenceEntry"/>
        <w:spacing w:after="100"/>
        <w:ind w:left="475" w:hanging="475"/>
        <w:jc w:val="left"/>
        <w:keepNext w:val="0"/>
        <w:keepLines w:val="0"/>
        <w:widowControl w:val="1"/>
      </w:pPr>
      <w:r>
        <w:rPr>
          <w:rFonts w:ascii="Times New Roman" w:hAnsi="Times New Roman"/>
          <w:sz w:val="20"/>
        </w:rPr>
        <w:t xml:space="preserve">13. </w:t>
      </w:r>
      <w:bookmarkStart w:id="153"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53"/>
    </w:p>
    <w:p>
      <w:pPr>
        <w:pStyle w:val="ReferenceEntry"/>
        <w:spacing w:after="100"/>
        <w:ind w:left="475" w:hanging="475"/>
        <w:jc w:val="left"/>
        <w:keepNext w:val="0"/>
        <w:keepLines w:val="0"/>
        <w:widowControl w:val="1"/>
      </w:pPr>
      <w:r>
        <w:rPr>
          <w:rFonts w:ascii="Times New Roman" w:hAnsi="Times New Roman"/>
          <w:sz w:val="20"/>
        </w:rPr>
        <w:t xml:space="preserve">14. </w:t>
      </w:r>
      <w:bookmarkStart w:id="154"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54"/>
    </w:p>
    <w:p>
      <w:pPr>
        <w:pStyle w:val="ReferenceEntry"/>
        <w:spacing w:after="100"/>
        <w:ind w:left="475" w:hanging="475"/>
        <w:jc w:val="left"/>
        <w:keepNext w:val="0"/>
        <w:keepLines w:val="0"/>
        <w:widowControl w:val="1"/>
      </w:pPr>
      <w:r>
        <w:rPr>
          <w:rFonts w:ascii="Times New Roman" w:hAnsi="Times New Roman"/>
          <w:sz w:val="20"/>
        </w:rPr>
        <w:t xml:space="preserve">15. </w:t>
      </w:r>
      <w:bookmarkStart w:id="155"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55"/>
    </w:p>
    <w:p>
      <w:pPr>
        <w:pStyle w:val="ReferenceEntry"/>
        <w:spacing w:after="100"/>
        <w:ind w:left="475" w:hanging="475"/>
        <w:jc w:val="left"/>
        <w:keepNext w:val="0"/>
        <w:keepLines w:val="0"/>
        <w:widowControl w:val="1"/>
      </w:pPr>
      <w:r>
        <w:rPr>
          <w:rFonts w:ascii="Times New Roman" w:hAnsi="Times New Roman"/>
          <w:sz w:val="20"/>
        </w:rPr>
        <w:t xml:space="preserve">16. </w:t>
      </w:r>
      <w:bookmarkStart w:id="156"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56"/>
    </w:p>
    <w:p>
      <w:pPr>
        <w:pStyle w:val="ReferenceEntry"/>
        <w:spacing w:after="100"/>
        <w:ind w:left="475" w:hanging="475"/>
        <w:jc w:val="left"/>
        <w:keepNext w:val="0"/>
        <w:keepLines w:val="0"/>
        <w:widowControl w:val="1"/>
      </w:pPr>
      <w:r>
        <w:rPr>
          <w:rFonts w:ascii="Times New Roman" w:hAnsi="Times New Roman"/>
          <w:sz w:val="20"/>
        </w:rPr>
        <w:t xml:space="preserve">17. </w:t>
      </w:r>
      <w:bookmarkStart w:id="157"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57"/>
    </w:p>
    <w:p>
      <w:pPr>
        <w:pStyle w:val="ReferenceEntry"/>
        <w:spacing w:after="100"/>
        <w:ind w:left="475" w:hanging="475"/>
        <w:jc w:val="left"/>
        <w:keepNext w:val="0"/>
        <w:keepLines w:val="0"/>
        <w:widowControl w:val="1"/>
      </w:pPr>
      <w:r>
        <w:rPr>
          <w:rFonts w:ascii="Times New Roman" w:hAnsi="Times New Roman"/>
          <w:sz w:val="20"/>
        </w:rPr>
        <w:t xml:space="preserve">18. </w:t>
      </w:r>
      <w:bookmarkStart w:id="158"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58"/>
    </w:p>
    <w:p>
      <w:pPr>
        <w:pStyle w:val="ReferenceEntry"/>
        <w:spacing w:after="100"/>
        <w:ind w:left="475" w:hanging="475"/>
        <w:jc w:val="left"/>
        <w:keepNext w:val="0"/>
        <w:keepLines w:val="0"/>
        <w:widowControl w:val="1"/>
      </w:pPr>
      <w:r>
        <w:rPr>
          <w:rFonts w:ascii="Times New Roman" w:hAnsi="Times New Roman"/>
          <w:sz w:val="20"/>
        </w:rPr>
        <w:t xml:space="preserve">19. </w:t>
      </w:r>
      <w:bookmarkStart w:id="159"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59"/>
    </w:p>
    <w:p>
      <w:pPr>
        <w:pStyle w:val="ReferenceEntry"/>
        <w:spacing w:after="100"/>
        <w:ind w:left="475" w:hanging="475"/>
        <w:jc w:val="left"/>
        <w:keepNext w:val="0"/>
        <w:keepLines w:val="0"/>
        <w:widowControl w:val="1"/>
      </w:pPr>
      <w:r>
        <w:rPr>
          <w:rFonts w:ascii="Times New Roman" w:hAnsi="Times New Roman"/>
          <w:sz w:val="20"/>
        </w:rPr>
        <w:t xml:space="preserve">20. </w:t>
      </w:r>
      <w:bookmarkStart w:id="160" w:name="ref-vignac2023digress"/>
      <w:r>
        <w:t xml:space="preserve">Vignac, C. et al. (2023). DiGress: Discrete Denoising Diffusion for Graph Generation.</w:t>
      </w:r>
      <w:r>
        <w:t xml:space="preserve"> </w:t>
      </w:r>
      <w:r>
        <w:rPr>
          <w:i/>
          <w:iCs/>
        </w:rPr>
        <w:t xml:space="preserve">ICLR 2023</w:t>
      </w:r>
      <w:r>
        <w:t xml:space="preserve">. arXiv:2209.14734.</w:t>
      </w:r>
      <w:bookmarkEnd w:id="160"/>
    </w:p>
    <w:p>
      <w:pPr>
        <w:pStyle w:val="ReferenceEntry"/>
        <w:spacing w:after="100"/>
        <w:ind w:left="475" w:hanging="475"/>
        <w:jc w:val="left"/>
        <w:keepNext w:val="0"/>
        <w:keepLines w:val="0"/>
        <w:widowControl w:val="1"/>
      </w:pPr>
      <w:r>
        <w:rPr>
          <w:rFonts w:ascii="Times New Roman" w:hAnsi="Times New Roman"/>
          <w:sz w:val="20"/>
        </w:rPr>
        <w:t xml:space="preserve">21. </w:t>
      </w:r>
      <w:bookmarkStart w:id="161" w:name="ref-ho2020ddpm"/>
      <w:r>
        <w:t xml:space="preserve">Ho, J., Jain, A., &amp; Abbeel, P. (2020). Denoising Diffusion Probabilistic Models.</w:t>
      </w:r>
      <w:r>
        <w:t xml:space="preserve"> </w:t>
      </w:r>
      <w:r>
        <w:rPr>
          <w:i/>
          <w:iCs/>
        </w:rPr>
        <w:t xml:space="preserve">NeurIPS 2020</w:t>
      </w:r>
      <w:r>
        <w:t xml:space="preserve">. arXiv:2006.11239.</w:t>
      </w:r>
      <w:bookmarkEnd w:id="161"/>
    </w:p>
    <w:p>
      <w:pPr>
        <w:pStyle w:val="ReferenceEntry"/>
        <w:spacing w:after="100"/>
        <w:ind w:left="475" w:hanging="475"/>
        <w:jc w:val="left"/>
        <w:keepNext w:val="0"/>
        <w:keepLines w:val="0"/>
        <w:widowControl w:val="1"/>
      </w:pPr>
      <w:r>
        <w:rPr>
          <w:rFonts w:ascii="Times New Roman" w:hAnsi="Times New Roman"/>
          <w:sz w:val="20"/>
        </w:rPr>
        <w:t xml:space="preserve">22. </w:t>
      </w:r>
      <w:bookmarkStart w:id="162"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62"/>
    </w:p>
    <w:p>
      <w:pPr>
        <w:pStyle w:val="ReferenceEntry"/>
        <w:spacing w:after="100"/>
        <w:ind w:left="475" w:hanging="475"/>
        <w:jc w:val="left"/>
        <w:keepNext w:val="0"/>
        <w:keepLines w:val="0"/>
        <w:widowControl w:val="1"/>
      </w:pPr>
      <w:r>
        <w:rPr>
          <w:rFonts w:ascii="Times New Roman" w:hAnsi="Times New Roman"/>
          <w:sz w:val="20"/>
        </w:rPr>
        <w:t xml:space="preserve">23. </w:t>
      </w:r>
      <w:bookmarkStart w:id="163"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63"/>
    </w:p>
    <w:p>
      <w:pPr>
        <w:pStyle w:val="ReferenceEntry"/>
        <w:spacing w:after="100"/>
        <w:ind w:left="475" w:hanging="475"/>
        <w:jc w:val="left"/>
        <w:keepNext w:val="0"/>
        <w:keepLines w:val="0"/>
        <w:widowControl w:val="1"/>
      </w:pPr>
      <w:r>
        <w:rPr>
          <w:rFonts w:ascii="Times New Roman" w:hAnsi="Times New Roman"/>
          <w:sz w:val="20"/>
        </w:rPr>
        <w:t xml:space="preserve">24. </w:t>
      </w:r>
      <w:bookmarkStart w:id="164"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64"/>
    </w:p>
    <w:p>
      <w:pPr>
        <w:pStyle w:val="ReferenceEntry"/>
        <w:spacing w:after="100"/>
        <w:ind w:left="475" w:hanging="475"/>
        <w:jc w:val="left"/>
        <w:keepNext w:val="0"/>
        <w:keepLines w:val="0"/>
        <w:widowControl w:val="1"/>
      </w:pPr>
      <w:r>
        <w:rPr>
          <w:rFonts w:ascii="Times New Roman" w:hAnsi="Times New Roman"/>
          <w:sz w:val="20"/>
        </w:rPr>
        <w:t xml:space="preserve">25. </w:t>
      </w:r>
      <w:bookmarkStart w:id="165"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65"/>
    </w:p>
    <w:p>
      <w:pPr>
        <w:pStyle w:val="ReferenceEntry"/>
        <w:spacing w:after="100"/>
        <w:ind w:left="475" w:hanging="475"/>
        <w:jc w:val="left"/>
        <w:keepNext w:val="0"/>
        <w:keepLines w:val="0"/>
        <w:widowControl w:val="1"/>
      </w:pPr>
      <w:r>
        <w:rPr>
          <w:rFonts w:ascii="Times New Roman" w:hAnsi="Times New Roman"/>
          <w:sz w:val="20"/>
        </w:rPr>
        <w:t xml:space="preserve">26. </w:t>
      </w:r>
      <w:bookmarkStart w:id="166"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166"/>
    </w:p>
    <w:p>
      <w:pPr>
        <w:pStyle w:val="ReferenceEntry"/>
        <w:spacing w:after="100"/>
        <w:ind w:left="475" w:hanging="475"/>
        <w:jc w:val="left"/>
        <w:keepNext w:val="0"/>
        <w:keepLines w:val="0"/>
        <w:widowControl w:val="1"/>
      </w:pPr>
      <w:r>
        <w:rPr>
          <w:rFonts w:ascii="Times New Roman" w:hAnsi="Times New Roman"/>
          <w:sz w:val="20"/>
        </w:rPr>
        <w:t xml:space="preserve">27. </w:t>
      </w:r>
      <w:bookmarkStart w:id="167"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67"/>
    </w:p>
    <w:p>
      <w:pPr>
        <w:pStyle w:val="ReferenceEntry"/>
        <w:spacing w:after="100"/>
        <w:ind w:left="475" w:hanging="475"/>
        <w:jc w:val="left"/>
        <w:keepNext w:val="0"/>
        <w:keepLines w:val="0"/>
        <w:widowControl w:val="1"/>
      </w:pPr>
      <w:r>
        <w:rPr>
          <w:rFonts w:ascii="Times New Roman" w:hAnsi="Times New Roman"/>
          <w:sz w:val="20"/>
        </w:rPr>
        <w:t xml:space="preserve">28. </w:t>
      </w:r>
      <w:bookmarkStart w:id="168"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68"/>
    </w:p>
    <w:p>
      <w:pPr>
        <w:pStyle w:val="ReferenceEntry"/>
        <w:spacing w:after="100"/>
        <w:ind w:left="475" w:hanging="475"/>
        <w:jc w:val="left"/>
        <w:keepNext w:val="0"/>
        <w:keepLines w:val="0"/>
        <w:widowControl w:val="1"/>
      </w:pPr>
      <w:r>
        <w:rPr>
          <w:rFonts w:ascii="Times New Roman" w:hAnsi="Times New Roman"/>
          <w:sz w:val="20"/>
        </w:rPr>
        <w:t xml:space="preserve">29. </w:t>
      </w:r>
      <w:bookmarkStart w:id="169"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69"/>
    </w:p>
    <w:p>
      <w:pPr>
        <w:pStyle w:val="ReferenceEntry"/>
        <w:spacing w:after="100"/>
        <w:ind w:left="475" w:hanging="475"/>
        <w:jc w:val="left"/>
        <w:keepNext w:val="0"/>
        <w:keepLines w:val="0"/>
        <w:widowControl w:val="1"/>
      </w:pPr>
      <w:r>
        <w:rPr>
          <w:rFonts w:ascii="Times New Roman" w:hAnsi="Times New Roman"/>
          <w:sz w:val="20"/>
        </w:rPr>
        <w:t xml:space="preserve">30. </w:t>
      </w:r>
      <w:bookmarkStart w:id="170"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70"/>
    </w:p>
    <w:p>
      <w:pPr>
        <w:pStyle w:val="ReferenceEntry"/>
        <w:spacing w:after="100"/>
        <w:ind w:left="475" w:hanging="475"/>
        <w:jc w:val="left"/>
        <w:keepNext w:val="0"/>
        <w:keepLines w:val="0"/>
        <w:widowControl w:val="1"/>
      </w:pPr>
      <w:r>
        <w:rPr>
          <w:rFonts w:ascii="Times New Roman" w:hAnsi="Times New Roman"/>
          <w:sz w:val="20"/>
        </w:rPr>
        <w:t xml:space="preserve">31. </w:t>
      </w:r>
      <w:bookmarkStart w:id="171"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71"/>
    </w:p>
    <w:p>
      <w:pPr>
        <w:pStyle w:val="ReferenceEntry"/>
        <w:spacing w:after="100"/>
        <w:ind w:left="475" w:hanging="475"/>
        <w:jc w:val="left"/>
        <w:keepNext w:val="0"/>
        <w:keepLines w:val="0"/>
        <w:widowControl w:val="1"/>
      </w:pPr>
      <w:r>
        <w:rPr>
          <w:rFonts w:ascii="Times New Roman" w:hAnsi="Times New Roman"/>
          <w:sz w:val="20"/>
        </w:rPr>
        <w:t xml:space="preserve">32. </w:t>
      </w:r>
      <w:bookmarkStart w:id="172"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72"/>
    </w:p>
    <w:p>
      <w:pPr>
        <w:pStyle w:val="ReferenceEntry"/>
        <w:spacing w:after="100"/>
        <w:ind w:left="475" w:hanging="475"/>
        <w:jc w:val="left"/>
        <w:keepNext w:val="0"/>
        <w:keepLines w:val="0"/>
        <w:widowControl w:val="1"/>
      </w:pPr>
      <w:r>
        <w:rPr>
          <w:rFonts w:ascii="Times New Roman" w:hAnsi="Times New Roman"/>
          <w:sz w:val="20"/>
        </w:rPr>
        <w:t xml:space="preserve">33. </w:t>
      </w:r>
      <w:bookmarkStart w:id="173"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173"/>
    </w:p>
    <w:p>
      <w:pPr>
        <w:pStyle w:val="ReferenceEntry"/>
        <w:spacing w:after="100"/>
        <w:ind w:left="475" w:hanging="475"/>
        <w:jc w:val="left"/>
        <w:keepNext w:val="0"/>
        <w:keepLines w:val="0"/>
        <w:widowControl w:val="1"/>
      </w:pPr>
      <w:r>
        <w:rPr>
          <w:rFonts w:ascii="Times New Roman" w:hAnsi="Times New Roman"/>
          <w:sz w:val="20"/>
        </w:rPr>
        <w:t xml:space="preserve">34. </w:t>
      </w:r>
      <w:bookmarkStart w:id="174"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74"/>
    </w:p>
    <w:p>
      <w:pPr>
        <w:pStyle w:val="ReferenceEntry"/>
        <w:spacing w:after="100"/>
        <w:ind w:left="475" w:hanging="475"/>
        <w:jc w:val="left"/>
        <w:keepNext w:val="0"/>
        <w:keepLines w:val="0"/>
        <w:widowControl w:val="1"/>
      </w:pPr>
      <w:r>
        <w:rPr>
          <w:rFonts w:ascii="Times New Roman" w:hAnsi="Times New Roman"/>
          <w:sz w:val="20"/>
        </w:rPr>
        <w:t xml:space="preserve">35. </w:t>
      </w:r>
      <w:bookmarkStart w:id="175"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75"/>
    </w:p>
    <w:p>
      <w:pPr>
        <w:pStyle w:val="ReferenceEntry"/>
        <w:spacing w:after="100"/>
        <w:ind w:left="475" w:hanging="475"/>
        <w:jc w:val="left"/>
        <w:keepNext w:val="0"/>
        <w:keepLines w:val="0"/>
        <w:widowControl w:val="1"/>
      </w:pPr>
      <w:r>
        <w:rPr>
          <w:rFonts w:ascii="Times New Roman" w:hAnsi="Times New Roman"/>
          <w:sz w:val="20"/>
        </w:rPr>
        <w:t xml:space="preserve">36. </w:t>
      </w:r>
      <w:bookmarkStart w:id="176"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76"/>
    </w:p>
    <w:p>
      <w:pPr>
        <w:pStyle w:val="ReferenceEntry"/>
        <w:spacing w:after="100"/>
        <w:ind w:left="475" w:hanging="475"/>
        <w:jc w:val="left"/>
        <w:keepNext w:val="0"/>
        <w:keepLines w:val="0"/>
        <w:widowControl w:val="1"/>
      </w:pPr>
      <w:r>
        <w:rPr>
          <w:rFonts w:ascii="Times New Roman" w:hAnsi="Times New Roman"/>
          <w:sz w:val="20"/>
        </w:rPr>
        <w:t xml:space="preserve">37. </w:t>
      </w:r>
      <w:bookmarkStart w:id="177"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77"/>
    </w:p>
    <w:p>
      <w:pPr>
        <w:pStyle w:val="ReferenceEntry"/>
        <w:spacing w:after="100"/>
        <w:ind w:left="475" w:hanging="475"/>
        <w:jc w:val="left"/>
        <w:keepNext w:val="0"/>
        <w:keepLines w:val="0"/>
        <w:widowControl w:val="1"/>
      </w:pPr>
      <w:r>
        <w:rPr>
          <w:rFonts w:ascii="Times New Roman" w:hAnsi="Times New Roman"/>
          <w:sz w:val="20"/>
        </w:rPr>
        <w:t xml:space="preserve">38. </w:t>
      </w:r>
      <w:bookmarkStart w:id="178"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78"/>
    </w:p>
    <w:p>
      <w:pPr>
        <w:pStyle w:val="ReferenceEntry"/>
        <w:spacing w:after="100"/>
        <w:ind w:left="475" w:hanging="475"/>
        <w:jc w:val="left"/>
        <w:keepNext w:val="0"/>
        <w:keepLines w:val="0"/>
        <w:widowControl w:val="1"/>
      </w:pPr>
      <w:r>
        <w:rPr>
          <w:rFonts w:ascii="Times New Roman" w:hAnsi="Times New Roman"/>
          <w:sz w:val="20"/>
        </w:rPr>
        <w:t xml:space="preserve">39. </w:t>
      </w:r>
      <w:bookmarkStart w:id="179"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79"/>
    </w:p>
    <w:p>
      <w:pPr>
        <w:pStyle w:val="ReferenceEntry"/>
        <w:spacing w:after="100"/>
        <w:ind w:left="475" w:hanging="475"/>
        <w:jc w:val="left"/>
        <w:keepNext w:val="0"/>
        <w:keepLines w:val="0"/>
        <w:widowControl w:val="1"/>
      </w:pPr>
      <w:r>
        <w:rPr>
          <w:rFonts w:ascii="Times New Roman" w:hAnsi="Times New Roman"/>
          <w:sz w:val="20"/>
        </w:rPr>
        <w:t xml:space="preserve">40. </w:t>
      </w:r>
      <w:bookmarkStart w:id="180"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180"/>
    </w:p>
    <w:p>
      <w:pPr>
        <w:pStyle w:val="ReferenceEntry"/>
        <w:spacing w:after="100"/>
        <w:ind w:left="475" w:hanging="475"/>
        <w:jc w:val="left"/>
        <w:keepNext w:val="0"/>
        <w:keepLines w:val="0"/>
        <w:widowControl w:val="1"/>
      </w:pPr>
      <w:r>
        <w:rPr>
          <w:rFonts w:ascii="Times New Roman" w:hAnsi="Times New Roman"/>
          <w:sz w:val="20"/>
        </w:rPr>
        <w:t xml:space="preserve">41. </w:t>
      </w:r>
      <w:bookmarkStart w:id="181"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81"/>
    </w:p>
    <w:p>
      <w:pPr>
        <w:pStyle w:val="ReferenceEntry"/>
        <w:spacing w:after="100"/>
        <w:ind w:left="475" w:hanging="475"/>
        <w:jc w:val="left"/>
        <w:keepNext w:val="0"/>
        <w:keepLines w:val="0"/>
        <w:widowControl w:val="1"/>
      </w:pPr>
      <w:r>
        <w:rPr>
          <w:rFonts w:ascii="Times New Roman" w:hAnsi="Times New Roman"/>
          <w:sz w:val="20"/>
        </w:rPr>
        <w:t xml:space="preserve">42. </w:t>
      </w:r>
      <w:bookmarkStart w:id="182"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182"/>
    </w:p>
    <w:p>
      <w:pPr>
        <w:pStyle w:val="ReferenceEntry"/>
        <w:spacing w:after="100"/>
        <w:ind w:left="475" w:hanging="475"/>
        <w:jc w:val="left"/>
        <w:keepNext w:val="0"/>
        <w:keepLines w:val="0"/>
        <w:widowControl w:val="1"/>
      </w:pPr>
      <w:r>
        <w:rPr>
          <w:rFonts w:ascii="Times New Roman" w:hAnsi="Times New Roman"/>
          <w:sz w:val="20"/>
        </w:rPr>
        <w:t xml:space="preserve">43. </w:t>
      </w:r>
      <w:bookmarkStart w:id="183" w:name="ref-klapotke2017nitrogen"/>
      <w:r>
        <w:t xml:space="preserve">Klapötke, T. M.</w:t>
      </w:r>
      <w:r>
        <w:t xml:space="preserve"> </w:t>
      </w:r>
      <w:r>
        <w:rPr>
          <w:i/>
          <w:iCs/>
        </w:rPr>
        <w:t xml:space="preserve">Chemistry of High-Energy Materials</w:t>
      </w:r>
      <w:r>
        <w:t xml:space="preserve">, 5th ed. (de Gruyter, 2019). doi:10.1515/9783110624571.</w:t>
      </w:r>
      <w:bookmarkEnd w:id="183"/>
    </w:p>
    <w:p>
      <w:pPr>
        <w:pStyle w:val="ReferenceEntry"/>
        <w:spacing w:after="100"/>
        <w:ind w:left="475" w:hanging="475"/>
        <w:jc w:val="left"/>
        <w:keepNext w:val="0"/>
        <w:keepLines w:val="0"/>
        <w:widowControl w:val="1"/>
      </w:pPr>
      <w:r>
        <w:rPr>
          <w:rFonts w:ascii="Times New Roman" w:hAnsi="Times New Roman"/>
          <w:sz w:val="20"/>
        </w:rPr>
        <w:t xml:space="preserve">44. </w:t>
      </w:r>
      <w:bookmarkStart w:id="184"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84"/>
    </w:p>
    <w:p>
      <w:pPr>
        <w:pStyle w:val="ReferenceEntry"/>
        <w:spacing w:after="100"/>
        <w:ind w:left="475" w:hanging="475"/>
        <w:jc w:val="left"/>
        <w:keepNext w:val="0"/>
        <w:keepLines w:val="0"/>
        <w:widowControl w:val="1"/>
      </w:pPr>
      <w:r>
        <w:rPr>
          <w:rFonts w:ascii="Times New Roman" w:hAnsi="Times New Roman"/>
          <w:sz w:val="20"/>
        </w:rPr>
        <w:t xml:space="preserve">45. </w:t>
      </w:r>
      <w:bookmarkStart w:id="185"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185"/>
    </w:p>
    <w:p>
      <w:pPr>
        <w:pStyle w:val="ReferenceEntry"/>
        <w:spacing w:after="100"/>
        <w:ind w:left="475" w:hanging="475"/>
        <w:jc w:val="left"/>
        <w:keepNext w:val="0"/>
        <w:keepLines w:val="0"/>
        <w:widowControl w:val="1"/>
      </w:pPr>
      <w:r>
        <w:rPr>
          <w:rFonts w:ascii="Times New Roman" w:hAnsi="Times New Roman"/>
          <w:sz w:val="20"/>
        </w:rPr>
        <w:t xml:space="preserve">46. </w:t>
      </w:r>
      <w:bookmarkStart w:id="186"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86"/>
    </w:p>
    <w:p>
      <w:pPr>
        <w:pStyle w:val="ReferenceEntry"/>
        <w:spacing w:after="100"/>
        <w:ind w:left="475" w:hanging="475"/>
        <w:jc w:val="left"/>
        <w:keepNext w:val="0"/>
        <w:keepLines w:val="0"/>
        <w:widowControl w:val="1"/>
      </w:pPr>
      <w:r>
        <w:rPr>
          <w:rFonts w:ascii="Times New Roman" w:hAnsi="Times New Roman"/>
          <w:sz w:val="20"/>
        </w:rPr>
        <w:t xml:space="preserve">47. </w:t>
      </w:r>
      <w:bookmarkStart w:id="187"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87"/>
    </w:p>
    <w:p>
      <w:pPr>
        <w:pStyle w:val="ReferenceEntry"/>
        <w:spacing w:after="100"/>
        <w:ind w:left="475" w:hanging="475"/>
        <w:jc w:val="left"/>
        <w:keepNext w:val="0"/>
        <w:keepLines w:val="0"/>
        <w:widowControl w:val="1"/>
      </w:pPr>
      <w:r>
        <w:rPr>
          <w:rFonts w:ascii="Times New Roman" w:hAnsi="Times New Roman"/>
          <w:sz w:val="20"/>
        </w:rPr>
        <w:t xml:space="preserve">48. </w:t>
      </w:r>
      <w:bookmarkStart w:id="188"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88"/>
    </w:p>
    <w:p>
      <w:pPr>
        <w:pStyle w:val="ReferenceEntry"/>
        <w:spacing w:after="100"/>
        <w:ind w:left="475" w:hanging="475"/>
        <w:jc w:val="left"/>
        <w:keepNext w:val="0"/>
        <w:keepLines w:val="0"/>
        <w:widowControl w:val="1"/>
      </w:pPr>
      <w:r>
        <w:rPr>
          <w:rFonts w:ascii="Times New Roman" w:hAnsi="Times New Roman"/>
          <w:sz w:val="20"/>
        </w:rPr>
        <w:t xml:space="preserve">49. </w:t>
      </w:r>
      <w:bookmarkStart w:id="189"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89"/>
    </w:p>
    <w:p>
      <w:pPr>
        <w:pStyle w:val="ReferenceEntry"/>
        <w:spacing w:after="100"/>
        <w:ind w:left="475" w:hanging="475"/>
        <w:jc w:val="left"/>
        <w:keepNext w:val="0"/>
        <w:keepLines w:val="0"/>
        <w:widowControl w:val="1"/>
      </w:pPr>
      <w:r>
        <w:rPr>
          <w:rFonts w:ascii="Times New Roman" w:hAnsi="Times New Roman"/>
          <w:sz w:val="20"/>
        </w:rPr>
        <w:t xml:space="preserve">50. </w:t>
      </w:r>
      <w:bookmarkStart w:id="190"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90"/>
    </w:p>
    <w:p>
      <w:pPr>
        <w:pStyle w:val="ReferenceEntry"/>
        <w:spacing w:after="100"/>
        <w:ind w:left="475" w:hanging="475"/>
        <w:jc w:val="left"/>
        <w:keepNext w:val="0"/>
        <w:keepLines w:val="0"/>
        <w:widowControl w:val="1"/>
      </w:pPr>
      <w:r>
        <w:rPr>
          <w:rFonts w:ascii="Times New Roman" w:hAnsi="Times New Roman"/>
          <w:sz w:val="20"/>
        </w:rPr>
        <w:t xml:space="preserve">51. </w:t>
      </w:r>
      <w:bookmarkStart w:id="191"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91"/>
    </w:p>
    <w:p>
      <w:pPr>
        <w:pStyle w:val="ReferenceEntry"/>
        <w:spacing w:after="100"/>
        <w:ind w:left="475" w:hanging="475"/>
        <w:jc w:val="left"/>
        <w:keepNext w:val="0"/>
        <w:keepLines w:val="0"/>
        <w:widowControl w:val="1"/>
      </w:pPr>
      <w:r>
        <w:rPr>
          <w:rFonts w:ascii="Times New Roman" w:hAnsi="Times New Roman"/>
          <w:sz w:val="20"/>
        </w:rPr>
        <w:t xml:space="preserve">52. </w:t>
      </w:r>
      <w:bookmarkStart w:id="192" w:name="ref-reymond2015gdb"/>
      <w:r>
        <w:t xml:space="preserve">Reymond, J.-L. (2015). The chemical space project.</w:t>
      </w:r>
      <w:r>
        <w:t xml:space="preserve"> </w:t>
      </w:r>
      <w:r>
        <w:rPr>
          <w:i/>
          <w:iCs/>
        </w:rPr>
        <w:t xml:space="preserve">Acc. Chem. Res. 48(3)</w:t>
      </w:r>
      <w:r>
        <w:t xml:space="preserve">:722–730.</w:t>
      </w:r>
      <w:bookmarkEnd w:id="192"/>
    </w:p>
    <w:p>
      <w:pPr>
        <w:pStyle w:val="ReferenceEntry"/>
        <w:spacing w:after="100"/>
        <w:ind w:left="475" w:hanging="475"/>
        <w:jc w:val="left"/>
        <w:keepNext w:val="0"/>
        <w:keepLines w:val="0"/>
        <w:widowControl w:val="1"/>
      </w:pPr>
      <w:r>
        <w:rPr>
          <w:rFonts w:ascii="Times New Roman" w:hAnsi="Times New Roman"/>
          <w:sz w:val="20"/>
        </w:rPr>
        <w:t xml:space="preserve">53. </w:t>
      </w:r>
      <w:bookmarkStart w:id="193"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93"/>
    </w:p>
    <w:p>
      <w:pPr>
        <w:pStyle w:val="ReferenceEntry"/>
        <w:spacing w:after="100"/>
        <w:ind w:left="475" w:hanging="475"/>
        <w:jc w:val="left"/>
        <w:keepNext w:val="0"/>
        <w:keepLines w:val="0"/>
        <w:widowControl w:val="1"/>
      </w:pPr>
      <w:r>
        <w:rPr>
          <w:rFonts w:ascii="Times New Roman" w:hAnsi="Times New Roman"/>
          <w:sz w:val="20"/>
        </w:rPr>
        <w:t xml:space="preserve">54. </w:t>
      </w:r>
      <w:bookmarkStart w:id="194"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94"/>
    </w:p>
    <w:p>
      <w:pPr>
        <w:pStyle w:val="ReferenceEntry"/>
        <w:spacing w:after="100"/>
        <w:ind w:left="475" w:hanging="475"/>
        <w:jc w:val="left"/>
        <w:keepNext w:val="0"/>
        <w:keepLines w:val="0"/>
        <w:widowControl w:val="1"/>
      </w:pPr>
      <w:r>
        <w:rPr>
          <w:rFonts w:ascii="Times New Roman" w:hAnsi="Times New Roman"/>
          <w:sz w:val="20"/>
        </w:rPr>
        <w:t xml:space="preserve">55. </w:t>
      </w:r>
      <w:bookmarkStart w:id="195" w:name="ref-rogers1960computer"/>
      <w:r>
        <w:t xml:space="preserve">Rogers, D. J., &amp; Tanimoto, T. T. (1960). A Computer Program for Classifying Plants.</w:t>
      </w:r>
      <w:r>
        <w:t xml:space="preserve"> </w:t>
      </w:r>
      <w:r>
        <w:rPr>
          <w:i/>
          <w:iCs/>
        </w:rPr>
        <w:t xml:space="preserve">Science 132(3434)</w:t>
      </w:r>
      <w:r>
        <w:t xml:space="preserve">:1115–1118.</w:t>
      </w:r>
      <w:bookmarkEnd w:id="195"/>
    </w:p>
    <w:p>
      <w:pPr>
        <w:pStyle w:val="ReferenceEntry"/>
        <w:spacing w:after="100"/>
        <w:ind w:left="475" w:hanging="475"/>
        <w:jc w:val="left"/>
        <w:keepNext w:val="0"/>
        <w:keepLines w:val="0"/>
        <w:widowControl w:val="1"/>
      </w:pPr>
      <w:r>
        <w:rPr>
          <w:rFonts w:ascii="Times New Roman" w:hAnsi="Times New Roman"/>
          <w:sz w:val="20"/>
        </w:rPr>
        <w:t xml:space="preserve">56. </w:t>
      </w:r>
      <w:bookmarkStart w:id="196"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196"/>
    </w:p>
    <w:p>
      <w:pPr>
        <w:pStyle w:val="ReferenceEntry"/>
        <w:spacing w:after="100"/>
        <w:ind w:left="475" w:hanging="475"/>
        <w:jc w:val="left"/>
        <w:keepNext w:val="0"/>
        <w:keepLines w:val="0"/>
        <w:widowControl w:val="1"/>
      </w:pPr>
      <w:r>
        <w:rPr>
          <w:rFonts w:ascii="Times New Roman" w:hAnsi="Times New Roman"/>
          <w:sz w:val="20"/>
        </w:rPr>
        <w:t xml:space="preserve">57. </w:t>
      </w:r>
      <w:bookmarkStart w:id="197"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197"/>
    </w:p>
    <w:p>
      <w:pPr>
        <w:pStyle w:val="ReferenceEntry"/>
        <w:spacing w:after="100"/>
        <w:ind w:left="475" w:hanging="475"/>
        <w:jc w:val="left"/>
        <w:keepNext w:val="0"/>
        <w:keepLines w:val="0"/>
        <w:widowControl w:val="1"/>
      </w:pPr>
      <w:r>
        <w:rPr>
          <w:rFonts w:ascii="Times New Roman" w:hAnsi="Times New Roman"/>
          <w:sz w:val="20"/>
        </w:rPr>
        <w:t xml:space="preserve">58. </w:t>
      </w:r>
      <w:bookmarkStart w:id="198"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198"/>
    </w:p>
    <w:p>
      <w:pPr>
        <w:pStyle w:val="ReferenceEntry"/>
        <w:spacing w:after="100"/>
        <w:ind w:left="475" w:hanging="475"/>
        <w:jc w:val="left"/>
        <w:keepNext w:val="0"/>
        <w:keepLines w:val="0"/>
        <w:widowControl w:val="1"/>
      </w:pPr>
      <w:r>
        <w:rPr>
          <w:rFonts w:ascii="Times New Roman" w:hAnsi="Times New Roman"/>
          <w:sz w:val="20"/>
        </w:rPr>
        <w:t xml:space="preserve">59. </w:t>
      </w:r>
      <w:bookmarkStart w:id="199"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199"/>
    </w:p>
    <w:p>
      <w:pPr>
        <w:pStyle w:val="ReferenceEntry"/>
        <w:spacing w:after="100"/>
        <w:ind w:left="475" w:hanging="475"/>
        <w:jc w:val="left"/>
        <w:keepNext w:val="0"/>
        <w:keepLines w:val="0"/>
        <w:widowControl w:val="1"/>
      </w:pPr>
      <w:r>
        <w:rPr>
          <w:rFonts w:ascii="Times New Roman" w:hAnsi="Times New Roman"/>
          <w:sz w:val="20"/>
        </w:rPr>
        <w:t xml:space="preserve">60. </w:t>
      </w:r>
      <w:bookmarkStart w:id="201" w:name="ref-landrum2024rdkit"/>
      <w:r>
        <w:t xml:space="preserve">Landrum, G., &amp; contributors. RDKit: Open-source cheminformatics.</w:t>
      </w:r>
      <w:r>
        <w:t xml:space="preserve"> </w:t>
      </w:r>
      <w:hyperlink r:id="rId200">
        <w:r>
          <w:rPr>
            <w:rStyle w:val="Hyperlink"/>
          </w:rPr>
          <w:t xml:space="preserve">rdkit.org</w:t>
        </w:r>
      </w:hyperlink>
      <w:r>
        <w:t xml:space="preserve">.</w:t>
      </w:r>
      <w:bookmarkEnd w:id="201"/>
    </w:p>
    <w:p>
      <w:pPr>
        <w:pStyle w:val="ReferenceEntry"/>
        <w:spacing w:after="100"/>
        <w:ind w:left="475" w:hanging="475"/>
        <w:jc w:val="left"/>
        <w:keepNext w:val="0"/>
        <w:keepLines w:val="0"/>
        <w:widowControl w:val="1"/>
      </w:pPr>
      <w:r>
        <w:rPr>
          <w:rFonts w:ascii="Times New Roman" w:hAnsi="Times New Roman"/>
          <w:sz w:val="20"/>
        </w:rPr>
        <w:t xml:space="preserve">61. </w:t>
      </w:r>
      <w:bookmarkStart w:id="203" w:name="ref-daylight-smarts"/>
      <w:r>
        <w:t xml:space="preserve">Daylight Chemical Information Systems. (2007). SMARTS: A Language for Describing Molecular Patterns. Daylight Theory Manual, Aliso Viejo, CA.</w:t>
      </w:r>
      <w:r>
        <w:t xml:space="preserve"> </w:t>
      </w:r>
      <w:hyperlink r:id="rId202">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§4.7).</w:t>
      </w:r>
      <w:bookmarkEnd w:id="203"/>
    </w:p>
    <w:p>
      <w:pPr>
        <w:pStyle w:val="ReferenceEntry"/>
        <w:spacing w:after="100"/>
        <w:ind w:left="475" w:hanging="475"/>
        <w:jc w:val="left"/>
        <w:keepNext w:val="0"/>
        <w:keepLines w:val="0"/>
        <w:widowControl w:val="1"/>
      </w:pPr>
      <w:r>
        <w:rPr>
          <w:rFonts w:ascii="Times New Roman" w:hAnsi="Times New Roman"/>
          <w:sz w:val="20"/>
        </w:rPr>
        <w:t xml:space="preserve">62. </w:t>
      </w:r>
      <w:bookmarkStart w:id="204" w:name="ref-sabatini2016"/>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204"/>
    </w:p>
    <w:p>
      <w:pPr>
        <w:pStyle w:val="ReferenceEntry"/>
        <w:spacing w:after="100"/>
        <w:ind w:left="475" w:hanging="475"/>
        <w:jc w:val="left"/>
        <w:keepNext w:val="0"/>
        <w:keepLines w:val="0"/>
        <w:widowControl w:val="1"/>
      </w:pPr>
      <w:r>
        <w:rPr>
          <w:rFonts w:ascii="Times New Roman" w:hAnsi="Times New Roman"/>
          <w:sz w:val="20"/>
        </w:rPr>
        <w:t xml:space="preserve">63. </w:t>
      </w:r>
      <w:bookmarkStart w:id="205"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205"/>
    </w:p>
    <w:p>
      <w:pPr>
        <w:pStyle w:val="ReferenceEntry"/>
        <w:spacing w:after="100"/>
        <w:ind w:left="475" w:hanging="475"/>
        <w:jc w:val="left"/>
        <w:keepNext w:val="0"/>
        <w:keepLines w:val="0"/>
        <w:widowControl w:val="1"/>
      </w:pPr>
      <w:r>
        <w:rPr>
          <w:rFonts w:ascii="Times New Roman" w:hAnsi="Times New Roman"/>
          <w:sz w:val="20"/>
        </w:rPr>
        <w:t xml:space="preserve">64. </w:t>
      </w:r>
      <w:bookmarkStart w:id="206"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206"/>
    </w:p>
    <w:p>
      <w:pPr>
        <w:pStyle w:val="ReferenceEntry"/>
        <w:spacing w:after="100"/>
        <w:ind w:left="475" w:hanging="475"/>
        <w:jc w:val="left"/>
        <w:keepNext w:val="0"/>
        <w:keepLines w:val="0"/>
        <w:widowControl w:val="1"/>
      </w:pPr>
      <w:r>
        <w:rPr>
          <w:rFonts w:ascii="Times New Roman" w:hAnsi="Times New Roman"/>
          <w:sz w:val="20"/>
        </w:rPr>
        <w:t xml:space="preserve">65. </w:t>
      </w:r>
      <w:bookmarkStart w:id="207" w:name="ref-kim2023pubchem"/>
      <w:r>
        <w:t xml:space="preserve">Kim, S. et al. (2023). PubChem 2023 Update.</w:t>
      </w:r>
      <w:r>
        <w:t xml:space="preserve"> </w:t>
      </w:r>
      <w:r>
        <w:rPr>
          <w:i/>
          <w:iCs/>
        </w:rPr>
        <w:t xml:space="preserve">Nucleic Acids Res. 51(D1)</w:t>
      </w:r>
      <w:r>
        <w:t xml:space="preserve">:D1373–D1380.</w:t>
      </w:r>
      <w:bookmarkEnd w:id="207"/>
    </w:p>
    <w:p>
      <w:pPr>
        <w:pStyle w:val="ReferenceEntry"/>
        <w:spacing w:after="100"/>
        <w:ind w:left="475" w:hanging="475"/>
        <w:jc w:val="left"/>
        <w:keepNext w:val="0"/>
        <w:keepLines w:val="0"/>
        <w:widowControl w:val="1"/>
      </w:pPr>
      <w:r>
        <w:rPr>
          <w:rFonts w:ascii="Times New Roman" w:hAnsi="Times New Roman"/>
          <w:sz w:val="20"/>
        </w:rPr>
        <w:t xml:space="preserve">66. </w:t>
      </w:r>
      <w:bookmarkStart w:id="208" w:name="ref-surechembl"/>
      <w:r>
        <w:t xml:space="preserve">Papadatos, G. et al. (2016). SureChEMBL: a large-scale, chemically annotated patent document database.</w:t>
      </w:r>
      <w:r>
        <w:t xml:space="preserve"> </w:t>
      </w:r>
      <w:r>
        <w:rPr>
          <w:i/>
          <w:iCs/>
        </w:rPr>
        <w:t xml:space="preserve">Nucleic Acids Res.</w:t>
      </w:r>
      <w:r>
        <w:t xml:space="preserve"> </w:t>
      </w:r>
      <w:r>
        <w:t xml:space="preserve">44(D1):D1220–D1228. doi:10.1093/nar/gkv1253.</w:t>
      </w:r>
      <w:bookmarkEnd w:id="208"/>
    </w:p>
    <w:p>
      <w:pPr>
        <w:pStyle w:val="ReferenceEntry"/>
        <w:spacing w:after="100"/>
        <w:ind w:left="475" w:hanging="475"/>
        <w:jc w:val="left"/>
        <w:keepNext w:val="0"/>
        <w:keepLines w:val="0"/>
        <w:widowControl w:val="1"/>
      </w:pPr>
      <w:r>
        <w:rPr>
          <w:rFonts w:ascii="Times New Roman" w:hAnsi="Times New Roman"/>
          <w:sz w:val="20"/>
        </w:rPr>
        <w:t xml:space="preserve">67. </w:t>
      </w:r>
      <w:bookmarkStart w:id="209"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Appendix A.1.</w:t>
      </w:r>
      <w:bookmarkEnd w:id="209"/>
    </w:p>
    <w:p>
      <w:pPr>
        <w:pStyle w:val="ReferenceEntry"/>
        <w:spacing w:after="100"/>
        <w:ind w:left="475" w:hanging="475"/>
        <w:jc w:val="left"/>
        <w:keepNext w:val="0"/>
        <w:keepLines w:val="0"/>
        <w:widowControl w:val="1"/>
      </w:pPr>
      <w:r>
        <w:rPr>
          <w:rFonts w:ascii="Times New Roman" w:hAnsi="Times New Roman"/>
          <w:sz w:val="20"/>
        </w:rPr>
        <w:t xml:space="preserve">68. </w:t>
      </w:r>
      <w:bookmarkStart w:id="210" w:name="ref-sterling2015zinc"/>
      <w:r>
        <w:t xml:space="preserve">Sterling, T., &amp; Irwin, J. J. (2015). ZINC 15: Ligand Discovery for Everyone.</w:t>
      </w:r>
      <w:r>
        <w:t xml:space="preserve"> </w:t>
      </w:r>
      <w:r>
        <w:rPr>
          <w:i/>
          <w:iCs/>
        </w:rPr>
        <w:t xml:space="preserve">J. Chem. Inf. Model. 55(11)</w:t>
      </w:r>
      <w:r>
        <w:t xml:space="preserve">:2324–2337.</w:t>
      </w:r>
      <w:bookmarkEnd w:id="210"/>
    </w:p>
    <w:p>
      <w:pPr>
        <w:pStyle w:val="ReferenceEntry"/>
        <w:spacing w:after="100"/>
        <w:ind w:left="475" w:hanging="475"/>
        <w:jc w:val="left"/>
        <w:keepNext w:val="0"/>
        <w:keepLines w:val="0"/>
        <w:widowControl w:val="1"/>
      </w:pPr>
      <w:r>
        <w:rPr>
          <w:rFonts w:ascii="Times New Roman" w:hAnsi="Times New Roman"/>
          <w:sz w:val="20"/>
        </w:rPr>
        <w:t xml:space="preserve">69. </w:t>
      </w:r>
      <w:bookmarkStart w:id="212" w:name="ref-cameo"/>
      <w:r>
        <w:t xml:space="preserve">NIST CAMEO Chemicals: Database of Hazardous Materials and Reactivity.</w:t>
      </w:r>
      <w:r>
        <w:t xml:space="preserve"> </w:t>
      </w:r>
      <w:hyperlink r:id="rId211">
        <w:r>
          <w:rPr>
            <w:rStyle w:val="Hyperlink"/>
          </w:rPr>
          <w:t xml:space="preserve">cameochemicals.noaa.gov</w:t>
        </w:r>
      </w:hyperlink>
      <w:r>
        <w:t xml:space="preserve">.</w:t>
      </w:r>
      <w:bookmarkEnd w:id="212"/>
    </w:p>
    <w:p>
      <w:pPr>
        <w:pStyle w:val="ReferenceEntry"/>
        <w:spacing w:after="100"/>
        <w:ind w:left="475" w:hanging="475"/>
        <w:jc w:val="left"/>
        <w:keepNext w:val="0"/>
        <w:keepLines w:val="0"/>
        <w:widowControl w:val="1"/>
      </w:pPr>
      <w:r>
        <w:rPr>
          <w:rFonts w:ascii="Times New Roman" w:hAnsi="Times New Roman"/>
          <w:sz w:val="20"/>
        </w:rPr>
        <w:t xml:space="preserve">70. </w:t>
      </w:r>
      <w:bookmarkStart w:id="213"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213"/>
    </w:p>
    <w:p>
      <w:pPr>
        <w:pStyle w:val="ReferenceEntry"/>
        <w:spacing w:after="100"/>
        <w:ind w:left="475" w:hanging="475"/>
        <w:jc w:val="left"/>
        <w:keepNext w:val="0"/>
        <w:keepLines w:val="0"/>
        <w:widowControl w:val="1"/>
      </w:pPr>
      <w:r>
        <w:rPr>
          <w:rFonts w:ascii="Times New Roman" w:hAnsi="Times New Roman"/>
          <w:sz w:val="20"/>
        </w:rPr>
        <w:t xml:space="preserve">71. </w:t>
      </w:r>
      <w:bookmarkStart w:id="214" w:name="ref-bondi1964vdw"/>
      <w:r>
        <w:t xml:space="preserve">Bondi, A. (1964). van der Waals Volumes and Radii.</w:t>
      </w:r>
      <w:r>
        <w:t xml:space="preserve"> </w:t>
      </w:r>
      <w:r>
        <w:rPr>
          <w:i/>
          <w:iCs/>
        </w:rPr>
        <w:t xml:space="preserve">J. Phys. Chem. 68(3)</w:t>
      </w:r>
      <w:r>
        <w:t xml:space="preserve">:441–451. doi:10.1021/j100785a001.</w:t>
      </w:r>
      <w:bookmarkEnd w:id="214"/>
    </w:p>
    <w:p>
      <w:pPr>
        <w:pStyle w:val="ReferenceEntry"/>
        <w:spacing w:after="100"/>
        <w:ind w:left="475" w:hanging="475"/>
        <w:jc w:val="left"/>
        <w:keepNext w:val="0"/>
        <w:keepLines w:val="0"/>
        <w:widowControl w:val="1"/>
      </w:pPr>
      <w:r>
        <w:rPr>
          <w:rFonts w:ascii="Times New Roman" w:hAnsi="Times New Roman"/>
          <w:sz w:val="20"/>
        </w:rPr>
        <w:t xml:space="preserve">72. </w:t>
      </w:r>
      <w:bookmarkStart w:id="215"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15"/>
    </w:p>
    <w:bookmarkEnd w:id="216"/>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5" Type="http://schemas.openxmlformats.org/officeDocument/2006/relationships/image" Target="media/rId95.png"/><Relationship Id="rId92" Type="http://schemas.openxmlformats.org/officeDocument/2006/relationships/image" Target="media/rId92.png"/><Relationship Id="rId15" Type="http://schemas.openxmlformats.org/officeDocument/2006/relationships/image" Target="media/rId15.png"/><Relationship Id="rId41" Type="http://schemas.openxmlformats.org/officeDocument/2006/relationships/image" Target="media/rId41.png"/><Relationship Id="rId46" Type="http://schemas.openxmlformats.org/officeDocument/2006/relationships/image" Target="media/rId46.png"/><Relationship Id="rId51" Type="http://schemas.openxmlformats.org/officeDocument/2006/relationships/image" Target="media/rId51.png"/><Relationship Id="rId56" Type="http://schemas.openxmlformats.org/officeDocument/2006/relationships/image" Target="media/rId56.png"/><Relationship Id="rId77" Type="http://schemas.openxmlformats.org/officeDocument/2006/relationships/image" Target="media/rId77.png"/><Relationship Id="rId82" Type="http://schemas.openxmlformats.org/officeDocument/2006/relationships/image" Target="media/rId82.png"/><Relationship Id="rId62" Type="http://schemas.openxmlformats.org/officeDocument/2006/relationships/image" Target="media/rId62.png"/><Relationship Id="rId67" Type="http://schemas.openxmlformats.org/officeDocument/2006/relationships/image" Target="media/rId67.png"/><Relationship Id="rId72" Type="http://schemas.openxmlformats.org/officeDocument/2006/relationships/image" Target="media/rId72.png"/><Relationship Id="rId87" Type="http://schemas.openxmlformats.org/officeDocument/2006/relationships/image" Target="media/rId87.png"/><Relationship Id="rId106" Type="http://schemas.openxmlformats.org/officeDocument/2006/relationships/image" Target="media/rId106.png"/><Relationship Id="rId119" Type="http://schemas.openxmlformats.org/officeDocument/2006/relationships/image" Target="media/rId119.png"/><Relationship Id="rId110" Type="http://schemas.openxmlformats.org/officeDocument/2006/relationships/image" Target="media/rId110.png"/><Relationship Id="rId28" Type="http://schemas.openxmlformats.org/officeDocument/2006/relationships/image" Target="media/rId28.png"/><Relationship Id="rId31" Type="http://schemas.openxmlformats.org/officeDocument/2006/relationships/image" Target="media/rId31.png"/><Relationship Id="rId34" Type="http://schemas.openxmlformats.org/officeDocument/2006/relationships/image" Target="media/rId34.png"/><Relationship Id="rId132" Type="http://schemas.openxmlformats.org/officeDocument/2006/relationships/image" Target="media/rId132.png"/><Relationship Id="rId102" Type="http://schemas.openxmlformats.org/officeDocument/2006/relationships/image" Target="media/rId102.png"/><Relationship Id="rId127" Type="http://schemas.openxmlformats.org/officeDocument/2006/relationships/image" Target="media/rId127.png"/><Relationship Id="rId123" Type="http://schemas.openxmlformats.org/officeDocument/2006/relationships/image" Target="media/rId123.png"/><Relationship Id="rId12" Type="http://schemas.openxmlformats.org/officeDocument/2006/relationships/image" Target="media/rId12.png"/><Relationship Id="rId211" Type="http://schemas.openxmlformats.org/officeDocument/2006/relationships/hyperlink" Target="https://cameochemicals.noaa.gov" TargetMode="External"/><Relationship Id="rId10" Type="http://schemas.openxmlformats.org/officeDocument/2006/relationships/hyperlink" Target="https://doi.org/10.5281/zenodo.19821952" TargetMode="External"/><Relationship Id="rId202" Type="http://schemas.openxmlformats.org/officeDocument/2006/relationships/hyperlink" Target="https://www.daylight.com/dayhtml/doc/theory/theory.smarts.html" TargetMode="External"/><Relationship Id="rId200" Type="http://schemas.openxmlformats.org/officeDocument/2006/relationships/hyperlink" Target="https://www.rdkit.or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11" Type="http://schemas.openxmlformats.org/officeDocument/2006/relationships/hyperlink" Target="https://cameochemicals.noaa.gov" TargetMode="External"/><Relationship Id="rId10" Type="http://schemas.openxmlformats.org/officeDocument/2006/relationships/hyperlink" Target="https://doi.org/10.5281/zenodo.19821952" TargetMode="External"/><Relationship Id="rId202" Type="http://schemas.openxmlformats.org/officeDocument/2006/relationships/hyperlink" Target="https://www.daylight.com/dayhtml/doc/theory/theory.smarts.html" TargetMode="External"/><Relationship Id="rId200" Type="http://schemas.openxmlformats.org/officeDocument/2006/relationships/hyperlink" Target="https://www.rdk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2026-08-01T05:11:03Z</dcterms:created>
  <dcterms:modified xsi:type="dcterms:W3CDTF">2026-08-01T05:11:03Z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