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38041" w14:textId="77777777" w:rsidR="009323F1" w:rsidRPr="00AF0422" w:rsidRDefault="009323F1" w:rsidP="009323F1">
      <w:pPr>
        <w:pStyle w:val="MDPI11articletype"/>
      </w:pPr>
      <w:r>
        <w:rPr>
          <w:b w:val="0"/>
        </w:rPr>
        <w:t>Article</w:t>
      </w:r>
    </w:p>
    <w:p w14:paraId="12ABEACC" w14:textId="77777777" w:rsidR="009323F1" w:rsidRPr="00AF0422" w:rsidRDefault="009323F1" w:rsidP="009323F1">
      <w:pPr>
        <w:pStyle w:val="MDPI12title"/>
      </w:pPr>
      <w:r>
        <w:rPr>
          <w:b w:val="0"/>
        </w:rPr>
        <w:t>Domain-Gated Latent Diffusion: Generative Inverse Design of HMX-Class Energetic Materials with First-Principles Validation</w:t>
      </w:r>
    </w:p>
    <w:p w14:paraId="0F7EC7E0" w14:textId="77777777" w:rsidR="00D7517C" w:rsidRPr="00AF0422" w:rsidRDefault="009323F1" w:rsidP="009323F1">
      <w:pPr>
        <w:pStyle w:val="MDPI13authornames"/>
      </w:pPr>
      <w:r>
        <w:rPr>
          <w:b w:val="0"/>
        </w:rPr>
        <w:t>Yehudit Aperstein 1, * and Alexander Apartsin 2</w:t>
      </w:r>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D7517C" w:rsidRPr="00AF0422" w14:paraId="17E079BB" w14:textId="77777777" w:rsidTr="000D20E3">
        <w:tc>
          <w:tcPr>
            <w:tcW w:w="2410" w:type="dxa"/>
          </w:tcPr>
          <w:p w14:paraId="0DC69D44" w14:textId="77777777" w:rsidR="00D7517C" w:rsidRPr="00AF0422" w:rsidRDefault="00D7517C" w:rsidP="000D20E3">
            <w:pPr>
              <w:pStyle w:val="MDPI14history"/>
              <w:spacing w:after="120"/>
              <w:rPr>
                <w:rFonts w:ascii="宋体" w:eastAsia="宋体" w:hAnsi="宋体" w:cs="宋体"/>
                <w:lang w:eastAsia="zh-CN"/>
              </w:rPr>
            </w:pPr>
            <w:r w:rsidRPr="00AF0422">
              <w:t>Academic Editor: Firstname Lastname</w:t>
            </w:r>
          </w:p>
          <w:p w14:paraId="178BF8B8" w14:textId="77777777" w:rsidR="00D7517C" w:rsidRPr="00AF0422" w:rsidRDefault="00D7517C" w:rsidP="000D20E3">
            <w:pPr>
              <w:pStyle w:val="MDPI14history"/>
              <w:spacing w:before="120"/>
              <w:rPr>
                <w:rFonts w:ascii="宋体" w:eastAsia="宋体" w:hAnsi="宋体" w:cs="宋体"/>
              </w:rPr>
            </w:pPr>
            <w:r w:rsidRPr="00AF0422">
              <w:rPr>
                <w:szCs w:val="14"/>
              </w:rPr>
              <w:t>Received: date</w:t>
            </w:r>
          </w:p>
          <w:p w14:paraId="6FD17B77" w14:textId="77777777" w:rsidR="00D7517C" w:rsidRPr="00AF0422" w:rsidRDefault="00D7517C" w:rsidP="000D20E3">
            <w:pPr>
              <w:pStyle w:val="MDPI14history"/>
              <w:rPr>
                <w:szCs w:val="14"/>
              </w:rPr>
            </w:pPr>
            <w:r w:rsidRPr="00AF0422">
              <w:rPr>
                <w:szCs w:val="14"/>
              </w:rPr>
              <w:t>Revised: date</w:t>
            </w:r>
          </w:p>
          <w:p w14:paraId="527A6F27" w14:textId="77777777" w:rsidR="00D7517C" w:rsidRPr="00AF0422" w:rsidRDefault="00D7517C" w:rsidP="000D20E3">
            <w:pPr>
              <w:pStyle w:val="MDPI14history"/>
              <w:rPr>
                <w:szCs w:val="14"/>
              </w:rPr>
            </w:pPr>
            <w:r w:rsidRPr="00AF0422">
              <w:rPr>
                <w:szCs w:val="14"/>
              </w:rPr>
              <w:t>Accepted: date</w:t>
            </w:r>
          </w:p>
          <w:p w14:paraId="3E070CCD" w14:textId="77777777" w:rsidR="00D7517C" w:rsidRPr="00AF0422" w:rsidRDefault="00D7517C" w:rsidP="000D20E3">
            <w:pPr>
              <w:pStyle w:val="MDPI14history"/>
              <w:spacing w:after="120"/>
              <w:rPr>
                <w:szCs w:val="14"/>
              </w:rPr>
            </w:pPr>
            <w:r w:rsidRPr="00AF0422">
              <w:rPr>
                <w:szCs w:val="14"/>
              </w:rPr>
              <w:t>Published: date</w:t>
            </w:r>
          </w:p>
          <w:p w14:paraId="2F82E1F3" w14:textId="77777777" w:rsidR="00D7517C" w:rsidRPr="00AF0422" w:rsidRDefault="00D7517C" w:rsidP="000D20E3">
            <w:pPr>
              <w:pStyle w:val="MDPI61citation"/>
              <w:rPr>
                <w:lang w:bidi="en-US"/>
              </w:rPr>
            </w:pPr>
            <w:r w:rsidRPr="00AF0422">
              <w:rPr>
                <w:b/>
                <w:lang w:bidi="en-US"/>
              </w:rPr>
              <w:t xml:space="preserve">Citation: </w:t>
            </w:r>
            <w:r w:rsidRPr="00AF0422">
              <w:rPr>
                <w:lang w:bidi="en-US"/>
              </w:rPr>
              <w:t>To be added by editorial staff during production.</w:t>
            </w:r>
          </w:p>
          <w:p w14:paraId="4B22FA13" w14:textId="77777777" w:rsidR="00D7517C" w:rsidRPr="00AF0422" w:rsidRDefault="00D7517C" w:rsidP="000D20E3">
            <w:pPr>
              <w:pStyle w:val="MDPI72copyright"/>
              <w:rPr>
                <w:rFonts w:eastAsia="等线"/>
                <w:noProof w:val="0"/>
                <w:lang w:val="en-US" w:bidi="en-US"/>
              </w:rPr>
            </w:pPr>
            <w:r w:rsidRPr="00AF0422">
              <w:rPr>
                <w:rFonts w:eastAsia="等线"/>
                <w:b/>
                <w:noProof w:val="0"/>
                <w:lang w:val="en-US" w:bidi="en-US"/>
              </w:rPr>
              <w:t>Copyright:</w:t>
            </w:r>
            <w:r w:rsidRPr="00AF0422">
              <w:rPr>
                <w:rFonts w:eastAsia="等线"/>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443239F0" w14:textId="77777777" w:rsidR="009323F1" w:rsidRPr="00AF0422" w:rsidRDefault="00744AED" w:rsidP="009323F1">
      <w:pPr>
        <w:pStyle w:val="MDPI16affiliation"/>
      </w:pPr>
      <w:r>
        <w:rPr>
          <w:b w:val="0"/>
        </w:rPr>
        <w:t>1 Department of Intelligent Systems, Afeka Tel-Aviv College of Engineering, Tel-Aviv, Israel</w:t>
      </w:r>
    </w:p>
    <w:p w14:paraId="55E597B5" w14:textId="77777777" w:rsidR="009323F1" w:rsidRPr="00AF0422" w:rsidRDefault="009323F1" w:rsidP="009323F1">
      <w:pPr>
        <w:pStyle w:val="MDPI16affiliation"/>
      </w:pPr>
      <w:r>
        <w:rPr>
          <w:b w:val="0"/>
        </w:rPr>
        <w:t>2 School of Computer Science, Faculty of Sciences, Holon Institute of Technology (HIT), Holon, Israel</w:t>
      </w:r>
    </w:p>
    <w:p w14:paraId="63F9EDB1" w14:textId="77777777" w:rsidR="009323F1" w:rsidRPr="00AF0422" w:rsidRDefault="009323F1" w:rsidP="009323F1">
      <w:pPr>
        <w:pStyle w:val="MDPI16affiliation"/>
      </w:pPr>
      <w:r>
        <w:rPr>
          <w:b w:val="0"/>
        </w:rPr>
        <w:t>* Correspondence: apersteiny@afeka.ac.il</w:t>
      </w:r>
    </w:p>
    <w:p w14:paraId="40FD8619" w14:textId="77777777" w:rsidR="00B43A65" w:rsidRPr="00B43A65" w:rsidRDefault="009323F1" w:rsidP="00B43A65">
      <w:pPr>
        <w:pStyle w:val="MDPI17abstract"/>
        <w:jc w:val="left"/>
        <w:rPr>
          <w:b/>
        </w:rPr>
      </w:pPr>
      <w:r>
        <w:rPr>
          <w:b/>
        </w:rPr>
        <w:t xml:space="preserve">Abstract: </w:t>
      </w:r>
      <w:r>
        <w:rPr>
          <w:b w:val="0"/>
        </w:rPr>
        <w:t>Designing high-energy-density materials is data-limited: of ~66,000 CHNO molecules with reported detonation properties, only ~3,000 carry trustworthy experimental or DFT values, so models memorise the high-performance tail or extrapolate uncalibrated. We introduce Domain-Gated Latent Diffusion (DGLD) , coupling generative design to first-principles validation. A four-tier label-trust gate routes only high-quality labels into the conditional gradient while noisy labels train the unconditional prior; a score model adds switchable steering over viability, sensitivity, and hazard; and a four-stage funnel (SMARTS filter, Pareto reranker, GFN2-xTB triage, two-level DFT) validates every candidate. DGLD yields 10 unique DFT-confirmed leads, novel against PubChem; the headline compound, 3,4,5-trinitro-1,2-isoxazole, reaches a calibrated density of 2.09 g cm −3 and a Kamlet–Jacobs detonation velocity of 8.25 km s −1 , and is distinct from all 65,980 training molecules (Tanimoto 0.27). On the same recipe the HMX and PETN anchors calibrate to 7.52 and 8.24 km s −1 , ranking it with the strongest anchors. Against four baselines on the same corpus, DGLD is the only method whose novel candidates are shown to stay competitive under DFT validation. The label-trust gate is domain-agnostic, transferring to any inverse-design task with abundant weak and scarce trustworthy labels; code, model checkpoints, and 918 mined hard negatives are released openly under a permanent DOI.</w:t>
      </w:r>
    </w:p>
    <w:p>
      <w:pPr>
        <w:pStyle w:val="MDPI18keywords"/>
      </w:pPr>
      <w:r>
        <w:rPr>
          <w:b/>
        </w:rPr>
        <w:t xml:space="preserve">Keywords: </w:t>
      </w:r>
      <w:r>
        <w:rPr>
          <w:b w:val="0"/>
        </w:rPr>
        <w:t>generative models; latent diffusion; inverse molecular design; high-throughput screening; energetic materials; high-energy density materials; density functional theory; materials informatics; structure–property relationships; data-driven discovery</w:t>
      </w:r>
    </w:p>
    <w:bookmarkEnd w:id="2"/>
    <w:bookmarkEnd w:id="3"/>
    <w:bookmarkEnd w:id="4"/>
    <w:p>
      <w:pPr>
        <w:pStyle w:val="MDPI21heading1"/>
        <w:ind w:left="2608"/>
      </w:pPr>
      <w:r>
        <w:t xml:space="preserve">1. Introduction</w:t>
      </w:r>
    </w:p>
    <w:p>
      <w:pPr>
        <w:pStyle w:val="MDPI32textnoindent"/>
        <w:ind w:left="2608"/>
      </w:pPr>
      <w:r>
        <w:t xml:space="preserve">Energetic-materials performance gains translate directly into reduced propellant mass, smaller warheads, and more efficient civilian gas-generators, yet the canonical anchors of the field (HMX and CL-20) were developed decades ago and few new HMX-class compounds have been disclosed in the decades since. The space of synthesisable CHNO small molecules with the right balance of crystal density, oxygen balance (OB), heat of formation (HOF), and detonation kinetics is vast, but traditional discovery explores it slowly. Computational methods offer acceleration, yet each existing family has a fundamental limitation: empirical formulas (Kamlet–Jacobs</w:t>
      </w:r>
      <w:r>
        <w:t xml:space="preserve"> </w:t>
      </w:r>
      <w:hyperlink w:anchor="ref-kamlet1968detonation">
        <w:r>
          <w:rPr>
            <w:rStyle w:val="Hyperlink"/>
          </w:rPr>
          <w:t xml:space="preserve">[1]</w:t>
        </w:r>
      </w:hyperlink>
      <w:r>
        <w:t xml:space="preserve">) are regime-limited; discriminative surrogates</w:t>
      </w:r>
      <w:r>
        <w:t xml:space="preserve"> </w:t>
      </w:r>
      <w:hyperlink w:anchor="ref-casey2020prediction">
        <w:r>
          <w:rPr>
            <w:rStyle w:val="Hyperlink"/>
          </w:rPr>
          <w:t xml:space="preserve">[2]</w:t>
        </w:r>
      </w:hyperlink>
      <w:hyperlink w:anchor="ref-zhou2023unimol">
        <w:r>
          <w:rPr>
            <w:rStyle w:val="Hyperlink"/>
          </w:rPr>
          <w:t xml:space="preserve">[3]</w:t>
        </w:r>
      </w:hyperlink>
      <w:r>
        <w:t xml:space="preserve"> </w:t>
      </w:r>
      <w:r>
        <w:t xml:space="preserve">score candidates but do not propose them; generative language models trained on energetic corpora memorise training data; and standard guidance methods</w:t>
      </w:r>
      <w:r>
        <w:t xml:space="preserve"> </w:t>
      </w:r>
      <w:hyperlink w:anchor="ref-ho2022cfg">
        <w:r>
          <w:rPr>
            <w:rStyle w:val="Hyperlink"/>
          </w:rPr>
          <w:t xml:space="preserve">[4]</w:t>
        </w:r>
      </w:hyperlink>
      <w:r>
        <w:t xml:space="preserve"> </w:t>
      </w:r>
      <w:r>
        <w:t xml:space="preserve">fail silently when the generative trajectory is as short as molecular generation requires. Compounding these challenges, the labelled corpus is tier-stratified: of ~66 k labelled rows only ~3 k carry a trustworthy experimental or DFT label on the target detonation properties, with the rest supplying empirical-formula or Uni-Mol-surrogate estimates of sharply lower reliability.</w:t>
      </w:r>
    </w:p>
    <w:p>
      <w:pPr>
        <w:pStyle w:val="MDPI31text"/>
        <w:ind w:left="2608"/>
      </w:pPr>
      <w:r>
        <w:t xml:space="preserve">We introduce</w:t>
      </w:r>
      <w:r>
        <w:t xml:space="preserve"> </w:t>
      </w:r>
      <w:r>
        <w:rPr>
          <w:b/>
          <w:bCs/>
        </w:rPr>
        <w:t xml:space="preserve">Domain-Gated Latent Diffusion (DGLD)</w:t>
      </w:r>
      <w:r>
        <w:t xml:space="preserve">. At training time, a four-tier label-trust hierarchy gates which examples drive the conditional gradient (experimental and DFT labels) and which train only the unconditional prior (Kamlet–Jacobs and surrogate labels), preventing miscalibrated data from corrupting the generation signal. At sample time, a multi-task score model with six property and safety heads injects per-step steering into the diffusion trajectory; each head acts as an independent on/off switch without retraining the backbone. Decoded candidates pass through a four-stage validation funnel: a SMARTS chemistry gate, a Pareto reranker, semi-empirical GFN2-xTB triage, and full DFT audit (B3LYP/6-31G(d) +</w:t>
      </w:r>
      <w:r>
        <w:t xml:space="preserve"> </w:t>
      </w:r>
      <m:oMath>
        <m:r>
          <m:t>ω</m:t>
        </m:r>
      </m:oMath>
      <w:r>
        <w:t xml:space="preserve">B97X-D3BJ/def2-TZVP).</w:t>
      </w:r>
    </w:p>
    <w:p>
      <w:pPr>
        <w:pStyle w:val="MDPI31text"/>
        <w:ind w:left="2608"/>
      </w:pPr>
      <w:r>
        <w:t xml:space="preserve">DGLD yields 10 unique DFT-confirmed novel leads (11 lead cards; L3 and L16 are the same compound); the headline compound, trinitro-1,2-isoxazole (L1), reaches</w:t>
      </w:r>
      <w:r>
        <w:t xml:space="preserve"> </w:t>
      </w:r>
      <m:oMath>
        <m:sSub>
          <m:e>
            <m:r>
              <m:t>ρ</m:t>
            </m:r>
          </m:e>
          <m:sub>
            <m:r>
              <m:rPr>
                <m:nor/>
                <m:sty m:val="p"/>
              </m:rPr>
              <m:t>cal</m:t>
            </m:r>
          </m:sub>
        </m:sSub>
        <m:r>
          <m:rPr>
            <m:sty m:val="p"/>
          </m:rPr>
          <m:t>=</m:t>
        </m:r>
        <m:r>
          <m:t>2.09</m:t>
        </m:r>
      </m:oMath>
      <w:r>
        <w:t xml:space="preserve"> g cm</w:t>
      </w:r>
      <w:r>
        <w:rPr>
          <w:vertAlign w:val="superscript"/>
        </w:rPr>
        <w:t xml:space="preserve">−3</w:t>
      </w:r>
      <w:r>
        <w:t xml:space="preserve"> </w:t>
      </w:r>
      <w:r>
        <w:t xml:space="preserve">and</w:t>
      </w:r>
      <w:r>
        <w:t xml:space="preserve"> </w:t>
      </w:r>
      <m:oMath>
        <m:sSub>
          <m:e>
            <m:r>
              <m:t>D</m:t>
            </m:r>
          </m:e>
          <m:sub>
            <m:r>
              <m:rPr>
                <m:nor/>
                <m:sty m:val="p"/>
              </m:rPr>
              <m:t>K-J,cal</m:t>
            </m:r>
          </m:sub>
        </m:sSub>
        <m:r>
          <m:rPr>
            <m:sty m:val="p"/>
          </m:rPr>
          <m:t>=</m:t>
        </m:r>
        <m:r>
          <m:t>8.25</m:t>
        </m:r>
      </m:oMath>
      <w:r>
        <w:t xml:space="preserve"> km s</w:t>
      </w:r>
      <w:r>
        <w:rPr>
          <w:vertAlign w:val="superscript"/>
        </w:rPr>
        <w:t xml:space="preserve">−1</w:t>
      </w:r>
      <w:r>
        <w:t xml:space="preserve">, placing it within the HMX/PETN performance band at max-Tanimoto 0.27 to our 65 980-row labelled corpus (Section 2.2). DGLD behaves as a</w:t>
      </w:r>
      <w:r>
        <w:t xml:space="preserve"> </w:t>
      </w:r>
      <w:r>
        <w:rPr>
          <w:i/>
          <w:iCs/>
        </w:rPr>
        <w:t xml:space="preserve">productive-quadrant generator</w:t>
      </w:r>
      <w:r>
        <w:t xml:space="preserve">: it samples molecules that are simultaneously novel relative to the labelled master and competitive with the HMX/PETN reference class on predicted detonation performance. Across three strong energetics-domain baselines (SMILES-LSTM, SELFIES-GA, REINVENT 4), DGLD is the only method whose novel candidates remain on-target under first-principles DFT validation: SMILES-LSTM memorises 18.3% of outputs exactly; SELFIES-GA returns 75% (75/100) corpus rediscoveries and its best novel candidate collapses from</w:t>
      </w:r>
      <w:r>
        <w:t xml:space="preserve"> </w:t>
      </w:r>
      <m:oMath>
        <m:sSub>
          <m:e>
            <m:r>
              <m:t>D</m:t>
            </m:r>
          </m:e>
          <m:sub>
            <m:r>
              <m:rPr>
                <m:nor/>
                <m:sty m:val="p"/>
              </m:rPr>
              <m:t>surrogate</m:t>
            </m:r>
          </m:sub>
        </m:sSub>
        <m:r>
          <m:rPr>
            <m:sty m:val="p"/>
          </m:rPr>
          <m:t>=</m:t>
        </m:r>
        <m:r>
          <m:t>9.73</m:t>
        </m:r>
      </m:oMath>
      <w:r>
        <w:t xml:space="preserve"> </w:t>
      </w:r>
      <w:r>
        <w:t xml:space="preserve">to</w:t>
      </w:r>
      <w:r>
        <w:t xml:space="preserve"> </w:t>
      </w:r>
      <m:oMath>
        <m:sSub>
          <m:e>
            <m:r>
              <m:t>D</m:t>
            </m:r>
          </m:e>
          <m:sub>
            <m:r>
              <m:rPr>
                <m:nor/>
                <m:sty m:val="p"/>
              </m:rPr>
              <m:t>DFT</m:t>
            </m:r>
          </m:sub>
        </m:sSub>
        <m:r>
          <m:rPr>
            <m:sty m:val="p"/>
          </m:rPr>
          <m:t>=</m:t>
        </m:r>
        <m:r>
          <m:t>6.28</m:t>
        </m:r>
      </m:oMath>
      <w:r>
        <w:t xml:space="preserve"> km s</w:t>
      </w:r>
      <w:r>
        <w:rPr>
          <w:vertAlign w:val="superscript"/>
        </w:rPr>
        <w:t xml:space="preserve">−1</w:t>
      </w:r>
      <w:r>
        <w:t xml:space="preserve"> </w:t>
      </w:r>
      <w:r>
        <w:t xml:space="preserve">under DFT audit (a 3.5 km s</w:t>
      </w:r>
      <w:r>
        <w:rPr>
          <w:vertAlign w:val="superscript"/>
        </w:rPr>
        <w:t xml:space="preserve">−1</w:t>
      </w:r>
      <w:r>
        <w:t xml:space="preserve"> </w:t>
      </w:r>
      <w:r>
        <w:t xml:space="preserve">surrogate artefact); REINVENT 4 generates novel high-N heterocycles but peaks at a surrogate</w:t>
      </w:r>
      <w:r>
        <w:t xml:space="preserve"> </w:t>
      </w:r>
      <m:oMath>
        <m:r>
          <m:t>D</m:t>
        </m:r>
        <m:r>
          <m:rPr>
            <m:sty m:val="p"/>
          </m:rPr>
          <m:t>=</m:t>
        </m:r>
        <m:r>
          <m:t>9.02</m:t>
        </m:r>
      </m:oMath>
      <w:r>
        <w:t xml:space="preserve"> km s</w:t>
      </w:r>
      <w:r>
        <w:rPr>
          <w:vertAlign w:val="superscript"/>
        </w:rPr>
        <w:t xml:space="preserve">−1</w:t>
      </w:r>
      <w:r>
        <w:t xml:space="preserve"> </w:t>
      </w:r>
      <w:r>
        <w:t xml:space="preserve">that was not DFT-audited. Separately, the unguided sampler independently recovered E1 (4-nitro-1,2,3,5-oxatriazole), a known oxatriazole (PubChem CID 57438703) rather than a novel structure, reaching</w:t>
      </w:r>
      <w:r>
        <w:t xml:space="preserve"> </w:t>
      </w:r>
      <m:oMath>
        <m:sSub>
          <m:e>
            <m:r>
              <m:t>D</m:t>
            </m:r>
          </m:e>
          <m:sub>
            <m:r>
              <m:rPr>
                <m:nor/>
                <m:sty m:val="p"/>
              </m:rPr>
              <m:t>K-J,cal</m:t>
            </m:r>
          </m:sub>
        </m:sSub>
        <m:r>
          <m:rPr>
            <m:sty m:val="p"/>
          </m:rPr>
          <m:t>=</m:t>
        </m:r>
        <m:r>
          <m:t>9.00</m:t>
        </m:r>
      </m:oMath>
      <w:r>
        <w:t xml:space="preserve"> km s</w:t>
      </w:r>
      <w:r>
        <w:rPr>
          <w:vertAlign w:val="superscript"/>
        </w:rPr>
        <w:t xml:space="preserve">−1</w:t>
      </w:r>
      <w:r>
        <w:t xml:space="preserve"> </w:t>
      </w:r>
      <w:r>
        <w:t xml:space="preserve">from a chemically distinct scaffold family, pending thermal stability confirmation and an oxatriazole-class DFT anchor (Section 3). The tier-gating recipe is domain-agnostic; only the validation funnel changes per application.</w:t>
      </w:r>
    </w:p>
    <w:p xmlns:a="http://schemas.openxmlformats.org/drawingml/2006/main" xmlns:pic="http://schemas.openxmlformats.org/drawingml/2006/picture">
      <w:pPr>
        <w:pStyle w:val="MDPI52figure"/>
        <w:ind w:left="2608"/>
        <w:jc w:val="center"/>
      </w:pPr>
      <w:r>
        <w:drawing>
          <wp:inline>
            <wp:extent cx="4989830" cy="1534372"/>
            <wp:effectExtent b="0" l="0" r="0" t="0"/>
            <wp:docPr descr="Headline figure: novelty vs predicted properties" title="" id="11" name="Picture"/>
            <a:graphic>
              <a:graphicData uri="http://schemas.openxmlformats.org/drawingml/2006/picture">
                <pic:pic>
                  <pic:nvPicPr>
                    <pic:cNvPr descr="../figs/novelty_vs_D.png" id="12" name="Picture"/>
                    <pic:cNvPicPr>
                      <a:picLocks noChangeArrowheads="1" noChangeAspect="1"/>
                    </pic:cNvPicPr>
                  </pic:nvPicPr>
                  <pic:blipFill>
                    <a:blip r:embed="rId18"/>
                    <a:stretch>
                      <a:fillRect/>
                    </a:stretch>
                  </pic:blipFill>
                  <pic:spPr bwMode="auto">
                    <a:xfrm>
                      <a:off x="0" y="0"/>
                      <a:ext cx="4989830" cy="1534372"/>
                    </a:xfrm>
                    <a:prstGeom prst="rect">
                      <a:avLst/>
                    </a:prstGeom>
                    <a:noFill/>
                    <a:ln w="9525">
                      <a:noFill/>
                      <a:headEnd/>
                      <a:tailEnd/>
                    </a:ln>
                  </pic:spPr>
                </pic:pic>
              </a:graphicData>
            </a:graphic>
          </wp:inline>
        </w:drawing>
      </w:r>
    </w:p>
    <w:p>
      <w:pPr>
        <w:pStyle w:val="MDPI51figurecaption"/>
        <w:ind w:left="2608"/>
      </w:pPr>
      <w:r>
        <w:rPr>
          <w:b/>
          <w:bCs/>
        </w:rPr>
        <w:t xml:space="preserve">Figure 1.</w:t>
      </w:r>
      <w:r>
        <w:t xml:space="preserve"> </w:t>
      </w:r>
      <w:r>
        <w:t xml:space="preserve">Top-1 candidate per method against novelty on three property axes (</w:t>
      </w:r>
      <m:oMath>
        <m:r>
          <m:t>D</m:t>
        </m:r>
      </m:oMath>
      <w:r>
        <w:t xml:space="preserve">,</w:t>
      </w:r>
      <w:r>
        <w:t xml:space="preserve"> </w:t>
      </w:r>
      <m:oMath>
        <m:r>
          <m:t>ρ</m:t>
        </m:r>
      </m:oMath>
      <w:r>
        <w:t xml:space="preserve">,</w:t>
      </w:r>
      <w:r>
        <w:t xml:space="preserve"> </w:t>
      </w:r>
      <m:oMath>
        <m:r>
          <m:t>P</m:t>
        </m:r>
      </m:oMath>
      <w:r>
        <w:t xml:space="preserve">). DGLD (blue, 7 settings × 3 seeds) clears the novelty floor (max-Tanimoto &lt; 0.55) on every axis and lands in the HMX-class band (DGLD points on the</w:t>
      </w:r>
      <w:r>
        <w:t xml:space="preserve"> </w:t>
      </w:r>
      <m:oMath>
        <m:r>
          <m:t>D</m:t>
        </m:r>
      </m:oMath>
      <w:r>
        <w:t xml:space="preserve"> </w:t>
      </w:r>
      <w:r>
        <w:t xml:space="preserve">panel are Uni-Mol surrogate scores and the anchors are at their reported literature</w:t>
      </w:r>
      <w:r>
        <w:t xml:space="preserve"> </w:t>
      </w:r>
      <m:oMath>
        <m:r>
          <m:t>D</m:t>
        </m:r>
      </m:oMath>
      <w:r>
        <w:t xml:space="preserve">; only the DFT-calibrated Kamlet–Jacobs values for the DGLD leads, in Table 2, are directly scale-matched to the anchors). SMILES-LSTM (red X) is exact rediscovery (Tanimoto = 1.0); MolMIM 70 M (gold) is novel but at</w:t>
      </w:r>
      <w:r>
        <w:t xml:space="preserve"> </w:t>
      </w:r>
      <m:oMath>
        <m:r>
          <m:t>D</m:t>
        </m:r>
        <m:r>
          <m:rPr>
            <m:sty m:val="p"/>
          </m:rPr>
          <m:t>=</m:t>
        </m:r>
        <m:r>
          <m:t>7.70</m:t>
        </m:r>
      </m:oMath>
      <w:r>
        <w:t xml:space="preserve"> km s</w:t>
      </w:r>
      <w:r>
        <w:rPr>
          <w:vertAlign w:val="superscript"/>
        </w:rPr>
        <w:t xml:space="preserve">−1</w:t>
      </w:r>
      <w:r>
        <w:t xml:space="preserve">; REINVENT 4 (green square) reaches</w:t>
      </w:r>
      <w:r>
        <w:t xml:space="preserve"> </w:t>
      </w:r>
      <m:oMath>
        <m:r>
          <m:t>D</m:t>
        </m:r>
        <m:r>
          <m:rPr>
            <m:sty m:val="p"/>
          </m:rPr>
          <m:t>=</m:t>
        </m:r>
        <m:r>
          <m:t>9.02</m:t>
        </m:r>
      </m:oMath>
      <w:r>
        <w:t xml:space="preserve"> km s</w:t>
      </w:r>
      <w:r>
        <w:rPr>
          <w:vertAlign w:val="superscript"/>
        </w:rPr>
        <w:t xml:space="preserve">−1</w:t>
      </w:r>
      <w:r>
        <w:t xml:space="preserve"> </w:t>
      </w:r>
      <w:r>
        <w:t xml:space="preserve">at novelty 0.43 (Table 7); SELFIES-GA (purple) shows a surrogate-to-DFT collapse on the</w:t>
      </w:r>
      <w:r>
        <w:t xml:space="preserve"> </w:t>
      </w:r>
      <m:oMath>
        <m:r>
          <m:t>D</m:t>
        </m:r>
      </m:oMath>
      <w:r>
        <w:t xml:space="preserve"> </w:t>
      </w:r>
      <w:r>
        <w:t xml:space="preserve">panel inset (</w:t>
      </w:r>
      <m:oMath>
        <m:r>
          <m:t>D</m:t>
        </m:r>
        <m:r>
          <m:rPr>
            <m:sty m:val="p"/>
          </m:rPr>
          <m:t>=</m:t>
        </m:r>
        <m:r>
          <m:t>9.73</m:t>
        </m:r>
        <m:r>
          <m:rPr>
            <m:sty m:val="p"/>
          </m:rPr>
          <m:t>→</m:t>
        </m:r>
        <m:r>
          <m:t>6.28</m:t>
        </m:r>
      </m:oMath>
      <w:r>
        <w:t xml:space="preserve"> km s</w:t>
      </w:r>
      <w:r>
        <w:rPr>
          <w:vertAlign w:val="superscript"/>
        </w:rPr>
        <w:t xml:space="preserve">−1</w:t>
      </w:r>
      <w:r>
        <w:t xml:space="preserve">). Marker area encodes</w:t>
      </w:r>
      <w:r>
        <w:t xml:space="preserve"> </w:t>
      </w:r>
      <m:oMath>
        <m:r>
          <m:rPr>
            <m:sty m:val="p"/>
          </m:rPr>
          <m:t>(</m:t>
        </m:r>
        <m:r>
          <m:t>1</m:t>
        </m:r>
        <m:r>
          <m:rPr>
            <m:sty m:val="p"/>
          </m:rPr>
          <m:t>−</m:t>
        </m:r>
        <m:r>
          <m:rPr>
            <m:nor/>
            <m:sty m:val="p"/>
          </m:rPr>
          <m:t>memorisation rate</m:t>
        </m:r>
        <m:r>
          <m:rPr>
            <m:sty m:val="p"/>
          </m:rPr>
          <m:t>)</m:t>
        </m:r>
      </m:oMath>
      <w:r>
        <w:t xml:space="preserve">, shrinking SMILES-LSTM and SELFIES-GA. Literature anchors (RDX/HMX/CL-20/TATB/PETN) at novelty = 0 (grey triangles); green-tinted upper-right quadrant is the productive zone.</w:t>
      </w:r>
    </w:p>
    <w:p>
      <w:pPr>
        <w:pStyle w:val="MDPI31text"/>
        <w:ind w:left="2608"/>
      </w:pPr>
      <w:r>
        <w:rPr>
          <w:b/>
          <w:bCs/>
        </w:rPr>
        <w:t xml:space="preserve">Note on Figure 1.</w:t>
      </w:r>
      <w:r>
        <w:t xml:space="preserve"> </w:t>
      </w:r>
      <w:r>
        <w:t xml:space="preserve">Hz-C2 top-1 surrogate values (Uni-Mol scale):</w:t>
      </w:r>
      <w:r>
        <w:t xml:space="preserve"> </w:t>
      </w:r>
      <m:oMath>
        <m:r>
          <m:t>D</m:t>
        </m:r>
      </m:oMath>
      <w:r>
        <w:t xml:space="preserve"> </w:t>
      </w:r>
      <w:r>
        <w:t xml:space="preserve">= 9.39 km s</w:t>
      </w:r>
      <w:r>
        <w:rPr>
          <w:vertAlign w:val="superscript"/>
        </w:rPr>
        <w:t xml:space="preserve">−1</w:t>
      </w:r>
      <w:r>
        <w:t xml:space="preserve">,</w:t>
      </w:r>
      <w:r>
        <w:t xml:space="preserve"> </w:t>
      </w:r>
      <m:oMath>
        <m:r>
          <m:t>P</m:t>
        </m:r>
      </m:oMath>
      <w:r>
        <w:t xml:space="preserve"> </w:t>
      </w:r>
      <w:r>
        <w:t xml:space="preserve">= 38.7 GPa, within 5% of the strict targets. On the 6-anchor-calibrated K-J scale L1 reaches</w:t>
      </w:r>
      <w:r>
        <w:t xml:space="preserve"> </w:t>
      </w:r>
      <m:oMath>
        <m:sSub>
          <m:e>
            <m:r>
              <m:t>D</m:t>
            </m:r>
          </m:e>
          <m:sub>
            <m:r>
              <m:rPr>
                <m:nor/>
                <m:sty m:val="p"/>
              </m:rPr>
              <m:t>K-J,cal</m:t>
            </m:r>
          </m:sub>
        </m:sSub>
      </m:oMath>
      <w:r>
        <w:t xml:space="preserve"> </w:t>
      </w:r>
      <w:r>
        <w:t xml:space="preserve">= 8.25 km s</w:t>
      </w:r>
      <w:r>
        <w:rPr>
          <w:vertAlign w:val="superscript"/>
        </w:rPr>
        <w:t xml:space="preserve">−1</w:t>
      </w:r>
      <w:r>
        <w:t xml:space="preserve"> </w:t>
      </w:r>
      <w:r>
        <w:t xml:space="preserve">and</w:t>
      </w:r>
      <w:r>
        <w:t xml:space="preserve"> </w:t>
      </w:r>
      <m:oMath>
        <m:sSub>
          <m:e>
            <m:r>
              <m:t>P</m:t>
            </m:r>
          </m:e>
          <m:sub>
            <m:r>
              <m:rPr>
                <m:nor/>
                <m:sty m:val="p"/>
              </m:rPr>
              <m:t>K-J,cal</m:t>
            </m:r>
          </m:sub>
        </m:sSub>
      </m:oMath>
      <w:r>
        <w:t xml:space="preserve"> </w:t>
      </w:r>
      <w:r>
        <w:t xml:space="preserve">= 32.9 GPa, slightly below the strict thresholds but in the HMX-class band by anchor-relative ranking.</w:t>
      </w:r>
    </w:p>
    <w:p>
      <w:pPr>
        <w:pStyle w:val="Compact"/>
      </w:pPr>
      <w:r>
        <w:rPr>
          <w:b/>
          <w:bCs/>
        </w:rPr>
        <w:t xml:space="preserve">A tier-gated training recipe for sparse-label molecular generation.</w:t>
      </w:r>
      <w:r>
        <w:t xml:space="preserve"> </w:t>
      </w:r>
      <w:r>
        <w:t xml:space="preserve">Only trustworthy labels enter the conditional gradient, while lower-confidence labels train the unconditional prior (Section 4.1).</w:t>
      </w:r>
    </w:p>
    <w:p>
      <w:pPr>
        <w:pStyle w:val="Compact"/>
      </w:pPr>
      <w:r>
        <w:rPr>
          <w:b/>
          <w:bCs/>
        </w:rPr>
        <w:t xml:space="preserve">A multi-task score model with selectable sample-time steering.</w:t>
      </w:r>
      <w:r>
        <w:t xml:space="preserve"> </w:t>
      </w:r>
      <w:r>
        <w:t xml:space="preserve">Six heads share a single trunk trained jointly over viability, sensitivity, hazard, performance, and two synthesis-complexity signals. At sample time, three heads supply per-step gradient steering on the latent; per-head scales act as on/off switches over chemistry classes without retraining the diffusion backbone.</w:t>
      </w:r>
    </w:p>
    <w:p>
      <w:pPr>
        <w:pStyle w:val="Compact"/>
      </w:pPr>
      <w:r>
        <w:rPr>
          <w:b/>
          <w:bCs/>
        </w:rPr>
        <w:t xml:space="preserve">Self-distillation refinement of the viability head.</w:t>
      </w:r>
      <w:r>
        <w:t xml:space="preserve"> </w:t>
      </w:r>
      <w:r>
        <w:t xml:space="preserve">The viability head is refined by mining the model's own false-positive outputs as hard negatives against a chemist-defined held-out probe; the production budget-918 checkpoint is round 2 of self-distillation (Section 4.11), closing the gap between the Random Forest teacher's class boundary and the latent regions the sampler actually inhabits.</w:t>
      </w:r>
    </w:p>
    <w:p>
      <w:pPr>
        <w:pStyle w:val="Compact"/>
      </w:pPr>
      <w:r>
        <w:rPr>
          <w:b/>
          <w:bCs/>
        </w:rPr>
        <w:t xml:space="preserve">Pool-fusion sampling for scaffold diversity.</w:t>
      </w:r>
      <w:r>
        <w:t xml:space="preserve"> </w:t>
      </w:r>
      <w:r>
        <w:t xml:space="preserve">Independent end-to-end sampling lanes (differentiated by denoiser checkpoint, conditioning targets, and guidance configuration) are unioned and deduplicated post-decode, making each axis an orthogonal diversity lever without increasing per-lane compute.</w:t>
      </w:r>
    </w:p>
    <w:p>
      <w:pPr>
        <w:pStyle w:val="Compact"/>
      </w:pPr>
      <w:r>
        <w:rPr>
          <w:b/>
          <w:bCs/>
        </w:rPr>
        <w:t xml:space="preserve">DFT-validated novel leads in the HMX/PETN band (Kamlet–Jacobs relative ranking).</w:t>
      </w:r>
      <w:r>
        <w:t xml:space="preserve"> </w:t>
      </w:r>
      <w:r>
        <w:t xml:space="preserve">Eleven chem-pass leads are confirmed as true local minima under B3LYP/6-31G(d) and calibrated against six reference compounds under</w:t>
      </w:r>
      <w:r>
        <w:t xml:space="preserve"> </w:t>
      </w:r>
      <m:oMath>
        <m:r>
          <m:t>ω</m:t>
        </m:r>
      </m:oMath>
      <w:r>
        <w:t xml:space="preserve">B97X-D3BJ/def2-TZVP. Lead L1 (trinitro-1,2-isoxazole) is absent from PubChem, the SureChEMBL patent corpus</w:t>
      </w:r>
      <w:r>
        <w:t xml:space="preserve"> </w:t>
      </w:r>
      <w:hyperlink w:anchor="ref-surechembl">
        <w:r>
          <w:rPr>
            <w:rStyle w:val="Hyperlink"/>
          </w:rPr>
          <w:t xml:space="preserve">[5]</w:t>
        </w:r>
      </w:hyperlink>
      <w:r>
        <w:t xml:space="preserve">, and the 65 980-row labelled master (max-Tanimoto 0.27); DFT-calibrated:</w:t>
      </w:r>
      <w:r>
        <w:t xml:space="preserve"> </w:t>
      </w:r>
      <m:oMath>
        <m:sSub>
          <m:e>
            <m:r>
              <m:t>ρ</m:t>
            </m:r>
          </m:e>
          <m:sub>
            <m:r>
              <m:rPr>
                <m:nor/>
                <m:sty m:val="p"/>
              </m:rPr>
              <m:t>cal</m:t>
            </m:r>
          </m:sub>
        </m:sSub>
        <m:r>
          <m:rPr>
            <m:sty m:val="p"/>
          </m:rPr>
          <m:t>=</m:t>
        </m:r>
        <m:r>
          <m:t>2.09</m:t>
        </m:r>
      </m:oMath>
      <w:r>
        <w:t xml:space="preserve"> g cm</w:t>
      </w:r>
      <w:r>
        <w:rPr>
          <w:vertAlign w:val="superscript"/>
        </w:rPr>
        <w:t xml:space="preserve">−3</w:t>
      </w:r>
      <w:r>
        <w:t xml:space="preserve">,</w:t>
      </w:r>
      <w:r>
        <w:t xml:space="preserve"> </w:t>
      </w:r>
      <m:oMath>
        <m:sSub>
          <m:e>
            <m:r>
              <m:t>D</m:t>
            </m:r>
          </m:e>
          <m:sub>
            <m:r>
              <m:rPr>
                <m:nor/>
                <m:sty m:val="p"/>
              </m:rPr>
              <m:t>K-J,cal</m:t>
            </m:r>
          </m:sub>
        </m:sSub>
        <m:r>
          <m:rPr>
            <m:sty m:val="p"/>
          </m:rPr>
          <m:t>=</m:t>
        </m:r>
        <m:r>
          <m:t>8.25</m:t>
        </m:r>
      </m:oMath>
      <w:r>
        <w:t xml:space="preserve"> km s</w:t>
      </w:r>
      <w:r>
        <w:rPr>
          <w:vertAlign w:val="superscript"/>
        </w:rPr>
        <w:t xml:space="preserve">−1</w:t>
      </w:r>
      <w:r>
        <w:t xml:space="preserve">; Uni-Mol surrogate:</w:t>
      </w:r>
      <w:r>
        <w:t xml:space="preserve"> </w:t>
      </w:r>
      <m:oMath>
        <m:r>
          <m:t>D</m:t>
        </m:r>
        <m:r>
          <m:rPr>
            <m:sty m:val="p"/>
          </m:rPr>
          <m:t>=</m:t>
        </m:r>
        <m:r>
          <m:t>9.56</m:t>
        </m:r>
      </m:oMath>
      <w:r>
        <w:t xml:space="preserve"> km s</w:t>
      </w:r>
      <w:r>
        <w:rPr>
          <w:vertAlign w:val="superscript"/>
        </w:rPr>
        <w:t xml:space="preserve">−1</w:t>
      </w:r>
      <w:r>
        <w:t xml:space="preserve"> </w:t>
      </w:r>
      <w:r>
        <w:t xml:space="preserve">(see Section 2.3 for K-J relative-ranking basis). The unguided sampler additionally recovered the known oxatriazole E1 (above); the extension set spans eight Bemis–Murcko scaffolds across seven chemotype families, of which E1, E6, and E9 are known compounds.</w:t>
      </w:r>
    </w:p>
    <w:p xmlns:a="http://schemas.openxmlformats.org/drawingml/2006/main" xmlns:pic="http://schemas.openxmlformats.org/drawingml/2006/picture">
      <w:pPr>
        <w:pStyle w:val="MDPI52figure"/>
        <w:ind w:left="2608"/>
        <w:jc w:val="center"/>
      </w:pPr>
      <w:r>
        <w:drawing>
          <wp:inline>
            <wp:extent cx="4989830" cy="2017762"/>
            <wp:effectExtent b="0" l="0" r="0" t="0"/>
            <wp:docPr descr="Top leads in the (D,P) plane" title="" id="14" name="Picture"/>
            <a:graphic>
              <a:graphicData uri="http://schemas.openxmlformats.org/drawingml/2006/picture">
                <pic:pic>
                  <pic:nvPicPr>
                    <pic:cNvPr descr="../figs/fig3_leads_dp_plane.png" id="15" name="Picture"/>
                    <pic:cNvPicPr>
                      <a:picLocks noChangeArrowheads="1" noChangeAspect="1"/>
                    </pic:cNvPicPr>
                  </pic:nvPicPr>
                  <pic:blipFill>
                    <a:blip r:embed="rId19"/>
                    <a:stretch>
                      <a:fillRect/>
                    </a:stretch>
                  </pic:blipFill>
                  <pic:spPr bwMode="auto">
                    <a:xfrm>
                      <a:off x="0" y="0"/>
                      <a:ext cx="4989830" cy="2017762"/>
                    </a:xfrm>
                    <a:prstGeom prst="rect">
                      <a:avLst/>
                    </a:prstGeom>
                    <a:noFill/>
                    <a:ln w="9525">
                      <a:noFill/>
                      <a:headEnd/>
                      <a:tailEnd/>
                    </a:ln>
                  </pic:spPr>
                </pic:pic>
              </a:graphicData>
            </a:graphic>
          </wp:inline>
        </w:drawing>
      </w:r>
    </w:p>
    <w:p>
      <w:pPr>
        <w:pStyle w:val="MDPI51figurecaption"/>
        <w:ind w:left="2608"/>
      </w:pPr>
      <w:r>
        <w:rPr>
          <w:b/>
          <w:bCs/>
        </w:rPr>
        <w:t xml:space="preserve">Figure 2.</w:t>
      </w:r>
      <w:r>
        <w:t xml:space="preserve"> </w:t>
      </w:r>
      <w:r>
        <w:t xml:space="preserve">Top-200 leads from the pool=40k joint rerank in the (</w:t>
      </w:r>
      <m:oMath>
        <m:r>
          <m:t>D</m:t>
        </m:r>
      </m:oMath>
      <w:r>
        <w:t xml:space="preserve">,</w:t>
      </w:r>
      <w:r>
        <w:t xml:space="preserve"> </w:t>
      </w:r>
      <m:oMath>
        <m:r>
          <m:t>P</m:t>
        </m:r>
      </m:oMath>
      <w:r>
        <w:t xml:space="preserve">) plane. Panel A colours each point by predicted density</w:t>
      </w:r>
      <w:r>
        <w:t xml:space="preserve"> </w:t>
      </w:r>
      <m:oMath>
        <m:r>
          <m:t>ρ</m:t>
        </m:r>
      </m:oMath>
      <w:r>
        <w:t xml:space="preserve"> </w:t>
      </w:r>
      <w:r>
        <w:t xml:space="preserve">(viridis); panel B by novelty (1 minus max Morgan-FP-2 Tanimoto to the labelled master, plasma 0–1). Anchors and target lines</w:t>
      </w:r>
      <w:r>
        <w:t xml:space="preserve"> </w:t>
      </w:r>
      <m:oMath>
        <m:r>
          <m:t>D</m:t>
        </m:r>
        <m:r>
          <m:rPr>
            <m:sty m:val="p"/>
          </m:rPr>
          <m:t>=</m:t>
        </m:r>
        <m:r>
          <m:t>9.5</m:t>
        </m:r>
      </m:oMath>
      <w:r>
        <w:t xml:space="preserve"> km s</w:t>
      </w:r>
      <w:r>
        <w:rPr>
          <w:vertAlign w:val="superscript"/>
        </w:rPr>
        <w:t xml:space="preserve">−1</w:t>
      </w:r>
      <w:r>
        <w:t xml:space="preserve">,</w:t>
      </w:r>
      <w:r>
        <w:t xml:space="preserve"> </w:t>
      </w:r>
      <m:oMath>
        <m:r>
          <m:t>P</m:t>
        </m:r>
        <m:r>
          <m:rPr>
            <m:sty m:val="p"/>
          </m:rPr>
          <m:t>=</m:t>
        </m:r>
        <m:r>
          <m:t>40</m:t>
        </m:r>
      </m:oMath>
      <w:r>
        <w:t xml:space="preserve"> GPa overlay both panels.</w:t>
      </w:r>
    </w:p>
    <w:p>
      <w:pPr>
        <w:pStyle w:val="MDPI22heading2"/>
        <w:ind w:left="2608"/>
      </w:pPr>
      <w:r>
        <w:t xml:space="preserve">1.1. Related Work</w:t>
      </w:r>
    </w:p>
    <w:p>
      <w:pPr>
        <w:pStyle w:val="MDPI32textnoindent"/>
        <w:ind w:left="2608"/>
      </w:pPr>
      <w:r>
        <w:t xml:space="preserve">DGLD draws on, and departs from, several strands of prior work, reviewed below.</w:t>
      </w:r>
    </w:p>
    <w:p>
      <w:pPr>
        <w:pStyle w:val="MDPI31text"/>
        <w:ind w:left="2608"/>
      </w:pPr>
      <w:r>
        <w:t xml:space="preserve">DGLD sits at the intersection of three lines of work: molecular generative modelling, diffusion models with classifier-style guidance, and property prediction for energetic materials. The central contribution being positioned is property-targeted molecular generation under tier-stratified labels, with end-to-end first-principles audit (DFT) on energetic chemistry. The literature reviewed below either supplies a building block we adopt (LIMO encoder, classifier-free guidance (CFG), FiLM conditioning, GFN2-xTB and PySCF for validation), defines a baseline we compare against (MolMIM, MOSES-style benchmarks), or stakes out a neighbouring problem domain (3D pocket-conditioned diffusion, drug-like generative benchmarking) whose techniques we deliberately do not transplant into the energetic-materials regime. We close the section by stating explicitly which gap DGLD fills.</w:t>
      </w:r>
    </w:p>
    <w:p>
      <w:pPr>
        <w:pStyle w:val="MDPI22heading2"/>
        <w:ind w:left="2608"/>
      </w:pPr>
      <w:r>
        <w:t xml:space="preserve">1.1.1 Molecular generative models</w:t>
      </w:r>
    </w:p>
    <w:p>
      <w:pPr>
        <w:pStyle w:val="MDPI32textnoindent"/>
        <w:ind w:left="2608"/>
      </w:pPr>
      <w:r>
        <w:t xml:space="preserve">VAE-based molecular generators learn a continuous latent over SMILES, SELFIES, or molecular graphs and navigate it for property optimisation. Gómez-Bombarelli et al.</w:t>
      </w:r>
      <w:r>
        <w:t xml:space="preserve"> </w:t>
      </w:r>
      <w:hyperlink w:anchor="ref-gomez2018automatic">
        <w:r>
          <w:rPr>
            <w:rStyle w:val="Hyperlink"/>
          </w:rPr>
          <w:t xml:space="preserve">[6]</w:t>
        </w:r>
      </w:hyperlink>
      <w:r>
        <w:t xml:space="preserve"> </w:t>
      </w:r>
      <w:r>
        <w:t xml:space="preserve">introduced the encoder/decoder recipe over SMILES; the Junction-Tree VAE of Jin, Barzilay and Jaakkola</w:t>
      </w:r>
      <w:r>
        <w:t xml:space="preserve"> </w:t>
      </w:r>
      <w:hyperlink w:anchor="ref-jin2018junction">
        <w:r>
          <w:rPr>
            <w:rStyle w:val="Hyperlink"/>
          </w:rPr>
          <w:t xml:space="preserve">[7]</w:t>
        </w:r>
      </w:hyperlink>
      <w:r>
        <w:t xml:space="preserve"> </w:t>
      </w:r>
      <w:r>
        <w:t xml:space="preserve">moved the latent up to fragment graphs to guarantee chemical validity; CDDD</w:t>
      </w:r>
      <w:r>
        <w:t xml:space="preserve"> </w:t>
      </w:r>
      <w:hyperlink w:anchor="ref-winter2019cddd">
        <w:r>
          <w:rPr>
            <w:rStyle w:val="Hyperlink"/>
          </w:rPr>
          <w:t xml:space="preserve">[8]</w:t>
        </w:r>
      </w:hyperlink>
      <w:r>
        <w:t xml:space="preserve"> </w:t>
      </w:r>
      <w:r>
        <w:t xml:space="preserve">learned the latent by translating between equivalent string representations and showed that the resulting descriptors transfer to property prediction; Mol-CycleGAN</w:t>
      </w:r>
      <w:r>
        <w:t xml:space="preserve"> </w:t>
      </w:r>
      <w:hyperlink w:anchor="ref-maziarka2020molcyclegan">
        <w:r>
          <w:rPr>
            <w:rStyle w:val="Hyperlink"/>
          </w:rPr>
          <w:t xml:space="preserve">[9]</w:t>
        </w:r>
      </w:hyperlink>
      <w:r>
        <w:t xml:space="preserve"> </w:t>
      </w:r>
      <w:r>
        <w:t xml:space="preserve">reframed property optimisation as image-to-image translation between molecule sets. SELFIES</w:t>
      </w:r>
      <w:r>
        <w:t xml:space="preserve"> </w:t>
      </w:r>
      <w:hyperlink w:anchor="ref-krenn2020selfies">
        <w:r>
          <w:rPr>
            <w:rStyle w:val="Hyperlink"/>
          </w:rPr>
          <w:t xml:space="preserve">[10]</w:t>
        </w:r>
      </w:hyperlink>
      <w:r>
        <w:t xml:space="preserve"> </w:t>
      </w:r>
      <w:r>
        <w:t xml:space="preserve">replaced SMILES with a syntactically robust string representation in which every token sequence decodes to a valid graph, and is the representation we adopt at the encoder boundary.</w:t>
      </w:r>
    </w:p>
    <w:p>
      <w:pPr>
        <w:pStyle w:val="MDPI31text"/>
        <w:ind w:left="2608"/>
      </w:pPr>
      <w:r>
        <w:t xml:space="preserve">Two more recent latent generators are particularly relevant to DGLD. LIMO</w:t>
      </w:r>
      <w:r>
        <w:t xml:space="preserve"> </w:t>
      </w:r>
      <w:hyperlink w:anchor="ref-eckmann2022limo">
        <w:r>
          <w:rPr>
            <w:rStyle w:val="Hyperlink"/>
          </w:rPr>
          <w:t xml:space="preserve">[11]</w:t>
        </w:r>
      </w:hyperlink>
      <w:r>
        <w:t xml:space="preserve"> </w:t>
      </w:r>
      <w:r>
        <w:t xml:space="preserve">couples an MLP-VAE over SELFIES with a non-autoregressive decoder, factoring decoding through a per-position categorical so that gradient-based latent optimisation does not have to differentiate through autoregressive sampling; LIMO is the encoder we fine-tune. MolMIM</w:t>
      </w:r>
      <w:r>
        <w:t xml:space="preserve"> </w:t>
      </w:r>
      <w:hyperlink w:anchor="ref-reidenbach2023molmim">
        <w:r>
          <w:rPr>
            <w:rStyle w:val="Hyperlink"/>
          </w:rPr>
          <w:t xml:space="preserve">[12]</w:t>
        </w:r>
      </w:hyperlink>
      <w:r>
        <w:t xml:space="preserve"> </w:t>
      </w:r>
      <w:r>
        <w:t xml:space="preserve">trains a Perceiver-encoder</w:t>
      </w:r>
      <w:r>
        <w:t xml:space="preserve"> </w:t>
      </w:r>
      <w:hyperlink w:anchor="ref-jaegle2021perceiver">
        <w:r>
          <w:rPr>
            <w:rStyle w:val="Hyperlink"/>
          </w:rPr>
          <w:t xml:space="preserve">[13]</w:t>
        </w:r>
      </w:hyperlink>
      <w:r>
        <w:t xml:space="preserve"> </w:t>
      </w:r>
      <w:r>
        <w:t xml:space="preserve">mutual-information VAE on billion-scale SMILES and provides a strong no-diffusion baseline against which our latent-diffusion prior is compared.</w:t>
      </w:r>
    </w:p>
    <w:p>
      <w:pPr>
        <w:pStyle w:val="MDPI31text"/>
        <w:ind w:left="2608"/>
      </w:pPr>
      <w:r>
        <w:t xml:space="preserve">Language-modelling approaches treat SMILES directly as a string. REINVENT</w:t>
      </w:r>
      <w:r>
        <w:t xml:space="preserve"> </w:t>
      </w:r>
      <w:hyperlink w:anchor="ref-olivecrona2017reinvent">
        <w:r>
          <w:rPr>
            <w:rStyle w:val="Hyperlink"/>
          </w:rPr>
          <w:t xml:space="preserve">[14]</w:t>
        </w:r>
      </w:hyperlink>
      <w:r>
        <w:t xml:space="preserve"> </w:t>
      </w:r>
      <w:r>
        <w:t xml:space="preserve">trained a recurrent generator on SMILES and biased it toward design objectives via reinforcement learning; Loeffler et al.</w:t>
      </w:r>
      <w:r>
        <w:t xml:space="preserve"> </w:t>
      </w:r>
      <w:hyperlink w:anchor="ref-loeffler2024reinvent4">
        <w:r>
          <w:rPr>
            <w:rStyle w:val="Hyperlink"/>
          </w:rPr>
          <w:t xml:space="preserve">[15]</w:t>
        </w:r>
      </w:hyperlink>
      <w:r>
        <w:t xml:space="preserve"> </w:t>
      </w:r>
      <w:r>
        <w:t xml:space="preserve">describe REINVENT 4, the modern evolution that integrates multiple generator architectures (de novo RNN, scaffold decoration, fragment linking, Mol2Mol transformer) within a unified staged RL/CL framework with a plugin scoring subsystem, and is used here as an RL-based comparative baseline. REINVENT 4 biases generation via a policy-gradient reward signal over a pretrained prior; DGLD instead learns a conditional prior through latent diffusion, separating prior learning (training) from property steering (guidance), and requires no RL reward engineering at generation time. Several REINVENT 4 mechanisms are inspirationally relevant: the diversity filter (Murcko scaffold bucketing) is analogous to our Tanimoto novelty window; staged learning mirrors our guidance-weight annealing schedule. ChemTS</w:t>
      </w:r>
      <w:r>
        <w:t xml:space="preserve"> </w:t>
      </w:r>
      <w:hyperlink w:anchor="ref-yang2017chemts">
        <w:r>
          <w:rPr>
            <w:rStyle w:val="Hyperlink"/>
          </w:rPr>
          <w:t xml:space="preserve">[16]</w:t>
        </w:r>
      </w:hyperlink>
      <w:r>
        <w:t xml:space="preserve"> </w:t>
      </w:r>
      <w:r>
        <w:t xml:space="preserve">combined an RNN prior with Monte-Carlo tree search; MolGPT</w:t>
      </w:r>
      <w:r>
        <w:t xml:space="preserve"> </w:t>
      </w:r>
      <w:hyperlink w:anchor="ref-bagal2022molgpt">
        <w:r>
          <w:rPr>
            <w:rStyle w:val="Hyperlink"/>
          </w:rPr>
          <w:t xml:space="preserve">[17]</w:t>
        </w:r>
      </w:hyperlink>
      <w:r>
        <w:t xml:space="preserve"> </w:t>
      </w:r>
      <w:r>
        <w:t xml:space="preserve">applied a GPT-style decoder with property tokens prepended for control. MoLFormer-XL</w:t>
      </w:r>
      <w:r>
        <w:t xml:space="preserve"> </w:t>
      </w:r>
      <w:hyperlink w:anchor="ref-ross2022molformer">
        <w:r>
          <w:rPr>
            <w:rStyle w:val="Hyperlink"/>
          </w:rPr>
          <w:t xml:space="preserve">[18]</w:t>
        </w:r>
      </w:hyperlink>
      <w:r>
        <w:t xml:space="preserve"> </w:t>
      </w:r>
      <w:r>
        <w:t xml:space="preserve">and Chemformer</w:t>
      </w:r>
      <w:r>
        <w:t xml:space="preserve"> </w:t>
      </w:r>
      <w:hyperlink w:anchor="ref-irwin2022chemformer">
        <w:r>
          <w:rPr>
            <w:rStyle w:val="Hyperlink"/>
          </w:rPr>
          <w:t xml:space="preserve">[19]</w:t>
        </w:r>
      </w:hyperlink>
      <w:r>
        <w:t xml:space="preserve"> </w:t>
      </w:r>
      <w:r>
        <w:t xml:space="preserve">showed that BERT/T5-style pretraining on hundreds of millions of SMILES yields representations that transfer cleanly to property-prediction tasks. The flow-network approach of Bengio et al.</w:t>
      </w:r>
      <w:r>
        <w:t xml:space="preserve"> </w:t>
      </w:r>
      <w:hyperlink w:anchor="ref-bengio2021gflownet">
        <w:r>
          <w:rPr>
            <w:rStyle w:val="Hyperlink"/>
          </w:rPr>
          <w:t xml:space="preserve">[20]</w:t>
        </w:r>
      </w:hyperlink>
      <w:r>
        <w:t xml:space="preserve"> </w:t>
      </w:r>
      <w:r>
        <w:t xml:space="preserve">reformulates non-iterative diverse candidate generation as flow matching over an implicit reward landscape and is conceptually closer to our guided sampling than to autoregressive language modelling. On the graph side, DiGress</w:t>
      </w:r>
      <w:r>
        <w:t xml:space="preserve"> </w:t>
      </w:r>
      <w:hyperlink w:anchor="ref-vignac2023digress">
        <w:r>
          <w:rPr>
            <w:rStyle w:val="Hyperlink"/>
          </w:rPr>
          <w:t xml:space="preserve">[21]</w:t>
        </w:r>
      </w:hyperlink>
      <w:r>
        <w:t xml:space="preserve"> </w:t>
      </w:r>
      <w:r>
        <w:t xml:space="preserve">performs discrete denoising diffusion directly on molecular graphs, achieving exact validity at the cost of having to re-introduce property conditioning via a separate guidance term.</w:t>
      </w:r>
    </w:p>
    <w:p>
      <w:pPr>
        <w:pStyle w:val="MDPI22heading2"/>
        <w:ind w:left="2608"/>
      </w:pPr>
      <w:r>
        <w:t xml:space="preserve">1.1.2 Diffusion models and classifier guidance</w:t>
      </w:r>
    </w:p>
    <w:p>
      <w:pPr>
        <w:pStyle w:val="MDPI32textnoindent"/>
        <w:ind w:left="2608"/>
      </w:pPr>
      <w:r>
        <w:t xml:space="preserve">Denoising diffusion probabilistic models</w:t>
      </w:r>
      <w:r>
        <w:t xml:space="preserve"> </w:t>
      </w:r>
      <w:hyperlink w:anchor="ref-ho2020ddpm">
        <w:r>
          <w:rPr>
            <w:rStyle w:val="Hyperlink"/>
          </w:rPr>
          <w:t xml:space="preserve">[22]</w:t>
        </w:r>
      </w:hyperlink>
      <w:r>
        <w:t xml:space="preserve"> </w:t>
      </w:r>
      <w:r>
        <w:t xml:space="preserve">and the score-based formulation of Song and Ermon</w:t>
      </w:r>
      <w:r>
        <w:t xml:space="preserve"> </w:t>
      </w:r>
      <w:hyperlink w:anchor="ref-song2019score">
        <w:r>
          <w:rPr>
            <w:rStyle w:val="Hyperlink"/>
          </w:rPr>
          <w:t xml:space="preserve">[23]</w:t>
        </w:r>
      </w:hyperlink>
      <w:r>
        <w:t xml:space="preserve">, later unified through a stochastic-differential-equation perspective</w:t>
      </w:r>
      <w:r>
        <w:t xml:space="preserve"> </w:t>
      </w:r>
      <w:hyperlink w:anchor="ref-song2021sde">
        <w:r>
          <w:rPr>
            <w:rStyle w:val="Hyperlink"/>
          </w:rPr>
          <w:t xml:space="preserve">[24]</w:t>
        </w:r>
      </w:hyperlink>
      <w:r>
        <w:t xml:space="preserve">, define the generative-modelling family that DGLD builds on. Latent diffusion</w:t>
      </w:r>
      <w:r>
        <w:t xml:space="preserve"> </w:t>
      </w:r>
      <w:hyperlink w:anchor="ref-rombach2022ldm">
        <w:r>
          <w:rPr>
            <w:rStyle w:val="Hyperlink"/>
          </w:rPr>
          <w:t xml:space="preserve">[25]</w:t>
        </w:r>
      </w:hyperlink>
      <w:r>
        <w:t xml:space="preserve"> </w:t>
      </w:r>
      <w:r>
        <w:t xml:space="preserve">separates perceptual compression from prior modelling by running the diffusion process in the latent space of a frozen autoencoder, a recipe we transplant from images to molecules: the LIMO encoder fixes the latent geometry, and the diffusion model only has to learn the prior over that latent.</w:t>
      </w:r>
    </w:p>
    <w:p>
      <w:pPr>
        <w:pStyle w:val="MDPI31text"/>
        <w:ind w:left="2608"/>
      </w:pPr>
      <w:r>
        <w:t xml:space="preserve">For property control we adopt the classifier-free guidance scheme of Ho and Salimans</w:t>
      </w:r>
      <w:r>
        <w:t xml:space="preserve"> </w:t>
      </w:r>
      <w:hyperlink w:anchor="ref-ho2022cfg">
        <w:r>
          <w:rPr>
            <w:rStyle w:val="Hyperlink"/>
          </w:rPr>
          <w:t xml:space="preserve">[4]</w:t>
        </w:r>
      </w:hyperlink>
      <w:r>
        <w:t xml:space="preserve">, in which a single denoiser is trained jointly with and without the conditioning signal and the conditioning gradient is reconstructed at sample time:</w:t>
      </w:r>
    </w:p>
    <w:p>
      <w:pPr>
        <w:pStyle w:val="MDPI39equation"/>
        <w:ind w:left="2608"/>
      </w:pPr>
      <m:oMathPara>
        <m:oMathParaPr>
          <m:jc m:val="center"/>
        </m:oMathParaPr>
        <m:oMath>
          <m:sSub>
            <m:e>
              <m:acc>
                <m:accPr>
                  <m:chr m:val="̂"/>
                </m:accPr>
                <m:e>
                  <m:r>
                    <m:t>ϵ</m:t>
                  </m:r>
                </m:e>
              </m:acc>
            </m:e>
            <m:sub>
              <m:r>
                <m:t>θ</m:t>
              </m:r>
            </m:sub>
          </m:sSub>
          <m:r>
            <m:rPr>
              <m:sty m:val="p"/>
            </m:rPr>
            <m:t>(</m:t>
          </m:r>
          <m:sSub>
            <m:e>
              <m:r>
                <m:t>z</m:t>
              </m:r>
            </m:e>
            <m:sub>
              <m:r>
                <m:t>t</m:t>
              </m:r>
            </m:sub>
          </m:sSub>
          <m:r>
            <m:rPr>
              <m:sty m:val="p"/>
            </m:rPr>
            <m:t>,</m:t>
          </m:r>
          <m:r>
            <m:t>c</m:t>
          </m:r>
          <m:r>
            <m:rPr>
              <m:sty m:val="p"/>
            </m:rPr>
            <m:t>)</m:t>
          </m:r>
          <m:r>
            <m:t> </m:t>
          </m:r>
          <m:r>
            <m:rPr>
              <m:sty m:val="p"/>
            </m:rPr>
            <m:t>=</m:t>
          </m:r>
          <m:r>
            <m:t> </m:t>
          </m:r>
          <m:sSub>
            <m:e>
              <m:r>
                <m:t>ϵ</m:t>
              </m:r>
            </m:e>
            <m:sub>
              <m:r>
                <m:t>θ</m:t>
              </m:r>
            </m:sub>
          </m:sSub>
          <m:r>
            <m:rPr>
              <m:sty m:val="p"/>
            </m:rPr>
            <m:t>(</m:t>
          </m:r>
          <m:sSub>
            <m:e>
              <m:r>
                <m:t>z</m:t>
              </m:r>
            </m:e>
            <m:sub>
              <m:r>
                <m:t>t</m:t>
              </m:r>
            </m:sub>
          </m:sSub>
          <m:r>
            <m:rPr>
              <m:sty m:val="p"/>
            </m:rPr>
            <m:t>,</m:t>
          </m:r>
          <m:r>
            <m:rPr>
              <m:sty m:val="p"/>
            </m:rPr>
            <m:t>∅</m:t>
          </m:r>
          <m:r>
            <m:rPr>
              <m:sty m:val="p"/>
            </m:rPr>
            <m:t>)</m:t>
          </m:r>
          <m:r>
            <m:t> </m:t>
          </m:r>
          <m:r>
            <m:rPr>
              <m:sty m:val="p"/>
            </m:rPr>
            <m:t>+</m:t>
          </m:r>
          <m:r>
            <m:t> </m:t>
          </m:r>
          <m:r>
            <m:t>w</m:t>
          </m:r>
          <m:r>
            <m:rPr>
              <m:sty m:val="p"/>
            </m:rPr>
            <m:t>⋅</m:t>
          </m:r>
          <m:d>
            <m:dPr>
              <m:begChr m:val="("/>
              <m:sepChr m:val=""/>
              <m:endChr m:val=")"/>
              <m:grow/>
            </m:dPr>
            <m:e>
              <m:sSub>
                <m:e>
                  <m:r>
                    <m:t>ϵ</m:t>
                  </m:r>
                </m:e>
                <m:sub>
                  <m:r>
                    <m:t>θ</m:t>
                  </m:r>
                </m:sub>
              </m:sSub>
              <m:r>
                <m:rPr>
                  <m:sty m:val="p"/>
                </m:rPr>
                <m:t>(</m:t>
              </m:r>
              <m:sSub>
                <m:e>
                  <m:r>
                    <m:t>z</m:t>
                  </m:r>
                </m:e>
                <m:sub>
                  <m:r>
                    <m:t>t</m:t>
                  </m:r>
                </m:sub>
              </m:sSub>
              <m:r>
                <m:rPr>
                  <m:sty m:val="p"/>
                </m:rPr>
                <m:t>,</m:t>
              </m:r>
              <m:r>
                <m:t>c</m:t>
              </m:r>
              <m:r>
                <m:rPr>
                  <m:sty m:val="p"/>
                </m:rPr>
                <m:t>)</m:t>
              </m:r>
              <m:r>
                <m:rPr>
                  <m:sty m:val="p"/>
                </m:rPr>
                <m:t>−</m:t>
              </m:r>
              <m:sSub>
                <m:e>
                  <m:r>
                    <m:t>ϵ</m:t>
                  </m:r>
                </m:e>
                <m:sub>
                  <m:r>
                    <m:t>θ</m:t>
                  </m:r>
                </m:sub>
              </m:sSub>
              <m:r>
                <m:rPr>
                  <m:sty m:val="p"/>
                </m:rPr>
                <m:t>(</m:t>
              </m:r>
              <m:sSub>
                <m:e>
                  <m:r>
                    <m:t>z</m:t>
                  </m:r>
                </m:e>
                <m:sub>
                  <m:r>
                    <m:t>t</m:t>
                  </m:r>
                </m:sub>
              </m:sSub>
              <m:r>
                <m:rPr>
                  <m:sty m:val="p"/>
                </m:rPr>
                <m:t>,</m:t>
              </m:r>
              <m:r>
                <m:rPr>
                  <m:sty m:val="p"/>
                </m:rPr>
                <m:t>∅</m:t>
              </m:r>
              <m:r>
                <m:rPr>
                  <m:sty m:val="p"/>
                </m:rPr>
                <m:t>)</m:t>
              </m:r>
            </m:e>
          </m:d>
          <m:r>
            <m:rPr>
              <m:sty m:val="p"/>
            </m:rPr>
            <m:t>.</m:t>
          </m:r>
        </m:oMath>
      </m:oMathPara>
    </w:p>
    <w:p>
      <w:pPr>
        <w:pStyle w:val="MDPI32textnoindent"/>
        <w:ind w:left="2608"/>
      </w:pPr>
      <w:r>
        <w:t xml:space="preserve">Classifier-free guidance avoids the separately-trained property predictor required by its noise-conditional ancestor, classifier guidance</w:t>
      </w:r>
      <w:r>
        <w:t xml:space="preserve"> </w:t>
      </w:r>
      <w:hyperlink w:anchor="ref-dhariwal2021diffusion">
        <w:r>
          <w:rPr>
            <w:rStyle w:val="Hyperlink"/>
          </w:rPr>
          <w:t xml:space="preserve">[26]</w:t>
        </w:r>
      </w:hyperlink>
      <w:r>
        <w:t xml:space="preserve">. DGLD combines both regimes: classifier-free guidance over the four detonation targets, plus a small noise-conditional multi-task score model whose per-head gradients are added at every diffusion step (Section 4.10). Conditioning is injected into the residual blocks of the denoiser through FiLM-style affine feature-wise modulation</w:t>
      </w:r>
      <w:r>
        <w:t xml:space="preserve"> </w:t>
      </w:r>
      <w:hyperlink w:anchor="ref-perez2018film">
        <w:r>
          <w:rPr>
            <w:rStyle w:val="Hyperlink"/>
          </w:rPr>
          <w:t xml:space="preserve">[27]</w:t>
        </w:r>
      </w:hyperlink>
      <w:r>
        <w:t xml:space="preserve">, the standard mechanism for property conditioning in image and molecular diffusion alike.</w:t>
      </w:r>
    </w:p>
    <w:p>
      <w:pPr>
        <w:pStyle w:val="MDPI22heading2"/>
        <w:ind w:left="2608"/>
      </w:pPr>
      <w:r>
        <w:t xml:space="preserve">1.1.3 3D and target-conditioned molecular diffusion</w:t>
      </w:r>
    </w:p>
    <w:p>
      <w:pPr>
        <w:pStyle w:val="MDPI32textnoindent"/>
        <w:ind w:left="2608"/>
      </w:pPr>
      <w:r>
        <w:t xml:space="preserve">A parallel line of work runs diffusion directly on 3D molecular geometries rather than on a learned latent. Equivariant Diffusion (EDM)</w:t>
      </w:r>
      <w:r>
        <w:t xml:space="preserve"> </w:t>
      </w:r>
      <w:hyperlink w:anchor="ref-hoogeboom2022edm">
        <w:r>
          <w:rPr>
            <w:rStyle w:val="Hyperlink"/>
          </w:rPr>
          <w:t xml:space="preserve">[28]</w:t>
        </w:r>
      </w:hyperlink>
      <w:r>
        <w:t xml:space="preserve"> </w:t>
      </w:r>
      <w:r>
        <w:t xml:space="preserve">diffuses atom positions and types under SE(3)-equivariant networks, providing the architectural template for subsequent target-aware variants. DiffSBDD</w:t>
      </w:r>
      <w:r>
        <w:t xml:space="preserve"> </w:t>
      </w:r>
      <w:hyperlink w:anchor="ref-schneuing2022diffsbdd">
        <w:r>
          <w:rPr>
            <w:rStyle w:val="Hyperlink"/>
          </w:rPr>
          <w:t xml:space="preserve">[29]</w:t>
        </w:r>
      </w:hyperlink>
      <w:r>
        <w:t xml:space="preserve"> </w:t>
      </w:r>
      <w:r>
        <w:t xml:space="preserve">and TargetDiff</w:t>
      </w:r>
      <w:r>
        <w:t xml:space="preserve"> </w:t>
      </w:r>
      <w:hyperlink w:anchor="ref-guan2023targetdiff">
        <w:r>
          <w:rPr>
            <w:rStyle w:val="Hyperlink"/>
          </w:rPr>
          <w:t xml:space="preserve">[30]</w:t>
        </w:r>
      </w:hyperlink>
      <w:r>
        <w:t xml:space="preserve"> </w:t>
      </w:r>
      <w:r>
        <w:t xml:space="preserve">condition the diffusion process on a 3D protein pocket; Pocket2Mol</w:t>
      </w:r>
      <w:r>
        <w:t xml:space="preserve"> </w:t>
      </w:r>
      <w:hyperlink w:anchor="ref-peng2022pocket2mol">
        <w:r>
          <w:rPr>
            <w:rStyle w:val="Hyperlink"/>
          </w:rPr>
          <w:t xml:space="preserve">[31]</w:t>
        </w:r>
      </w:hyperlink>
      <w:r>
        <w:t xml:space="preserve"> </w:t>
      </w:r>
      <w:r>
        <w:t xml:space="preserve">samples atoms autoregressively inside the pocket; DiffDock</w:t>
      </w:r>
      <w:r>
        <w:t xml:space="preserve"> </w:t>
      </w:r>
      <w:hyperlink w:anchor="ref-corso2023diffdock">
        <w:r>
          <w:rPr>
            <w:rStyle w:val="Hyperlink"/>
          </w:rPr>
          <w:t xml:space="preserve">[32]</w:t>
        </w:r>
      </w:hyperlink>
      <w:r>
        <w:t xml:space="preserve"> </w:t>
      </w:r>
      <w:r>
        <w:t xml:space="preserve">recasts molecular docking itself as a generative diffusion problem over translation, rotation, and torsion. MolDiff</w:t>
      </w:r>
      <w:r>
        <w:t xml:space="preserve"> </w:t>
      </w:r>
      <w:hyperlink w:anchor="ref-peng2023moldiff">
        <w:r>
          <w:rPr>
            <w:rStyle w:val="Hyperlink"/>
          </w:rPr>
          <w:t xml:space="preserve">[33]</w:t>
        </w:r>
      </w:hyperlink>
      <w:r>
        <w:t xml:space="preserve"> </w:t>
      </w:r>
      <w:r>
        <w:t xml:space="preserve">addresses the atom-bond inconsistency that arises when atom positions and bond types are diffused independently.</w:t>
      </w:r>
    </w:p>
    <w:p>
      <w:pPr>
        <w:pStyle w:val="MDPI31text"/>
        <w:ind w:left="2608"/>
      </w:pPr>
      <w:r>
        <w:t xml:space="preserve">GeoLDM (Xu et al.</w:t>
      </w:r>
      <w:r>
        <w:t xml:space="preserve"> </w:t>
      </w:r>
      <w:hyperlink w:anchor="ref-xu2023geoldm">
        <w:r>
          <w:rPr>
            <w:rStyle w:val="Hyperlink"/>
          </w:rPr>
          <w:t xml:space="preserve">[34]</w:t>
        </w:r>
      </w:hyperlink>
      <w:r>
        <w:t xml:space="preserve">) is the closest 3D-coordinate latent-diffusion analogue: it learns an SE(3)-equivariant latent over atom positions and types and runs the diffusion process there, so conditioning enters at the 3D-geometry level. DGLD instead diffuses a 1D string-derived latent (cached LIMO</w:t>
      </w:r>
      <w:r>
        <w:t xml:space="preserve"> </w:t>
      </w:r>
      <m:oMath>
        <m:r>
          <m:t>μ</m:t>
        </m:r>
      </m:oMath>
      <w:r>
        <w:t xml:space="preserve"> </w:t>
      </w:r>
      <w:r>
        <w:t xml:space="preserve">over SELFIES), so conditioning is a function of the molecule's identity rather than of any particular conformer. The 1D-latent route avoids per-step conformer regeneration and is the natural fit for property targets that are themselves invariant under conformer choice.</w:t>
      </w:r>
    </w:p>
    <w:p>
      <w:pPr>
        <w:pStyle w:val="MDPI31text"/>
        <w:ind w:left="2608"/>
      </w:pPr>
      <w:r>
        <w:t xml:space="preserve">DGLD differs from this family in two respects. First, the conditioning signal is a continuous physical property of the molecule itself (density, heat of formation, detonation velocity, detonation pressure), not the geometry of an external receptor; latent-space diffusion is the more natural fit and avoids 3D-conformer preprocessing at every training step. Second, the energetic-materials regime imposes a tier-stratified label-trust structure (computed K-J labels vs. measured detonation properties) that has no analogue in pocket-based drug design and that drives the conditioning-mask design of Section 4.</w:t>
      </w:r>
    </w:p>
    <w:p>
      <w:pPr>
        <w:pStyle w:val="MDPI22heading2"/>
        <w:ind w:left="2608"/>
      </w:pPr>
      <w:r>
        <w:t xml:space="preserve">1.1.4 Energetic-materials property prediction</w:t>
      </w:r>
    </w:p>
    <w:p>
      <w:pPr>
        <w:pStyle w:val="MDPI32textnoindent"/>
        <w:ind w:left="2608"/>
      </w:pPr>
      <w:r>
        <w:t xml:space="preserve">The Kamlet–Jacobs equations</w:t>
      </w:r>
      <w:r>
        <w:t xml:space="preserve"> </w:t>
      </w:r>
      <w:hyperlink w:anchor="ref-kamlet1968detonation">
        <w:r>
          <w:rPr>
            <w:rStyle w:val="Hyperlink"/>
          </w:rPr>
          <w:t xml:space="preserve">[1]</w:t>
        </w:r>
      </w:hyperlink>
      <w:r>
        <w:t xml:space="preserve"> </w:t>
      </w:r>
      <w:r>
        <w:t xml:space="preserve">remain the closed-form workhorse for fast detonation-property estimates of CHNO explosives and supply our Tier C labels; they are regime-limited and under-predict in the high-nitrogen tail (Section 2.3, Supplementary Section C). Casey et al.</w:t>
      </w:r>
      <w:r>
        <w:t xml:space="preserve"> </w:t>
      </w:r>
      <w:hyperlink w:anchor="ref-casey2020prediction">
        <w:r>
          <w:rPr>
            <w:rStyle w:val="Hyperlink"/>
          </w:rPr>
          <w:t xml:space="preserve">[2]</w:t>
        </w:r>
      </w:hyperlink>
      <w:r>
        <w:t xml:space="preserve"> </w:t>
      </w:r>
      <w:r>
        <w:t xml:space="preserve">train 3D convolutional networks on electronic-structure-derived volumetric inputs to predict detonation properties from first principles; we use an ensemble in this family as our fast post-rerank scorer. Uni-Mol</w:t>
      </w:r>
      <w:r>
        <w:t xml:space="preserve"> </w:t>
      </w:r>
      <w:hyperlink w:anchor="ref-zhou2023unimol">
        <w:r>
          <w:rPr>
            <w:rStyle w:val="Hyperlink"/>
          </w:rPr>
          <w:t xml:space="preserve">[3]</w:t>
        </w:r>
      </w:hyperlink>
      <w:r>
        <w:t xml:space="preserve"> </w:t>
      </w:r>
      <w:r>
        <w:t xml:space="preserve">provides a 3D pre-training backbone whose representations transfer to organic property prediction and which the smoke-model ensemble (our in-house Uni-Mol detonation-property regression ensemble) draws on. Elton et al.</w:t>
      </w:r>
      <w:r>
        <w:t xml:space="preserve"> </w:t>
      </w:r>
      <w:hyperlink w:anchor="ref-elton2018applying">
        <w:r>
          <w:rPr>
            <w:rStyle w:val="Hyperlink"/>
          </w:rPr>
          <w:t xml:space="preserve">[35]</w:t>
        </w:r>
      </w:hyperlink>
      <w:r>
        <w:t xml:space="preserve"> </w:t>
      </w:r>
      <w:r>
        <w:t xml:space="preserve">showed that simple feature-engineered ML pipelines match Kamlet–Jacobs accuracy across a broad CHNO set, establishing the property-prediction baseline that any generative work must beat. The pre-experimental screening recipe used in Section 2.3, DFT-derived</w:t>
      </w:r>
      <w:r>
        <w:t xml:space="preserve"> </w:t>
      </w:r>
      <m:oMath>
        <m:r>
          <m:t>ρ</m:t>
        </m:r>
      </m:oMath>
      <w:r>
        <w:t xml:space="preserve"> </w:t>
      </w:r>
      <w:r>
        <w:t xml:space="preserve">and HOF, calibrated against a small set of reference explosives, then plugged into the Kamlet–Jacobs equations for</w:t>
      </w:r>
      <w:r>
        <w:t xml:space="preserve"> </w:t>
      </w:r>
      <m:oMath>
        <m:r>
          <m:t>D</m:t>
        </m:r>
      </m:oMath>
      <w:r>
        <w:t xml:space="preserve"> </w:t>
      </w:r>
      <w:r>
        <w:t xml:space="preserve">and</w:t>
      </w:r>
      <w:r>
        <w:t xml:space="preserve"> </w:t>
      </w:r>
      <m:oMath>
        <m:r>
          <m:t>P</m:t>
        </m:r>
      </m:oMath>
      <w:r>
        <w:t xml:space="preserve">, is a standard pattern in computational energetic-materials chemistry, applied across the field in different functional / basis / anchor combinations: Politzer and Murray</w:t>
      </w:r>
      <w:r>
        <w:t xml:space="preserve"> </w:t>
      </w:r>
      <w:hyperlink w:anchor="ref-politzer2014some">
        <w:r>
          <w:rPr>
            <w:rStyle w:val="Hyperlink"/>
          </w:rPr>
          <w:t xml:space="preserve">[36]</w:t>
        </w:r>
      </w:hyperlink>
      <w:r>
        <w:t xml:space="preserve"> </w:t>
      </w:r>
      <w:r>
        <w:t xml:space="preserve">develop the bond-dissociation-energy (BDE)-anchored sensitivity correlations we adopt for the</w:t>
      </w:r>
      <w:r>
        <w:t xml:space="preserve"> </w:t>
      </w:r>
      <m:oMath>
        <m:sSub>
          <m:e>
            <m:r>
              <m:t>h</m:t>
            </m:r>
          </m:e>
          <m:sub>
            <m:r>
              <m:t>50</m:t>
            </m:r>
          </m:sub>
        </m:sSub>
      </m:oMath>
      <w:r>
        <w:t xml:space="preserve"> </w:t>
      </w:r>
      <w:r>
        <w:t xml:space="preserve">head; Mathieu</w:t>
      </w:r>
      <w:r>
        <w:t xml:space="preserve"> </w:t>
      </w:r>
      <w:hyperlink w:anchor="ref-mathieu2017sensitivity">
        <w:r>
          <w:rPr>
            <w:rStyle w:val="Hyperlink"/>
          </w:rPr>
          <w:t xml:space="preserve">[37]</w:t>
        </w:r>
      </w:hyperlink>
      <w:r>
        <w:t xml:space="preserve"> </w:t>
      </w:r>
      <w:r>
        <w:t xml:space="preserve">reviews the systematic-bias bands that motivate anchor-calibration. Specialised codes EXPLO5</w:t>
      </w:r>
      <w:r>
        <w:t xml:space="preserve"> </w:t>
      </w:r>
      <w:hyperlink w:anchor="ref-suceska2018explo5">
        <w:r>
          <w:rPr>
            <w:rStyle w:val="Hyperlink"/>
          </w:rPr>
          <w:t xml:space="preserve">[38]</w:t>
        </w:r>
      </w:hyperlink>
      <w:r>
        <w:t xml:space="preserve"> </w:t>
      </w:r>
      <w:r>
        <w:t xml:space="preserve">and Cheetah</w:t>
      </w:r>
      <w:r>
        <w:t xml:space="preserve"> </w:t>
      </w:r>
      <w:hyperlink w:anchor="ref-fried2014cheetah">
        <w:r>
          <w:rPr>
            <w:rStyle w:val="Hyperlink"/>
          </w:rPr>
          <w:t xml:space="preserve">[39]</w:t>
        </w:r>
      </w:hyperlink>
      <w:r>
        <w:t xml:space="preserve"> </w:t>
      </w:r>
      <w:r>
        <w:t xml:space="preserve">replace the closed-form K-J step with a thermochemical-equilibrium Chapman–Jouguet solver and a covolume equation of state (EOS), and remain the absolute-value-grade reference; we use K-J as the closed-form approximation and acknowledge the absolute-value gap explicitly (Section 2.3). The recent Choi et al. review</w:t>
      </w:r>
      <w:r>
        <w:t xml:space="preserve"> </w:t>
      </w:r>
      <w:hyperlink w:anchor="ref-choi2023prep">
        <w:r>
          <w:rPr>
            <w:rStyle w:val="Hyperlink"/>
          </w:rPr>
          <w:t xml:space="preserve">[40]</w:t>
        </w:r>
      </w:hyperlink>
      <w:r>
        <w:t xml:space="preserve"> </w:t>
      </w:r>
      <w:r>
        <w:t xml:space="preserve">surveys the state of AI approaches for energetic materials by design and codifies the field's challenges and current best practices, and we adopt its taxonomy of property-prediction vs generation pipelines as the literature backdrop. Recent ML approaches to crystal density itself (</w:t>
      </w:r>
      <w:hyperlink w:anchor="ref-mlcrystdens-cm-2024">
        <w:r>
          <w:rPr>
            <w:rStyle w:val="Hyperlink"/>
          </w:rPr>
          <w:t xml:space="preserve">[41]</w:t>
        </w:r>
      </w:hyperlink>
      <w:r>
        <w:t xml:space="preserve">) are complementary to our gas-phase Bondi-vdW</w:t>
      </w:r>
      <w:r>
        <w:t xml:space="preserve"> </w:t>
      </w:r>
      <w:hyperlink w:anchor="ref-bondi1964vdw">
        <w:r>
          <w:rPr>
            <w:rStyle w:val="Hyperlink"/>
          </w:rPr>
          <w:t xml:space="preserve">[42]</w:t>
        </w:r>
      </w:hyperlink>
      <w:r>
        <w:t xml:space="preserve"> </w:t>
      </w:r>
      <w:r>
        <w:t xml:space="preserve">+ 6-anchor-calibration recipe and would substitute cleanly for it once retrained on a polynitro-enriched corpus.</w:t>
      </w:r>
    </w:p>
    <w:p>
      <w:pPr>
        <w:pStyle w:val="MDPI31text"/>
        <w:ind w:left="2608"/>
      </w:pPr>
      <w:r>
        <w:t xml:space="preserve">Sensitivity prediction is the harder discriminative half of the field. Nefati, Cense and Legendre</w:t>
      </w:r>
      <w:r>
        <w:t xml:space="preserve"> </w:t>
      </w:r>
      <w:hyperlink w:anchor="ref-nefati1996ann">
        <w:r>
          <w:rPr>
            <w:rStyle w:val="Hyperlink"/>
          </w:rPr>
          <w:t xml:space="preserve">[43]</w:t>
        </w:r>
      </w:hyperlink>
      <w:r>
        <w:t xml:space="preserve"> </w:t>
      </w:r>
      <w:r>
        <w:t xml:space="preserve">trained an early neural network on impact-sensitivity data; Mathieu</w:t>
      </w:r>
      <w:r>
        <w:t xml:space="preserve"> </w:t>
      </w:r>
      <w:hyperlink w:anchor="ref-mathieu2017sensitivity">
        <w:r>
          <w:rPr>
            <w:rStyle w:val="Hyperlink"/>
          </w:rPr>
          <w:t xml:space="preserve">[37]</w:t>
        </w:r>
      </w:hyperlink>
      <w:r>
        <w:t xml:space="preserve"> </w:t>
      </w:r>
      <w:r>
        <w:t xml:space="preserve">reviewed the theoretical relationships between molecular structure, detonation performance, and sensitivity; Huang and Massa</w:t>
      </w:r>
      <w:r>
        <w:t xml:space="preserve"> </w:t>
      </w:r>
      <w:hyperlink w:anchor="ref-huang2021applying">
        <w:r>
          <w:rPr>
            <w:rStyle w:val="Hyperlink"/>
          </w:rPr>
          <w:t xml:space="preserve">[44]</w:t>
        </w:r>
      </w:hyperlink>
      <w:r>
        <w:t xml:space="preserve"> </w:t>
      </w:r>
      <w:r>
        <w:t xml:space="preserve">applied modern ML to the performance/stability trade-off, showing that h</w:t>
      </w:r>
      <w:r>
        <w:rPr>
          <w:vertAlign w:val="subscript"/>
        </w:rPr>
        <w:t xml:space="preserve">50</w:t>
      </w:r>
      <w:r>
        <w:t xml:space="preserve"> </w:t>
      </w:r>
      <w:r>
        <w:t xml:space="preserve">(the drop-weight height at which 50% of samples detonate on impact, a standard sensitivity measure) is learnable from descriptors and provides the regression target our hazard head approximates. The synthesis-chemistry review of Klapötke</w:t>
      </w:r>
      <w:r>
        <w:t xml:space="preserve"> </w:t>
      </w:r>
      <w:hyperlink w:anchor="ref-klapotke2017nitrogen">
        <w:r>
          <w:rPr>
            <w:rStyle w:val="Hyperlink"/>
          </w:rPr>
          <w:t xml:space="preserve">[45]</w:t>
        </w:r>
      </w:hyperlink>
      <w:r>
        <w:t xml:space="preserve"> </w:t>
      </w:r>
      <w:r>
        <w:t xml:space="preserve">codifies the qualitative fragment priors (nitrogen-rich heterocycles, nitramines, azides) on which our motif-augmented training set is built.</w:t>
      </w:r>
    </w:p>
    <w:p>
      <w:pPr>
        <w:pStyle w:val="MDPI22heading2"/>
        <w:ind w:left="2608"/>
      </w:pPr>
      <w:r>
        <w:t xml:space="preserve">1.1.5 Energetic-materials generative ML and synthesisability</w:t>
      </w:r>
    </w:p>
    <w:p>
      <w:pPr>
        <w:pStyle w:val="MDPI32textnoindent"/>
        <w:ind w:left="2608"/>
      </w:pPr>
      <w:r>
        <w:t xml:space="preserve">Generative work targeting the energetic-materials high-energy tail is comparatively recent and is constrained by the small size of the labelled corpus. The closest spiritual analogue to DGLD is the constrained Bayesian optimisation in a VAE latent of Griffiths and Hernández-Lobato</w:t>
      </w:r>
      <w:r>
        <w:t xml:space="preserve"> </w:t>
      </w:r>
      <w:hyperlink w:anchor="ref-griffiths2020constrained">
        <w:r>
          <w:rPr>
            <w:rStyle w:val="Hyperlink"/>
          </w:rPr>
          <w:t xml:space="preserve">[46]</w:t>
        </w:r>
      </w:hyperlink>
      <w:r>
        <w:t xml:space="preserve">, which navigates a learned molecular prior under chemistry constraints; classifier-free latent diffusion subsumes this recipe in a single end-to-end model whose gradient comes from the score function rather than from a separately-trained acquisition oracle. The performance/stability balancing study of Huang et al.</w:t>
      </w:r>
      <w:r>
        <w:t xml:space="preserve"> </w:t>
      </w:r>
      <w:hyperlink w:anchor="ref-huang2021applying">
        <w:r>
          <w:rPr>
            <w:rStyle w:val="Hyperlink"/>
          </w:rPr>
          <w:t xml:space="preserve">[44]</w:t>
        </w:r>
      </w:hyperlink>
      <w:r>
        <w:t xml:space="preserve">, already cited above for sensitivity prediction, is the property-prediction-side counterpart of the multi-head trade-off DGLD enforces at generation time. The bulk of the prior ML work on energetic materials has been discriminative; the four-tier label hierarchy and tier-stratified conditioning-mask of Section 4 are designed precisely to make property-targeted generation viable in this small-and-noisy-label regime. The most direct contemporary competitor is the property-conditioned RNN of</w:t>
      </w:r>
      <w:r>
        <w:t xml:space="preserve"> </w:t>
      </w:r>
      <w:hyperlink w:anchor="ref-npjcompmat2025">
        <w:r>
          <w:rPr>
            <w:rStyle w:val="Hyperlink"/>
          </w:rPr>
          <w:t xml:space="preserve">[47]</w:t>
        </w:r>
      </w:hyperlink>
      <w:r>
        <w:t xml:space="preserve"> </w:t>
      </w:r>
      <w:r>
        <w:t xml:space="preserve">(npj Computational Materials, in press), which couples an autoregressive SMILES generator to QM validation on energetic targets. The two methods differ on three axes that shape the headline numbers: (i) the prior is autoregressive RNN over SMILES vs latent diffusion over a frozen LIMO encoder, so DGLD trades exact-validity guarantees for property-targeted concentration on the high-tail manifold; (ii) the supervisory signal is property regression on a single tier vs the four-tier trust-gating recipe of Section 4.1, which keeps the ~47k Tier-D rows in the unconditional prior without contaminating the conditional gradient; (iii) the validation funnel is QM-only vs the four-stage SMARTS</w:t>
      </w:r>
      <w:r>
        <w:t xml:space="preserve"> </w:t>
      </w:r>
      <m:oMath>
        <m:r>
          <m:rPr>
            <m:sty m:val="p"/>
          </m:rPr>
          <m:t>→</m:t>
        </m:r>
      </m:oMath>
      <w:r>
        <w:t xml:space="preserve"> </w:t>
      </w:r>
      <w:r>
        <w:t xml:space="preserve">Pareto</w:t>
      </w:r>
      <w:r>
        <w:t xml:space="preserve"> </w:t>
      </w:r>
      <m:oMath>
        <m:r>
          <m:rPr>
            <m:sty m:val="p"/>
          </m:rPr>
          <m:t>→</m:t>
        </m:r>
      </m:oMath>
      <w:r>
        <w:t xml:space="preserve"> </w:t>
      </w:r>
      <w:r>
        <w:t xml:space="preserve">GFN2-xTB</w:t>
      </w:r>
      <w:r>
        <w:t xml:space="preserve"> </w:t>
      </w:r>
      <m:oMath>
        <m:r>
          <m:rPr>
            <m:sty m:val="p"/>
          </m:rPr>
          <m:t>→</m:t>
        </m:r>
      </m:oMath>
      <w:r>
        <w:t xml:space="preserve"> </w:t>
      </w:r>
      <w:r>
        <w:t xml:space="preserve">DFT chain of Section 4.13. Where the two papers agree is on the headline finding that energetic-materials generation requires post-decode physics validation; where they differ is on whether the prior should be tilted toward the high-tail before that validation runs.</w:t>
      </w:r>
    </w:p>
    <w:p>
      <w:pPr>
        <w:pStyle w:val="MDPI22heading2"/>
        <w:ind w:left="2608"/>
      </w:pPr>
      <w:r>
        <w:t xml:space="preserve">1.1.6 General-purpose property predictors</w:t>
      </w:r>
    </w:p>
    <w:p>
      <w:pPr>
        <w:pStyle w:val="MDPI32textnoindent"/>
        <w:ind w:left="2608"/>
      </w:pPr>
      <w:r>
        <w:t xml:space="preserve">Outside the energetic-materials niche, several general-purpose molecular property predictors set the methodological context. Chemprop / D-MPNN</w:t>
      </w:r>
      <w:r>
        <w:t xml:space="preserve"> </w:t>
      </w:r>
      <w:hyperlink w:anchor="ref-yang2019chemprop">
        <w:r>
          <w:rPr>
            <w:rStyle w:val="Hyperlink"/>
          </w:rPr>
          <w:t xml:space="preserve">[48]</w:t>
        </w:r>
      </w:hyperlink>
      <w:r>
        <w:t xml:space="preserve"> </w:t>
      </w:r>
      <w:r>
        <w:t xml:space="preserve">remains a strong message-passing-graph default; SchNet</w:t>
      </w:r>
      <w:r>
        <w:t xml:space="preserve"> </w:t>
      </w:r>
      <w:hyperlink w:anchor="ref-schutt2018schnet">
        <w:r>
          <w:rPr>
            <w:rStyle w:val="Hyperlink"/>
          </w:rPr>
          <w:t xml:space="preserve">[49]</w:t>
        </w:r>
      </w:hyperlink>
      <w:r>
        <w:t xml:space="preserve"> </w:t>
      </w:r>
      <w:r>
        <w:t xml:space="preserve">introduced continuous-filter convolutions for atomistic systems and achieves DFT-level accuracy on energy and force predictions; OrbNet</w:t>
      </w:r>
      <w:r>
        <w:t xml:space="preserve"> </w:t>
      </w:r>
      <w:hyperlink w:anchor="ref-qiao2020orbnet">
        <w:r>
          <w:rPr>
            <w:rStyle w:val="Hyperlink"/>
          </w:rPr>
          <w:t xml:space="preserve">[50]</w:t>
        </w:r>
      </w:hyperlink>
      <w:r>
        <w:t xml:space="preserve"> </w:t>
      </w:r>
      <w:r>
        <w:t xml:space="preserve">uses symmetry-adapted atomic-orbital features to predict quantum-chemical observables at semi-empirical cost. We do not use these networks directly: the smoke-model Uni-Mol ensemble is trained against detonation outputs and is in-distribution for the energetic-materials task, while these graph and quantum-aware models would have to be re-fit to detonation labels before they could substitute for it. They define the broader prediction-quality envelope against which the smoke-model ensemble's accuracy on CHNO chemistry should be read.</w:t>
      </w:r>
    </w:p>
    <w:p>
      <w:pPr>
        <w:pStyle w:val="MDPI22heading2"/>
        <w:ind w:left="2608"/>
      </w:pPr>
      <w:r>
        <w:t xml:space="preserve">1.1.7 Distribution-learning benchmarks and synthesisability metrics</w:t>
      </w:r>
    </w:p>
    <w:p>
      <w:pPr>
        <w:pStyle w:val="MDPI32textnoindent"/>
        <w:ind w:left="2608"/>
      </w:pPr>
      <w:r>
        <w:t xml:space="preserve">The MOSES</w:t>
      </w:r>
      <w:r>
        <w:t xml:space="preserve"> </w:t>
      </w:r>
      <w:hyperlink w:anchor="ref-polykovskiy2020moses">
        <w:r>
          <w:rPr>
            <w:rStyle w:val="Hyperlink"/>
          </w:rPr>
          <w:t xml:space="preserve">[51]</w:t>
        </w:r>
      </w:hyperlink>
      <w:r>
        <w:t xml:space="preserve"> </w:t>
      </w:r>
      <w:r>
        <w:t xml:space="preserve">and GuacaMol</w:t>
      </w:r>
      <w:r>
        <w:t xml:space="preserve"> </w:t>
      </w:r>
      <w:hyperlink w:anchor="ref-brown2019guacamol">
        <w:r>
          <w:rPr>
            <w:rStyle w:val="Hyperlink"/>
          </w:rPr>
          <w:t xml:space="preserve">[52]</w:t>
        </w:r>
      </w:hyperlink>
      <w:r>
        <w:t xml:space="preserve"> </w:t>
      </w:r>
      <w:r>
        <w:t xml:space="preserve">benchmarks have standardised the evaluation of molecular generators on validity, novelty, uniqueness, and similarity-to-training metrics. The Fréchet ChemNet Distance</w:t>
      </w:r>
      <w:r>
        <w:t xml:space="preserve"> </w:t>
      </w:r>
      <w:hyperlink w:anchor="ref-preuer2018fcd">
        <w:r>
          <w:rPr>
            <w:rStyle w:val="Hyperlink"/>
          </w:rPr>
          <w:t xml:space="preserve">[53]</w:t>
        </w:r>
      </w:hyperlink>
      <w:r>
        <w:t xml:space="preserve"> </w:t>
      </w:r>
      <w:r>
        <w:t xml:space="preserve">reports distributional similarity between generated and reference sets in a learned chemical-feature space and provides a pretrained-feature analogue of FID for chemistry. The chemical-space project of Reymond</w:t>
      </w:r>
      <w:r>
        <w:t xml:space="preserve"> </w:t>
      </w:r>
      <w:hyperlink w:anchor="ref-reymond2015gdb">
        <w:r>
          <w:rPr>
            <w:rStyle w:val="Hyperlink"/>
          </w:rPr>
          <w:t xml:space="preserve">[54]</w:t>
        </w:r>
      </w:hyperlink>
      <w:r>
        <w:t xml:space="preserve">, with its enumerated GDB-13 and GDB-17 reference sets, bounds how much of small-molecule space remains untouched by generative models and contextualises any novelty claim. We adopt MOSES-style metrics in Supplementary Section D.11 and treat FCD as a chemistry-class-transfer signal rather than a within-domain quality metric, since the ChemNet feature extractor is trained on drug-like ZINC</w:t>
      </w:r>
      <w:r>
        <w:t xml:space="preserve"> </w:t>
      </w:r>
      <w:hyperlink w:anchor="ref-sterling2015zinc">
        <w:r>
          <w:rPr>
            <w:rStyle w:val="Hyperlink"/>
          </w:rPr>
          <w:t xml:space="preserve">[55]</w:t>
        </w:r>
      </w:hyperlink>
      <w:r>
        <w:t xml:space="preserve">+PubChem chemistry.</w:t>
      </w:r>
    </w:p>
    <w:p>
      <w:pPr>
        <w:pStyle w:val="MDPI31text"/>
        <w:ind w:left="2608"/>
      </w:pPr>
      <w:r>
        <w:t xml:space="preserve">Synthesisability is a separate concern. The SA score of Ertl and Schuffenhauer</w:t>
      </w:r>
      <w:r>
        <w:t xml:space="preserve"> </w:t>
      </w:r>
      <w:hyperlink w:anchor="ref-ertl2009sa">
        <w:r>
          <w:rPr>
            <w:rStyle w:val="Hyperlink"/>
          </w:rPr>
          <w:t xml:space="preserve">[56]</w:t>
        </w:r>
      </w:hyperlink>
      <w:r>
        <w:t xml:space="preserve"> </w:t>
      </w:r>
      <w:r>
        <w:t xml:space="preserve">penalises uncommon ring fusions and rare fragments and is a fast, well-calibrated bound on accessibility; the SCScore of Coley et al.</w:t>
      </w:r>
      <w:r>
        <w:t xml:space="preserve"> </w:t>
      </w:r>
      <w:hyperlink w:anchor="ref-coley2018scscore">
        <w:r>
          <w:rPr>
            <w:rStyle w:val="Hyperlink"/>
          </w:rPr>
          <w:t xml:space="preserve">[57]</w:t>
        </w:r>
      </w:hyperlink>
      <w:r>
        <w:t xml:space="preserve"> </w:t>
      </w:r>
      <w:r>
        <w:t xml:space="preserve">learns a complexity proxy from a reaction corpus and complements SA by rewarding fragments that appear as reaction products. We apply both as hard caps in the rerank pipeline. Tanimoto similarity</w:t>
      </w:r>
      <w:r>
        <w:t xml:space="preserve"> </w:t>
      </w:r>
      <w:hyperlink w:anchor="ref-rogers1960computer">
        <w:r>
          <w:rPr>
            <w:rStyle w:val="Hyperlink"/>
          </w:rPr>
          <w:t xml:space="preserve">[58]</w:t>
        </w:r>
      </w:hyperlink>
      <w:r>
        <w:t xml:space="preserve"> </w:t>
      </w:r>
      <w:r>
        <w:t xml:space="preserve">on Morgan fingerprints provides a simple, well-understood novelty bound against the training set; we use a window</w:t>
      </w:r>
      <w:r>
        <w:t xml:space="preserve"> </w:t>
      </w:r>
      <w:r>
        <w:rPr>
          <w:i/>
          <w:iCs/>
        </w:rPr>
        <w:t xml:space="preserve">(0.20, 0.55)</w:t>
      </w:r>
      <w:r>
        <w:t xml:space="preserve"> </w:t>
      </w:r>
      <w:r>
        <w:t xml:space="preserve">to keep candidates close enough to known chemistry to be plausible but far enough to count as new.</w:t>
      </w:r>
    </w:p>
    <w:p>
      <w:pPr>
        <w:pStyle w:val="MDPI22heading2"/>
        <w:ind w:left="2608"/>
      </w:pPr>
      <w:r>
        <w:t xml:space="preserve">1.1.8 Validation tooling</w:t>
      </w:r>
    </w:p>
    <w:p>
      <w:pPr>
        <w:pStyle w:val="MDPI32textnoindent"/>
        <w:ind w:left="2608"/>
      </w:pPr>
      <w:r>
        <w:t xml:space="preserve">The validation half of the DGLD pipeline relies on three external tools that are not part of the generative-modelling literature. GFN2-xTB</w:t>
      </w:r>
      <w:r>
        <w:t xml:space="preserve"> </w:t>
      </w:r>
      <w:hyperlink w:anchor="ref-bannwarth2019gfn2">
        <w:r>
          <w:rPr>
            <w:rStyle w:val="Hyperlink"/>
          </w:rPr>
          <w:t xml:space="preserve">[59]</w:t>
        </w:r>
      </w:hyperlink>
      <w:r>
        <w:t xml:space="preserve"> </w:t>
      </w:r>
      <w:r>
        <w:t xml:space="preserve">is the semi-empirical tight-binding method we use for sample-time HOMO–LUMO gap triage on top leads (Section 2.3, Supplementary Section C.12); it runs in seconds per molecule on CPU, is well-calibrated for organic CHNO, and provides a stability proxy that is independent of the Uni-Mol surrogate's training distribution. The gpu4pyscf bindings on top of the PySCF framework</w:t>
      </w:r>
      <w:r>
        <w:t xml:space="preserve"> </w:t>
      </w:r>
      <w:hyperlink w:anchor="ref-sun2020pyscf">
        <w:r>
          <w:rPr>
            <w:rStyle w:val="Hyperlink"/>
          </w:rPr>
          <w:t xml:space="preserve">[60]</w:t>
        </w:r>
      </w:hyperlink>
      <w:r>
        <w:t xml:space="preserve"> </w:t>
      </w:r>
      <w:r>
        <w:t xml:space="preserve">supply our DFT pipeline (Section 2.3, Supplementary Section C). GPU offloading reduces a single B3LYP/6-31G(d) opt + Hessian for a 15–25-atom CHNO molecule from hours on CPU to under one hour on a single A100, which is what makes per-lead first-principles validation budget-feasible. AiZynthFinder</w:t>
      </w:r>
      <w:r>
        <w:t xml:space="preserve"> </w:t>
      </w:r>
      <w:hyperlink w:anchor="ref-genheden2020aizynth">
        <w:r>
          <w:rPr>
            <w:rStyle w:val="Hyperlink"/>
          </w:rPr>
          <w:t xml:space="preserve">[61]</w:t>
        </w:r>
      </w:hyperlink>
      <w:r>
        <w:t xml:space="preserve"> </w:t>
      </w:r>
      <w:r>
        <w:t xml:space="preserve">performs the retrosynthetic plausibility check of Section 2.4 via Monte-Carlo tree search over a USPTO template set against a ZINC in-stock catalog; we treat it as a positive-only check, since an empty result reflects template-database scope rather than unsynthesisability. The accuracy expected of any DFT functional we use is calibrated by the GMTKN55 benchmark suite of Goerigk et al.</w:t>
      </w:r>
      <w:r>
        <w:t xml:space="preserve"> </w:t>
      </w:r>
      <w:hyperlink w:anchor="ref-goerigk2017benchmark">
        <w:r>
          <w:rPr>
            <w:rStyle w:val="Hyperlink"/>
          </w:rPr>
          <w:t xml:space="preserve">[62]</w:t>
        </w:r>
      </w:hyperlink>
      <w:r>
        <w:t xml:space="preserve">, which evaluates the density-functional zoo over a broad cross-section of main-group thermochemistry, kinetics and noncovalent interactions and grounds our choice of functional and basis.</w:t>
      </w:r>
    </w:p>
    <w:p>
      <w:pPr>
        <w:pStyle w:val="MDPI21heading1"/>
        <w:ind w:left="2608"/>
      </w:pPr>
      <w:r>
        <w:t xml:space="preserve">2. Results</w:t>
      </w:r>
    </w:p>
    <w:p>
      <w:pPr>
        <w:pStyle w:val="MDPI22heading2"/>
        <w:ind w:left="2608"/>
      </w:pPr>
      <w:r>
        <w:t xml:space="preserve">2.1 Roadmap and headline targets</w:t>
      </w:r>
    </w:p>
    <w:p>
      <w:pPr>
        <w:pStyle w:val="MDPI32textnoindent"/>
        <w:ind w:left="2608"/>
      </w:pPr>
      <w:r>
        <w:t xml:space="preserve">Section 2 is structured results-first: Section 2.2 reports the gated Pareto reranker top leads (Stages 1+2 of the validation chain); Section 2.3 reports physics validation (xTB triage and DFT confirmation, Stages 3+4); Section 2.4 combines novelty, retrosynthesis, and the E-set scaffold-diversity audit; Section 2.5 contrasts DGLD against no-diffusion baselines; Section 2.6 is the ablation summary. The four headline targets are</w:t>
      </w:r>
      <w:r>
        <w:t xml:space="preserve"> </w:t>
      </w:r>
      <m:oMath>
        <m:r>
          <m:t>ρ</m:t>
        </m:r>
        <m:r>
          <m:rPr>
            <m:sty m:val="p"/>
          </m:rPr>
          <m:t>≥</m:t>
        </m:r>
        <m:r>
          <m:t>1.85</m:t>
        </m:r>
      </m:oMath>
      <w:r>
        <w:t xml:space="preserve"> g cm</w:t>
      </w:r>
      <w:r>
        <w:rPr>
          <w:vertAlign w:val="superscript"/>
        </w:rPr>
        <w:t xml:space="preserve">−3</w:t>
      </w:r>
      <w:r>
        <w:t xml:space="preserve">,</w:t>
      </w:r>
      <w:r>
        <w:t xml:space="preserve"> </w:t>
      </w:r>
      <m:oMath>
        <m:r>
          <m:t>D</m:t>
        </m:r>
        <m:r>
          <m:rPr>
            <m:sty m:val="p"/>
          </m:rPr>
          <m:t>≥</m:t>
        </m:r>
        <m:r>
          <m:t>9.0</m:t>
        </m:r>
      </m:oMath>
      <w:r>
        <w:t xml:space="preserve"> km s</w:t>
      </w:r>
      <w:r>
        <w:rPr>
          <w:vertAlign w:val="superscript"/>
        </w:rPr>
        <w:t xml:space="preserve">−1</w:t>
      </w:r>
      <w:r>
        <w:t xml:space="preserve">,</w:t>
      </w:r>
      <w:r>
        <w:t xml:space="preserve"> </w:t>
      </w:r>
      <m:oMath>
        <m:r>
          <m:t>P</m:t>
        </m:r>
        <m:r>
          <m:rPr>
            <m:sty m:val="p"/>
          </m:rPr>
          <m:t>≥</m:t>
        </m:r>
        <m:r>
          <m:t>35</m:t>
        </m:r>
      </m:oMath>
      <w:r>
        <w:t xml:space="preserve"> GPa and Tanimoto novelty</w:t>
      </w:r>
      <w:r>
        <w:t xml:space="preserve"> </w:t>
      </w:r>
      <m:oMath>
        <m:r>
          <m:rPr>
            <m:sty m:val="p"/>
          </m:rPr>
          <m:t>≤</m:t>
        </m:r>
        <m:r>
          <m:t>0.55</m:t>
        </m:r>
      </m:oMath>
      <w:r>
        <w:t xml:space="preserve"> </w:t>
      </w:r>
      <w:r>
        <w:t xml:space="preserve">against every training row, validated through the four-stage chain SMARTS</w:t>
      </w:r>
      <w:r>
        <w:t xml:space="preserve"> </w:t>
      </w:r>
      <m:oMath>
        <m:r>
          <m:rPr>
            <m:sty m:val="p"/>
          </m:rPr>
          <m:t>→</m:t>
        </m:r>
      </m:oMath>
      <w:r>
        <w:t xml:space="preserve"> </w:t>
      </w:r>
      <w:r>
        <w:t xml:space="preserve">Pareto</w:t>
      </w:r>
      <w:r>
        <w:t xml:space="preserve"> </w:t>
      </w:r>
      <m:oMath>
        <m:r>
          <m:rPr>
            <m:sty m:val="p"/>
          </m:rPr>
          <m:t>→</m:t>
        </m:r>
      </m:oMath>
      <w:r>
        <w:t xml:space="preserve"> </w:t>
      </w:r>
      <w:r>
        <w:t xml:space="preserve">xTB</w:t>
      </w:r>
      <w:r>
        <w:t xml:space="preserve"> </w:t>
      </w:r>
      <m:oMath>
        <m:r>
          <m:rPr>
            <m:sty m:val="p"/>
          </m:rPr>
          <m:t>→</m:t>
        </m:r>
      </m:oMath>
      <w:r>
        <w:t xml:space="preserve"> </w:t>
      </w:r>
      <w:r>
        <w:t xml:space="preserve">DFT documented in Section 4.13 (Figure 21). Hyperparameters and the production configuration (CFG=7, pool</w:t>
      </w:r>
      <w:r>
        <w:t xml:space="preserve"> </w:t>
      </w:r>
      <m:oMath>
        <m:r>
          <m:rPr>
            <m:sty m:val="p"/>
          </m:rPr>
          <m:t>≥</m:t>
        </m:r>
      </m:oMath>
      <w:r>
        <w:t xml:space="preserve"> </w:t>
      </w:r>
      <w:r>
        <w:t xml:space="preserve">40k per denoiser, alpha-anneal disabled) are documented in Section 4.15 and Supplementary Section B.5 (Table S5) and are not re-derived here.</w:t>
      </w:r>
    </w:p>
    <w:p>
      <w:pPr>
        <w:pStyle w:val="MDPI22heading2"/>
        <w:ind w:left="2608"/>
      </w:pPr>
      <w:r>
        <w:t xml:space="preserve">2.2 Top leads from the gated Pareto reranker (Stages 1+2)</w:t>
      </w:r>
    </w:p>
    <w:p>
      <w:pPr>
        <w:pStyle w:val="MDPI32textnoindent"/>
        <w:ind w:left="2608"/>
      </w:pPr>
      <w:r>
        <w:t xml:space="preserve">Applying Section 4.13 gated multi-objective reranker (hard filters, banded performance score, viability, novelty, sensitivity, alerts) to the pool=40 000 candidate set: of the top-400 single-objective candidates, 45 are rejected by the hard filters (poly-nitro-on-C2, MW &lt; 130, OB &gt; +25 %); the 355 survivors define a Pareto front of 34 candidates (Figure 4). The eleven chem-pass leads are shown in Figure 3.</w:t>
      </w:r>
      <w:r>
        <w:t xml:space="preserve"> </w:t>
      </w:r>
      <w:r>
        <w:rPr>
          <w:b/>
          <w:bCs/>
        </w:rPr>
        <w:t xml:space="preserve">89/100 of the merged top-100 originate from the smallest unguided pool reranked by the Pareto scaffold composite</w:t>
      </w:r>
      <w:r>
        <w:t xml:space="preserve"> </w:t>
      </w:r>
      <w:r>
        <w:t xml:space="preserve">(the rank-1 trinitro-isoxazole itself comes from a guided run); guidance acts as a high-precision lever on the top of the funnel, not as the source of bulk Pareto coverage (source-pool breakdown in Supplementary Section D.10).</w:t>
      </w:r>
    </w:p>
    <w:p xmlns:a="http://schemas.openxmlformats.org/drawingml/2006/main" xmlns:pic="http://schemas.openxmlformats.org/drawingml/2006/picture">
      <w:pPr>
        <w:pStyle w:val="MDPI52figure"/>
        <w:ind w:left="2608"/>
        <w:jc w:val="center"/>
      </w:pPr>
      <w:r>
        <w:drawing>
          <wp:inline>
            <wp:extent cx="4989830" cy="4250711"/>
            <wp:effectExtent b="0" l="0" r="0" t="0"/>
            <wp:docPr descr="Eleven DGLD lead cards in a grid" title="" id="28" name="Picture"/>
            <a:graphic>
              <a:graphicData uri="http://schemas.openxmlformats.org/drawingml/2006/picture">
                <pic:pic>
                  <pic:nvPicPr>
                    <pic:cNvPr descr="../figs/fig_lead_cards_grid.png" id="29" name="Picture"/>
                    <pic:cNvPicPr>
                      <a:picLocks noChangeArrowheads="1" noChangeAspect="1"/>
                    </pic:cNvPicPr>
                  </pic:nvPicPr>
                  <pic:blipFill>
                    <a:blip r:embed="rId20"/>
                    <a:stretch>
                      <a:fillRect/>
                    </a:stretch>
                  </pic:blipFill>
                  <pic:spPr bwMode="auto">
                    <a:xfrm>
                      <a:off x="0" y="0"/>
                      <a:ext cx="4989830" cy="4250711"/>
                    </a:xfrm>
                    <a:prstGeom prst="rect">
                      <a:avLst/>
                    </a:prstGeom>
                    <a:noFill/>
                    <a:ln w="9525">
                      <a:noFill/>
                      <a:headEnd/>
                      <a:tailEnd/>
                    </a:ln>
                  </pic:spPr>
                </pic:pic>
              </a:graphicData>
            </a:graphic>
          </wp:inline>
        </w:drawing>
      </w:r>
    </w:p>
    <w:p>
      <w:pPr>
        <w:pStyle w:val="MDPI51figurecaption"/>
        <w:ind w:left="2608"/>
      </w:pPr>
      <w:r>
        <w:rPr>
          <w:b/>
          <w:bCs/>
        </w:rPr>
        <w:t xml:space="preserve">Figure 3.</w:t>
      </w:r>
      <w:r>
        <w:t xml:space="preserve"> </w:t>
      </w:r>
      <w:r>
        <w:t xml:space="preserve">Eleven chem-pass DGLD leads (L1, L3, L4, L5, L9, L11, L13, L16, L18, L19, L20). Each card shows the RDKit 2D depiction, chemotype label, molecular formula, and 6-anchor-calibrated DFT/Kamlet–Jacobs values (</w:t>
      </w:r>
      <m:oMath>
        <m:r>
          <m:t>ρ</m:t>
        </m:r>
      </m:oMath>
      <w:r>
        <w:t xml:space="preserve">,</w:t>
      </w:r>
      <w:r>
        <w:t xml:space="preserve"> </w:t>
      </w:r>
      <m:oMath>
        <m:r>
          <m:t>D</m:t>
        </m:r>
      </m:oMath>
      <w:r>
        <w:t xml:space="preserve">,</w:t>
      </w:r>
      <w:r>
        <w:t xml:space="preserve"> </w:t>
      </w:r>
      <m:oMath>
        <m:r>
          <m:t>P</m:t>
        </m:r>
      </m:oMath>
      <w:r>
        <w:t xml:space="preserve">, HOF). The status bar reports the four validation gates: SMARTS pass, Pareto rank (“Pareto –” for L20, added from the pool=80k extension set and not assigned a top-100 rank), xTB HOMO–LUMO status, and DFT. Border and fill colour encode electronic stability: blue = xTB gap</w:t>
      </w:r>
      <w:r>
        <w:t xml:space="preserve"> </w:t>
      </w:r>
      <m:oMath>
        <m:r>
          <m:rPr>
            <m:sty m:val="p"/>
          </m:rPr>
          <m:t>≥</m:t>
        </m:r>
        <m:r>
          <m:t>1.5</m:t>
        </m:r>
      </m:oMath>
      <w:r>
        <w:t xml:space="preserve"> eV (pass); orange = gap</w:t>
      </w:r>
      <w:r>
        <w:t xml:space="preserve"> </w:t>
      </w:r>
      <m:oMath>
        <m:r>
          <m:rPr>
            <m:sty m:val="p"/>
          </m:rPr>
          <m:t>&lt;</m:t>
        </m:r>
        <m:r>
          <m:t>1.5</m:t>
        </m:r>
      </m:oMath>
      <w:r>
        <w:t xml:space="preserve"> eV (fail, L3/L16). The bottom-right marker is a filled circle (DFT-converged minimum) or a triangle (xTB-gap fail, L3/L16); the top-right asterisk marks a DFT-confirmed real minimum (any “graph altered” label in the status bar is a zwitterionic-nitro canonical-SMILES round-trip artefact, not a real change).</w:t>
      </w:r>
    </w:p>
    <w:p>
      <w:pPr>
        <w:pStyle w:val="MDPI31text"/>
        <w:ind w:left="2608"/>
      </w:pPr>
      <w:r>
        <w:t xml:space="preserve">The top leads (Figure 3, L1 and L3–L5) have viability 0.83–1.00, MW between 163 and 218 Da, and oxygen balance within ±15 %. Lead L1 is the aromatic trinitro-1,2-isoxazole, predicted at</w:t>
      </w:r>
      <w:r>
        <w:t xml:space="preserve"> </w:t>
      </w:r>
      <m:oMath>
        <m:r>
          <m:t>ρ</m:t>
        </m:r>
        <m:r>
          <m:rPr>
            <m:sty m:val="p"/>
          </m:rPr>
          <m:t>=</m:t>
        </m:r>
        <m:r>
          <m:t>2.00</m:t>
        </m:r>
      </m:oMath>
      <w:r>
        <w:t xml:space="preserve"> </w:t>
      </w:r>
      <w:r>
        <w:t xml:space="preserve">g cm</w:t>
      </w:r>
      <w:r>
        <w:rPr>
          <w:vertAlign w:val="superscript"/>
        </w:rPr>
        <w:t xml:space="preserve">−3</w:t>
      </w:r>
      <w:r>
        <w:t xml:space="preserve">,</w:t>
      </w:r>
      <w:r>
        <w:t xml:space="preserve"> </w:t>
      </w:r>
      <m:oMath>
        <m:r>
          <m:t>D</m:t>
        </m:r>
        <m:r>
          <m:rPr>
            <m:sty m:val="p"/>
          </m:rPr>
          <m:t>=</m:t>
        </m:r>
        <m:r>
          <m:t>9.56</m:t>
        </m:r>
      </m:oMath>
      <w:r>
        <w:t xml:space="preserve"> </w:t>
      </w:r>
      <w:r>
        <w:t xml:space="preserve">km s</w:t>
      </w:r>
      <w:r>
        <w:rPr>
          <w:vertAlign w:val="superscript"/>
        </w:rPr>
        <w:t xml:space="preserve">−1</w:t>
      </w:r>
      <w:r>
        <w:t xml:space="preserve">,</w:t>
      </w:r>
      <w:r>
        <w:t xml:space="preserve"> </w:t>
      </w:r>
      <m:oMath>
        <m:r>
          <m:t>P</m:t>
        </m:r>
        <m:r>
          <m:rPr>
            <m:sty m:val="p"/>
          </m:rPr>
          <m:t>=</m:t>
        </m:r>
        <m:r>
          <m:t>40.5</m:t>
        </m:r>
      </m:oMath>
      <w:r>
        <w:t xml:space="preserve"> </w:t>
      </w:r>
      <w:r>
        <w:t xml:space="preserve">GPa on the Uni-Mol surrogate; its 6-anchor-calibrated Kamlet–Jacobs</w:t>
      </w:r>
      <w:r>
        <w:t xml:space="preserve"> </w:t>
      </w:r>
      <m:oMath>
        <m:r>
          <m:t>D</m:t>
        </m:r>
        <m:r>
          <m:rPr>
            <m:sty m:val="p"/>
          </m:rPr>
          <m:t>=</m:t>
        </m:r>
        <m:r>
          <m:t>8.25</m:t>
        </m:r>
      </m:oMath>
      <w:r>
        <w:t xml:space="preserve"> </w:t>
      </w:r>
      <w:r>
        <w:t xml:space="preserve">km s</w:t>
      </w:r>
      <w:r>
        <w:rPr>
          <w:vertAlign w:val="superscript"/>
        </w:rPr>
        <w:t xml:space="preserve">−1</w:t>
      </w:r>
      <w:r>
        <w:t xml:space="preserve"> </w:t>
      </w:r>
      <w:r>
        <w:t xml:space="preserve">ranks with the calibrated HMX (7.52 km s</w:t>
      </w:r>
      <w:r>
        <w:rPr>
          <w:vertAlign w:val="superscript"/>
        </w:rPr>
        <w:t xml:space="preserve">−1</w:t>
      </w:r>
      <w:r>
        <w:t xml:space="preserve">) and PETN (8.24 km s</w:t>
      </w:r>
      <w:r>
        <w:rPr>
          <w:vertAlign w:val="superscript"/>
        </w:rPr>
        <w:t xml:space="preserve">−1</w:t>
      </w:r>
      <w:r>
        <w:t xml:space="preserve">) anchors (Section 2.3). The Pareto front contains 34 candidates with composite</w:t>
      </w:r>
      <w:r>
        <w:t xml:space="preserve"> </w:t>
      </w:r>
      <m:oMath>
        <m:r>
          <m:rPr>
            <m:sty m:val="p"/>
          </m:rPr>
          <m:t>≥</m:t>
        </m:r>
      </m:oMath>
      <w:r>
        <w:t xml:space="preserve"> </w:t>
      </w:r>
      <w:r>
        <w:t xml:space="preserve">0.50 and viability</w:t>
      </w:r>
      <w:r>
        <w:t xml:space="preserve"> </w:t>
      </w:r>
      <m:oMath>
        <m:r>
          <m:rPr>
            <m:sty m:val="p"/>
          </m:rPr>
          <m:t>≥</m:t>
        </m:r>
      </m:oMath>
      <w:r>
        <w:t xml:space="preserve"> </w:t>
      </w:r>
      <w:r>
        <w:t xml:space="preserve">0.83 (Figure 4); the top-200 survivors populate the high-detonation corner of the</w:t>
      </w:r>
      <w:r>
        <w:t xml:space="preserve"> </w:t>
      </w:r>
      <m:oMath>
        <m:r>
          <m:rPr>
            <m:sty m:val="p"/>
          </m:rPr>
          <m:t>(</m:t>
        </m:r>
        <m:r>
          <m:t>D</m:t>
        </m:r>
        <m:r>
          <m:rPr>
            <m:sty m:val="p"/>
          </m:rPr>
          <m:t>,</m:t>
        </m:r>
        <m:r>
          <m:t>P</m:t>
        </m:r>
        <m:r>
          <m:rPr>
            <m:sty m:val="p"/>
          </m:rPr>
          <m:t>)</m:t>
        </m:r>
      </m:oMath>
      <w:r>
        <w:t xml:space="preserve"> </w:t>
      </w:r>
      <w:r>
        <w:t xml:space="preserve">plane (Figure 2). Unguided single-objective ranking (without the gating layer) puts a polynitro-on-C2 gaming molecule (a surrogate-gaming false positive: high predicted score, physically implausible) at the top; the gates correctly reject it (full SMARTS-trace and rejected-candidate property tabulation in Supplementary Section D.7).</w:t>
      </w:r>
    </w:p>
    <w:p xmlns:a="http://schemas.openxmlformats.org/drawingml/2006/main" xmlns:pic="http://schemas.openxmlformats.org/drawingml/2006/picture">
      <w:pPr>
        <w:pStyle w:val="MDPI52figure"/>
        <w:ind w:left="2608"/>
        <w:jc w:val="center"/>
      </w:pPr>
      <w:r>
        <w:drawing>
          <wp:inline>
            <wp:extent cx="4989830" cy="3348568"/>
            <wp:effectExtent b="0" l="0" r="0" t="0"/>
            <wp:docPr descr="Pareto front of the gated reranker" title="" id="32" name="Picture"/>
            <a:graphic>
              <a:graphicData uri="http://schemas.openxmlformats.org/drawingml/2006/picture">
                <pic:pic>
                  <pic:nvPicPr>
                    <pic:cNvPr descr="../figs/fig6_pareto_v2.png" id="33" name="Picture"/>
                    <pic:cNvPicPr>
                      <a:picLocks noChangeArrowheads="1" noChangeAspect="1"/>
                    </pic:cNvPicPr>
                  </pic:nvPicPr>
                  <pic:blipFill>
                    <a:blip r:embed="rId21"/>
                    <a:stretch>
                      <a:fillRect/>
                    </a:stretch>
                  </pic:blipFill>
                  <pic:spPr bwMode="auto">
                    <a:xfrm>
                      <a:off x="0" y="0"/>
                      <a:ext cx="4989830" cy="3348568"/>
                    </a:xfrm>
                    <a:prstGeom prst="rect">
                      <a:avLst/>
                    </a:prstGeom>
                    <a:noFill/>
                    <a:ln w="9525">
                      <a:noFill/>
                      <a:headEnd/>
                      <a:tailEnd/>
                    </a:ln>
                  </pic:spPr>
                </pic:pic>
              </a:graphicData>
            </a:graphic>
          </wp:inline>
        </w:drawing>
      </w:r>
    </w:p>
    <w:p>
      <w:pPr>
        <w:pStyle w:val="MDPI51figurecaption"/>
        <w:ind w:left="2608"/>
      </w:pPr>
      <w:r>
        <w:rPr>
          <w:b/>
          <w:bCs/>
        </w:rPr>
        <w:t xml:space="preserve">Figure 4.</w:t>
      </w:r>
      <w:r>
        <w:t xml:space="preserve"> </w:t>
      </w:r>
      <w:r>
        <w:t xml:space="preserve">Filtered candidates (post hard-gate): saturating-performance score (x) vs. viability classifier output (y), coloured by sensitivity proxy. Stars mark the Pareto front.</w:t>
      </w:r>
    </w:p>
    <w:p>
      <w:pPr>
        <w:pStyle w:val="MDPI22heading2"/>
        <w:ind w:left="2608"/>
      </w:pPr>
      <w:r>
        <w:t xml:space="preserve">2.3 Physics validation and DFT confirmation (Stages 3+4)</w:t>
      </w:r>
    </w:p>
    <w:p>
      <w:pPr>
        <w:pStyle w:val="MDPI32textnoindent"/>
        <w:ind w:left="2608"/>
      </w:pPr>
      <w:r>
        <w:rPr>
          <w:b/>
          <w:bCs/>
        </w:rPr>
        <w:t xml:space="preserve">Stage 3 (xTB triage).</w:t>
      </w:r>
      <w:r>
        <w:t xml:space="preserve"> </w:t>
      </w:r>
      <w:r>
        <w:t xml:space="preserve">The merged top-100 from Stages 1+2 is the input to Stage 3 GFN2-xTB triage at the 1.5 eV HOMO–LUMO gap gate:</w:t>
      </w:r>
      <w:r>
        <w:t xml:space="preserve"> </w:t>
      </w:r>
      <w:r>
        <w:rPr>
          <w:b/>
          <w:bCs/>
        </w:rPr>
        <w:t xml:space="preserve">85/100 survive</w:t>
      </w:r>
      <w:r>
        <w:t xml:space="preserve">, and 6/8 of the smaller production gated top-8 also survive. The xTB triage agrees with the Section 3 chemistry-expert critique: open-chain and strained spiro candidates fall out as low-gap, while the aromatic isoxazole and small saturated heterocycles survive cleanly. The full xTB recipe (RDKit ETKDGv3 + MMFF94 + xTB</w:t>
      </w:r>
      <w:r>
        <w:t xml:space="preserve"> </w:t>
      </w:r>
      <w:r>
        <w:rPr>
          <w:rStyle w:val="VerbatimChar"/>
        </w:rPr>
        <w:t xml:space="preserve">--opt tight</w:t>
      </w:r>
      <w:r>
        <w:t xml:space="preserve">) is in Supplementary Section C.12.</w:t>
      </w:r>
      <w:r>
        <w:t xml:space="preserve"> </w:t>
      </w:r>
      <w:r>
        <w:rPr>
          <w:b/>
          <w:bCs/>
        </w:rPr>
        <w:t xml:space="preserve">Pool-size dependence:</w:t>
      </w:r>
      <w:r>
        <w:t xml:space="preserve"> </w:t>
      </w:r>
      <w:r>
        <w:t xml:space="preserve">repeating the xTB triage on the gated top-15 of an unguided pool=80 000 run,</w:t>
      </w:r>
      <w:r>
        <w:t xml:space="preserve"> </w:t>
      </w:r>
      <w:r>
        <w:rPr>
          <w:b/>
          <w:bCs/>
        </w:rPr>
        <w:t xml:space="preserve">13/15 survive</w:t>
      </w:r>
      <w:r>
        <w:t xml:space="preserve"> </w:t>
      </w:r>
      <w:r>
        <w:t xml:space="preserve">the same gate, indicating that classifier guidance can drive the sampler into modes that score high on learned proxies but fail at frontier-orbital electronic stability; a larger unguided pool with the same gating yields the more physically-credible final set, which is the production configuration.</w:t>
      </w:r>
    </w:p>
    <w:p>
      <w:pPr>
        <w:pStyle w:val="MDPI31text"/>
        <w:ind w:left="2608"/>
      </w:pPr>
      <w:r>
        <w:rPr>
          <w:b/>
          <w:bCs/>
        </w:rPr>
        <w:t xml:space="preserve">Stage 4 (DFT audit).</w:t>
      </w:r>
      <w:r>
        <w:t xml:space="preserve"> </w:t>
      </w:r>
      <w:r>
        <w:t xml:space="preserve">First-principles DFT audit at B3LYP/6-31G(d) optimisation +</w:t>
      </w:r>
      <w:r>
        <w:t xml:space="preserve"> </w:t>
      </w:r>
      <m:oMath>
        <m:r>
          <m:t>ω</m:t>
        </m:r>
      </m:oMath>
      <w:r>
        <w:t xml:space="preserve">B97X-D3BJ/def2-TZVP single-point on the 11 chem-pass leads alongside two anchors (RDX, TATB) using GPU4PySCF (density from Bondi van-der-Waals integration with packing 0.69).</w:t>
      </w:r>
      <w:r>
        <w:t xml:space="preserve"> </w:t>
      </w:r>
      <w:r>
        <w:rPr>
          <w:b/>
          <w:bCs/>
        </w:rPr>
        <w:t xml:space="preserve">All eleven chem-pass leads + two anchors are real local minima</w:t>
      </w:r>
      <w:r>
        <w:t xml:space="preserve"> </w:t>
      </w:r>
      <w:r>
        <w:t xml:space="preserve">(no imaginary frequencies; min real modes 6.8–52 cm</w:t>
      </w:r>
      <w:r>
        <w:rPr>
          <w:vertAlign w:val="superscript"/>
        </w:rPr>
        <w:t xml:space="preserve">−1</w:t>
      </w:r>
      <w:r>
        <w:t xml:space="preserve">, with near-zero soft-torsion modes in L9 and L20); three SMARTS-rejected reference scaffolds (R2, R3, R14) optimised under the same protocol are in Supplementary Section C.5. The candidates that do not advance to Stage 4 are accounted for in Supplementary Section C.5 (45 removed at the Stage-2 hard filters; 28 fail K-J/imaginary-frequency/composition gates).</w:t>
      </w:r>
    </w:p>
    <w:p>
      <w:pPr>
        <w:pStyle w:val="MDPI31text"/>
        <w:ind w:left="2608"/>
      </w:pPr>
      <w:r>
        <w:rPr>
          <w:b/>
          <w:bCs/>
        </w:rPr>
        <w:t xml:space="preserve">6-anchor calibration (Table 1).</w:t>
      </w:r>
      <w:r>
        <w:t xml:space="preserve"> </w:t>
      </w:r>
      <w:r>
        <w:t xml:space="preserve">A linear 6-anchor (RDX, TATB, HMX, PETN, FOX-7, NTO) calibration gives</w:t>
      </w:r>
      <w:r>
        <w:t xml:space="preserve"> </w:t>
      </w:r>
      <m:oMath>
        <m:sSub>
          <m:e>
            <m:r>
              <m:t>ρ</m:t>
            </m:r>
          </m:e>
          <m:sub>
            <m:r>
              <m:rPr>
                <m:nor/>
                <m:sty m:val="p"/>
              </m:rPr>
              <m:t>cal</m:t>
            </m:r>
          </m:sub>
        </m:sSub>
        <m:r>
          <m:rPr>
            <m:sty m:val="p"/>
          </m:rPr>
          <m:t>=</m:t>
        </m:r>
        <m:r>
          <m:t>1.392</m:t>
        </m:r>
        <m:r>
          <m:t> </m:t>
        </m:r>
        <m:sSub>
          <m:e>
            <m:r>
              <m:t>ρ</m:t>
            </m:r>
          </m:e>
          <m:sub>
            <m:r>
              <m:rPr>
                <m:nor/>
                <m:sty m:val="p"/>
              </m:rPr>
              <m:t>DFT</m:t>
            </m:r>
          </m:sub>
        </m:sSub>
        <m:r>
          <m:rPr>
            <m:sty m:val="p"/>
          </m:rPr>
          <m:t>−</m:t>
        </m:r>
        <m:r>
          <m:t>0.415</m:t>
        </m:r>
      </m:oMath>
      <w:r>
        <w:t xml:space="preserve"> </w:t>
      </w:r>
      <w:r>
        <w:t xml:space="preserve">and HOF</w:t>
      </w:r>
      <m:oMath>
        <m:sSub>
          <m:e>
            <m:r>
              <m:t>​</m:t>
            </m:r>
          </m:e>
          <m:sub>
            <m:r>
              <m:rPr>
                <m:nor/>
                <m:sty m:val="p"/>
              </m:rPr>
              <m:t>cal</m:t>
            </m:r>
          </m:sub>
        </m:sSub>
        <m:r>
          <m:rPr>
            <m:sty m:val="p"/>
          </m:rPr>
          <m:t>=</m:t>
        </m:r>
      </m:oMath>
      <w:r>
        <w:t xml:space="preserve">HOF</w:t>
      </w:r>
      <m:oMath>
        <m:sSub>
          <m:e>
            <m:r>
              <m:t>​</m:t>
            </m:r>
          </m:e>
          <m:sub>
            <m:r>
              <m:rPr>
                <m:nor/>
                <m:sty m:val="p"/>
              </m:rPr>
              <m:t>DFT</m:t>
            </m:r>
          </m:sub>
        </m:sSub>
        <m:r>
          <m:rPr>
            <m:sty m:val="p"/>
          </m:rPr>
          <m:t>−</m:t>
        </m:r>
        <m:r>
          <m:t>206.7</m:t>
        </m:r>
      </m:oMath>
      <w:r>
        <w:t xml:space="preserve"> kJ mol</w:t>
      </w:r>
      <w:r>
        <w:rPr>
          <w:vertAlign w:val="superscript"/>
        </w:rPr>
        <w:t xml:space="preserve">−1</w:t>
      </w:r>
      <w:r>
        <w:t xml:space="preserve">, with leave-one-out RMS</w:t>
      </w:r>
      <w:r>
        <w:t xml:space="preserve"> </w:t>
      </w:r>
      <m:oMath>
        <m:r>
          <m:rPr>
            <m:sty m:val="p"/>
          </m:rPr>
          <m:t>±</m:t>
        </m:r>
        <m:r>
          <m:t>0.078</m:t>
        </m:r>
      </m:oMath>
      <w:r>
        <w:t xml:space="preserve"> g cm</w:t>
      </w:r>
      <w:r>
        <w:rPr>
          <w:vertAlign w:val="superscript"/>
        </w:rPr>
        <w:t xml:space="preserve">−3</w:t>
      </w:r>
      <w:r>
        <w:t xml:space="preserve"> </w:t>
      </w:r>
      <w:r>
        <w:t xml:space="preserve">on</w:t>
      </w:r>
      <w:r>
        <w:t xml:space="preserve"> </w:t>
      </w:r>
      <m:oMath>
        <m:r>
          <m:t>ρ</m:t>
        </m:r>
      </m:oMath>
      <w:r>
        <w:t xml:space="preserve"> </w:t>
      </w:r>
      <w:r>
        <w:t xml:space="preserve">and</w:t>
      </w:r>
      <w:r>
        <w:t xml:space="preserve"> </w:t>
      </w:r>
      <m:oMath>
        <m:r>
          <m:rPr>
            <m:sty m:val="p"/>
          </m:rPr>
          <m:t>±</m:t>
        </m:r>
        <m:r>
          <m:t>64.6</m:t>
        </m:r>
      </m:oMath>
      <w:r>
        <w:t xml:space="preserve"> kJ mol</w:t>
      </w:r>
      <w:r>
        <w:rPr>
          <w:vertAlign w:val="superscript"/>
        </w:rPr>
        <w:t xml:space="preserve">−1</w:t>
      </w:r>
      <w:r>
        <w:t xml:space="preserve"> </w:t>
      </w:r>
      <w:r>
        <w:t xml:space="preserve">on HOF (full intercept derivation in Supplementary Section C.1–C.3). Calibrated densities span</w:t>
      </w:r>
      <w:r>
        <w:t xml:space="preserve"> </w:t>
      </w:r>
      <m:oMath>
        <m:sSub>
          <m:e>
            <m:r>
              <m:t>ρ</m:t>
            </m:r>
          </m:e>
          <m:sub>
            <m:r>
              <m:rPr>
                <m:nor/>
                <m:sty m:val="p"/>
              </m:rPr>
              <m:t>cal</m:t>
            </m:r>
          </m:sub>
        </m:sSub>
        <m:r>
          <m:rPr>
            <m:sty m:val="p"/>
          </m:rPr>
          <m:t>∈</m:t>
        </m:r>
        <m:r>
          <m:rPr>
            <m:sty m:val="p"/>
          </m:rPr>
          <m:t>[</m:t>
        </m:r>
        <m:r>
          <m:t>1.84</m:t>
        </m:r>
        <m:r>
          <m:rPr>
            <m:sty m:val="p"/>
          </m:rPr>
          <m:t>,</m:t>
        </m:r>
        <m:r>
          <m:t>2.09</m:t>
        </m:r>
        <m:r>
          <m:rPr>
            <m:sty m:val="p"/>
          </m:rPr>
          <m:t>]</m:t>
        </m:r>
      </m:oMath>
      <w:r>
        <w:t xml:space="preserve"> g cm</w:t>
      </w:r>
      <w:r>
        <w:rPr>
          <w:vertAlign w:val="superscript"/>
        </w:rPr>
        <w:t xml:space="preserve">−3</w:t>
      </w:r>
      <w:r>
        <w:t xml:space="preserve">;</w:t>
      </w:r>
      <w:r>
        <w:t xml:space="preserve"> </w:t>
      </w:r>
      <w:r>
        <w:rPr>
          <w:b/>
          <w:bCs/>
        </w:rPr>
        <w:t xml:space="preserve">L1 raw DFT</w:t>
      </w:r>
      <w:r>
        <w:rPr>
          <w:b/>
          <w:bCs/>
        </w:rPr>
        <w:t xml:space="preserve"> </w:t>
      </w:r>
      <m:oMath>
        <m:sSub>
          <m:e>
            <m:r>
              <m:t>ρ</m:t>
            </m:r>
          </m:e>
          <m:sub>
            <m:r>
              <m:rPr>
                <m:nor/>
                <m:sty m:val="p"/>
              </m:rPr>
              <m:t>DFT</m:t>
            </m:r>
          </m:sub>
        </m:sSub>
        <m:r>
          <m:rPr>
            <m:sty m:val="p"/>
          </m:rPr>
          <m:t>=</m:t>
        </m:r>
        <m:r>
          <m:t>1.80</m:t>
        </m:r>
      </m:oMath>
      <w:r>
        <w:rPr>
          <w:b/>
          <w:bCs/>
        </w:rPr>
        <w:t xml:space="preserve"> </w:t>
      </w:r>
      <w:r>
        <w:rPr>
          <w:b/>
          <w:bCs/>
        </w:rPr>
        <w:t xml:space="preserve">calibrates to</w:t>
      </w:r>
      <w:r>
        <w:rPr>
          <w:b/>
          <w:bCs/>
        </w:rPr>
        <w:t xml:space="preserve"> </w:t>
      </w:r>
      <m:oMath>
        <m:sSub>
          <m:e>
            <m:r>
              <m:t>ρ</m:t>
            </m:r>
          </m:e>
          <m:sub>
            <m:r>
              <m:rPr>
                <m:nor/>
                <m:sty m:val="p"/>
              </m:rPr>
              <m:t>cal</m:t>
            </m:r>
          </m:sub>
        </m:sSub>
        <m:r>
          <m:rPr>
            <m:sty m:val="p"/>
          </m:rPr>
          <m:t>=</m:t>
        </m:r>
        <m:r>
          <m:t>2.09</m:t>
        </m:r>
      </m:oMath>
      <w:r>
        <w:rPr>
          <w:b/>
          <w:bCs/>
        </w:rPr>
        <w:t xml:space="preserve"> g cm</w:t>
      </w:r>
      <w:r>
        <w:rPr>
          <w:b/>
          <w:bCs/>
          <w:vertAlign w:val="superscript"/>
        </w:rPr>
        <w:t xml:space="preserve">−3</w:t>
      </w:r>
      <w:r>
        <w:t xml:space="preserve"> </w:t>
      </w:r>
      <w:r>
        <w:t xml:space="preserve">(the highest of the set), and its raw HOF</w:t>
      </w:r>
      <m:oMath>
        <m:sSub>
          <m:e>
            <m:r>
              <m:t>​</m:t>
            </m:r>
          </m:e>
          <m:sub>
            <m:r>
              <m:rPr>
                <m:nor/>
                <m:sty m:val="p"/>
              </m:rPr>
              <m:t>DFT</m:t>
            </m:r>
          </m:sub>
        </m:sSub>
        <m:r>
          <m:rPr>
            <m:sty m:val="p"/>
          </m:rPr>
          <m:t>=</m:t>
        </m:r>
        <m:r>
          <m:rPr>
            <m:sty m:val="p"/>
          </m:rPr>
          <m:t>+</m:t>
        </m:r>
        <m:r>
          <m:t>229.5</m:t>
        </m:r>
      </m:oMath>
      <w:r>
        <w:t xml:space="preserve"> kJ mol</w:t>
      </w:r>
      <w:r>
        <w:rPr>
          <w:vertAlign w:val="superscript"/>
        </w:rPr>
        <w:t xml:space="preserve">−1</w:t>
      </w:r>
      <w:r>
        <w:t xml:space="preserve"> </w:t>
      </w:r>
      <w:r>
        <w:t xml:space="preserve">calibrates to</w:t>
      </w:r>
      <w:r>
        <w:t xml:space="preserve"> </w:t>
      </w:r>
      <m:oMath>
        <m:r>
          <m:rPr>
            <m:sty m:val="p"/>
          </m:rPr>
          <m:t>+</m:t>
        </m:r>
        <m:r>
          <m:t>22.9</m:t>
        </m:r>
      </m:oMath>
      <w:r>
        <w:t xml:space="preserve"> kJ mol</w:t>
      </w:r>
      <w:r>
        <w:rPr>
          <w:vertAlign w:val="superscript"/>
        </w:rPr>
        <w:t xml:space="preserve">−1</w:t>
      </w:r>
      <w:r>
        <w:t xml:space="preserve">.</w:t>
      </w:r>
    </w:p>
    <w:p>
      <w:pPr>
        <w:pStyle w:val="MDPI31text"/>
        <w:ind w:left="2608"/>
      </w:pPr>
      <w:r>
        <w:rPr>
          <w:b/>
          <w:bCs/>
        </w:rPr>
        <w:t xml:space="preserve">Kamlet–Jacobs recompute and headline corroboration.</w:t>
      </w:r>
      <w:r>
        <w:t xml:space="preserve"> </w:t>
      </w:r>
      <w:r>
        <w:t xml:space="preserve">Two K-J applications appear: (i) per-lead calibrated branch (Table 2): K-J on DFT-calibrated</w:t>
      </w:r>
      <w:r>
        <w:t xml:space="preserve"> </w:t>
      </w:r>
      <m:oMath>
        <m:r>
          <m:rPr>
            <m:sty m:val="p"/>
          </m:rPr>
          <m:t>(</m:t>
        </m:r>
        <m:sSub>
          <m:e>
            <m:r>
              <m:t>ρ</m:t>
            </m:r>
          </m:e>
          <m:sub>
            <m:r>
              <m:rPr>
                <m:nor/>
                <m:sty m:val="p"/>
              </m:rPr>
              <m:t>cal</m:t>
            </m:r>
          </m:sub>
        </m:sSub>
        <m:r>
          <m:rPr>
            <m:sty m:val="p"/>
          </m:rPr>
          <m:t>,</m:t>
        </m:r>
        <m:r>
          <m:t> </m:t>
        </m:r>
        <m:sSub>
          <m:e>
            <m:r>
              <m:rPr>
                <m:nor/>
                <m:sty m:val="p"/>
              </m:rPr>
              <m:t>HOF</m:t>
            </m:r>
          </m:e>
          <m:sub>
            <m:r>
              <m:rPr>
                <m:nor/>
                <m:sty m:val="p"/>
              </m:rPr>
              <m:t>cal</m:t>
            </m:r>
          </m:sub>
        </m:sSub>
        <m:r>
          <m:rPr>
            <m:sty m:val="p"/>
          </m:rPr>
          <m:t>)</m:t>
        </m:r>
      </m:oMath>
      <w:r>
        <w:t xml:space="preserve"> </w:t>
      </w:r>
      <w:r>
        <w:t xml:space="preserve">for ranking; (ii) population residual branch (Table S12): K-J on raw experimental</w:t>
      </w:r>
      <w:r>
        <w:t xml:space="preserve"> </w:t>
      </w:r>
      <m:oMath>
        <m:r>
          <m:rPr>
            <m:sty m:val="p"/>
          </m:rPr>
          <m:t>(</m:t>
        </m:r>
        <m:r>
          <m:t>ρ</m:t>
        </m:r>
        <m:r>
          <m:rPr>
            <m:sty m:val="p"/>
          </m:rPr>
          <m:t>,</m:t>
        </m:r>
        <m:r>
          <m:t> </m:t>
        </m:r>
        <m:r>
          <m:rPr>
            <m:nor/>
            <m:sty m:val="p"/>
          </m:rPr>
          <m:t>HOF</m:t>
        </m:r>
        <m:r>
          <m:rPr>
            <m:sty m:val="p"/>
          </m:rPr>
          <m:t>)</m:t>
        </m:r>
      </m:oMath>
      <w:r>
        <w:t xml:space="preserve"> </w:t>
      </w:r>
      <w:r>
        <w:t xml:space="preserve">from 575 Tier-A labelled rows to quantify K-J under-prediction at high N-fraction. Calibrated K-J velocities span</w:t>
      </w:r>
      <w:r>
        <w:t xml:space="preserve"> </w:t>
      </w:r>
      <m:oMath>
        <m:r>
          <m:t>6.71</m:t>
        </m:r>
      </m:oMath>
      <w:r>
        <w:t xml:space="preserve">–</w:t>
      </w:r>
      <m:oMath>
        <m:r>
          <m:t>8.25</m:t>
        </m:r>
      </m:oMath>
      <w:r>
        <w:t xml:space="preserve"> km s</w:t>
      </w:r>
      <w:r>
        <w:rPr>
          <w:vertAlign w:val="superscript"/>
        </w:rPr>
        <w:t xml:space="preserve">−1</w:t>
      </w:r>
      <w:r>
        <w:t xml:space="preserve"> </w:t>
      </w:r>
      <w:r>
        <w:t xml:space="preserve">across the 11 chem-pass leads (Figure 5).</w:t>
      </w:r>
      <w:r>
        <w:t xml:space="preserve"> </w:t>
      </w:r>
      <w:r>
        <w:rPr>
          <w:b/>
          <w:bCs/>
        </w:rPr>
        <w:t xml:space="preserve">L1 calibrated K-J</w:t>
      </w:r>
      <w:r>
        <w:rPr>
          <w:b/>
          <w:bCs/>
        </w:rPr>
        <w:t xml:space="preserve"> </w:t>
      </w:r>
      <m:oMath>
        <m:r>
          <m:t>D</m:t>
        </m:r>
        <m:r>
          <m:rPr>
            <m:sty m:val="p"/>
          </m:rPr>
          <m:t>=</m:t>
        </m:r>
        <m:r>
          <m:t>8.25</m:t>
        </m:r>
      </m:oMath>
      <w:r>
        <w:rPr>
          <w:b/>
          <w:bCs/>
        </w:rPr>
        <w:t xml:space="preserve"> km s</w:t>
      </w:r>
      <w:r>
        <w:rPr>
          <w:b/>
          <w:bCs/>
          <w:vertAlign w:val="superscript"/>
        </w:rPr>
        <w:t xml:space="preserve">−1</w:t>
      </w:r>
      <w:r>
        <w:rPr>
          <w:b/>
          <w:bCs/>
        </w:rPr>
        <w:t xml:space="preserve">; the 1.31 km s</w:t>
      </w:r>
      <w:r>
        <w:rPr>
          <w:b/>
          <w:bCs/>
          <w:vertAlign w:val="superscript"/>
        </w:rPr>
        <w:t xml:space="preserve">−1</w:t>
      </w:r>
      <w:r>
        <w:rPr>
          <w:b/>
          <w:bCs/>
        </w:rPr>
        <w:t xml:space="preserve"> </w:t>
      </w:r>
      <w:r>
        <w:rPr>
          <w:b/>
          <w:bCs/>
        </w:rPr>
        <w:t xml:space="preserve">residual to the Uni-Mol surrogate (9.56 km s</w:t>
      </w:r>
      <w:r>
        <w:rPr>
          <w:b/>
          <w:bCs/>
          <w:vertAlign w:val="superscript"/>
        </w:rPr>
        <w:t xml:space="preserve">−1</w:t>
      </w:r>
      <w:r>
        <w:rPr>
          <w:b/>
          <w:bCs/>
        </w:rPr>
        <w:t xml:space="preserve">) is larger than the K-J anchor residuals in L1's own composition regime</w:t>
      </w:r>
      <w:r>
        <w:t xml:space="preserve"> </w:t>
      </w:r>
      <w:r>
        <w:t xml:space="preserve">(L1:</w:t>
      </w:r>
      <w:r>
        <w:t xml:space="preserve"> </w:t>
      </w:r>
      <m:oMath>
        <m:sSub>
          <m:e>
            <m:r>
              <m:t>f</m:t>
            </m:r>
          </m:e>
          <m:sub>
            <m:r>
              <m:t>N</m:t>
            </m:r>
          </m:sub>
        </m:sSub>
        <m:r>
          <m:rPr>
            <m:sty m:val="p"/>
          </m:rPr>
          <m:t>≈</m:t>
        </m:r>
        <m:r>
          <m:t>0.29</m:t>
        </m:r>
      </m:oMath>
      <w:r>
        <w:t xml:space="preserve">, OB</w:t>
      </w:r>
      <w:r>
        <w:t xml:space="preserve"> </w:t>
      </w:r>
      <m:oMath>
        <m:r>
          <m:rPr>
            <m:sty m:val="p"/>
          </m:rPr>
          <m:t>≈</m:t>
        </m:r>
        <m:r>
          <m:rPr>
            <m:sty m:val="p"/>
          </m:rPr>
          <m:t>+</m:t>
        </m:r>
        <m:r>
          <m:t>8</m:t>
        </m:r>
        <m:r>
          <m:t> </m:t>
        </m:r>
        <m:r>
          <m:rPr>
            <m:sty m:val="p"/>
          </m:rPr>
          <m:t>%</m:t>
        </m:r>
      </m:oMath>
      <w:r>
        <w:t xml:space="preserve">, placing it in PETN's K-J-reliable regime, not the high-N RDX/HMX/FOX-7 under-prediction band). Note that L1's OB sits at the upper boundary of the standard oxygen-deficient regime (</w:t>
      </w:r>
      <m:oMath>
        <m:r>
          <m:t>d</m:t>
        </m:r>
        <m:r>
          <m:rPr>
            <m:sty m:val="p"/>
          </m:rPr>
          <m:t>=</m:t>
        </m:r>
        <m:r>
          <m:t>2</m:t>
        </m:r>
        <m:r>
          <m:t>a</m:t>
        </m:r>
        <m:r>
          <m:rPr>
            <m:sty m:val="p"/>
          </m:rPr>
          <m:t>+</m:t>
        </m:r>
        <m:r>
          <m:t>b</m:t>
        </m:r>
        <m:r>
          <m:rPr>
            <m:sty m:val="p"/>
          </m:rPr>
          <m:t>/</m:t>
        </m:r>
        <m:r>
          <m:t>2</m:t>
        </m:r>
        <m:r>
          <m:rPr>
            <m:sty m:val="p"/>
          </m:rPr>
          <m:t>=</m:t>
        </m:r>
        <m:r>
          <m:t>6</m:t>
        </m:r>
      </m:oMath>
      <w:r>
        <w:t xml:space="preserve"> </w:t>
      </w:r>
      <w:r>
        <w:t xml:space="preserve">vs L1's</w:t>
      </w:r>
      <w:r>
        <w:t xml:space="preserve"> </w:t>
      </w:r>
      <m:oMath>
        <m:r>
          <m:t>d</m:t>
        </m:r>
        <m:r>
          <m:rPr>
            <m:sty m:val="p"/>
          </m:rPr>
          <m:t>=</m:t>
        </m:r>
        <m:r>
          <m:t>7</m:t>
        </m:r>
      </m:oMath>
      <w:r>
        <w:t xml:space="preserve">); we apply Kamlet–Jacobs in its unified product-distribution form (the standard treatment for mildly oxygen-rich CHNO; see Kamlet–Jacobs 1968 §III). The 1.31 km s</w:t>
      </w:r>
      <w:r>
        <w:rPr>
          <w:vertAlign w:val="superscript"/>
        </w:rPr>
        <w:t xml:space="preserve">−1</w:t>
      </w:r>
      <w:r>
        <w:t xml:space="preserve"> </w:t>
      </w:r>
      <w:r>
        <w:t xml:space="preserve">gap is therefore plausibly Uni-Mol surrogate over-prediction in the sparsely-represented polynitroisoxazole region rather than K-J failure. The DFT-K-J recompute places L1 in the HMX-class regime by</w:t>
      </w:r>
      <w:r>
        <w:t xml:space="preserve"> </w:t>
      </w:r>
      <w:r>
        <w:rPr>
          <w:i/>
          <w:iCs/>
        </w:rPr>
        <w:t xml:space="preserve">relative ranking against anchors</w:t>
      </w:r>
      <w:r>
        <w:t xml:space="preserve">; absolute</w:t>
      </w:r>
      <w:r>
        <w:t xml:space="preserve"> </w:t>
      </w:r>
      <m:oMath>
        <m:r>
          <m:t>D</m:t>
        </m:r>
      </m:oMath>
      <w:r>
        <w:t xml:space="preserve"> </w:t>
      </w:r>
      <w:r>
        <w:t xml:space="preserve">values require a thermochemical-equilibrium covolume solver (Section 3). Full K-J residual decomposition (PETN/NTO chemistry;</w:t>
      </w:r>
      <w:r>
        <w:t xml:space="preserve"> </w:t>
      </w:r>
      <m:oMath>
        <m:r>
          <m:t>r</m:t>
        </m:r>
        <m:r>
          <m:rPr>
            <m:sty m:val="p"/>
          </m:rPr>
          <m:t>(</m:t>
        </m:r>
        <m:sSub>
          <m:e>
            <m:r>
              <m:t>f</m:t>
            </m:r>
          </m:e>
          <m:sub>
            <m:r>
              <m:t>N</m:t>
            </m:r>
          </m:sub>
        </m:sSub>
        <m:r>
          <m:rPr>
            <m:sty m:val="p"/>
          </m:rPr>
          <m:t>,</m:t>
        </m:r>
        <m:r>
          <m:rPr>
            <m:nor/>
            <m:sty m:val="p"/>
          </m:rPr>
          <m:t>residual</m:t>
        </m:r>
        <m:r>
          <m:rPr>
            <m:sty m:val="p"/>
          </m:rPr>
          <m:t>)</m:t>
        </m:r>
        <m:r>
          <m:rPr>
            <m:sty m:val="p"/>
          </m:rPr>
          <m:t>=</m:t>
        </m:r>
        <m:r>
          <m:rPr>
            <m:sty m:val="p"/>
          </m:rPr>
          <m:t>+</m:t>
        </m:r>
        <m:r>
          <m:t>0.43</m:t>
        </m:r>
      </m:oMath>
      <w:r>
        <w:t xml:space="preserve">,</w:t>
      </w:r>
      <w:r>
        <w:t xml:space="preserve"> </w:t>
      </w:r>
      <m:oMath>
        <m:r>
          <m:t>p</m:t>
        </m:r>
        <m:r>
          <m:rPr>
            <m:sty m:val="p"/>
          </m:rPr>
          <m:t>=</m:t>
        </m:r>
        <m:r>
          <m:t>4</m:t>
        </m:r>
        <m:r>
          <m:rPr>
            <m:sty m:val="p"/>
          </m:rPr>
          <m:t>×</m:t>
        </m:r>
        <m:sSup>
          <m:e>
            <m:r>
              <m:t>10</m:t>
            </m:r>
          </m:e>
          <m:sup>
            <m:r>
              <m:rPr>
                <m:sty m:val="p"/>
              </m:rPr>
              <m:t>−</m:t>
            </m:r>
            <m:r>
              <m:t>27</m:t>
            </m:r>
          </m:sup>
        </m:sSup>
      </m:oMath>
      <w:r>
        <w:t xml:space="preserve"> </w:t>
      </w:r>
      <w:r>
        <w:t xml:space="preserve">on 575 Tier-A rows) is in Supplementary Section C.6–C.7. An independent Cantera ideal-gas CJ recompute ranks L1, L4, L5 as RDX-class; absolute</w:t>
      </w:r>
      <w:r>
        <w:t xml:space="preserve"> </w:t>
      </w:r>
      <m:oMath>
        <m:r>
          <m:t>D</m:t>
        </m:r>
      </m:oMath>
      <w:r>
        <w:t xml:space="preserve"> </w:t>
      </w:r>
      <w:r>
        <w:t xml:space="preserve">values require BKW/JCZ3 covolume corrections (Section 3), full discussion in Supplementary Section C.13.</w:t>
      </w:r>
    </w:p>
    <w:p xmlns:a="http://schemas.openxmlformats.org/drawingml/2006/main" xmlns:pic="http://schemas.openxmlformats.org/drawingml/2006/picture">
      <w:pPr>
        <w:pStyle w:val="MDPI52figure"/>
        <w:ind w:left="2608"/>
        <w:jc w:val="center"/>
      </w:pPr>
      <w:r>
        <w:drawing>
          <wp:inline>
            <wp:extent cx="4989830" cy="2239185"/>
            <wp:effectExtent b="0" l="0" r="0" t="0"/>
            <wp:docPr descr="DFT dumbbell + N-fraction residual scatter" title="" id="36" name="Picture"/>
            <a:graphic>
              <a:graphicData uri="http://schemas.openxmlformats.org/drawingml/2006/picture">
                <pic:pic>
                  <pic:nvPicPr>
                    <pic:cNvPr descr="../figs/fig_dft_dumbbell.png" id="37" name="Picture"/>
                    <pic:cNvPicPr>
                      <a:picLocks noChangeArrowheads="1" noChangeAspect="1"/>
                    </pic:cNvPicPr>
                  </pic:nvPicPr>
                  <pic:blipFill>
                    <a:blip r:embed="rId22"/>
                    <a:stretch>
                      <a:fillRect/>
                    </a:stretch>
                  </pic:blipFill>
                  <pic:spPr bwMode="auto">
                    <a:xfrm>
                      <a:off x="0" y="0"/>
                      <a:ext cx="4989830" cy="2239185"/>
                    </a:xfrm>
                    <a:prstGeom prst="rect">
                      <a:avLst/>
                    </a:prstGeom>
                    <a:noFill/>
                    <a:ln w="9525">
                      <a:noFill/>
                      <a:headEnd/>
                      <a:tailEnd/>
                    </a:ln>
                  </pic:spPr>
                </pic:pic>
              </a:graphicData>
            </a:graphic>
          </wp:inline>
        </w:drawing>
      </w:r>
    </w:p>
    <w:p>
      <w:pPr>
        <w:pStyle w:val="MDPI51figurecaption"/>
        <w:ind w:left="2608"/>
      </w:pPr>
      <w:r>
        <w:rPr>
          <w:b/>
          <w:bCs/>
        </w:rPr>
        <w:t xml:space="preserve">Figure 5.</w:t>
      </w:r>
      <w:r>
        <w:t xml:space="preserve"> </w:t>
      </w:r>
      <w:r>
        <w:t xml:space="preserve">Left: dumbbell plot connecting Uni-Mol-predicted</w:t>
      </w:r>
      <w:r>
        <w:t xml:space="preserve"> </w:t>
      </w:r>
      <m:oMath>
        <m:r>
          <m:t>D</m:t>
        </m:r>
      </m:oMath>
      <w:r>
        <w:t xml:space="preserve"> </w:t>
      </w:r>
      <w:r>
        <w:t xml:space="preserve">(blue) to anchor-calibrated DFT–K-J</w:t>
      </w:r>
      <w:r>
        <w:t xml:space="preserve"> </w:t>
      </w:r>
      <m:oMath>
        <m:r>
          <m:t>D</m:t>
        </m:r>
      </m:oMath>
      <w:r>
        <w:t xml:space="preserve"> </w:t>
      </w:r>
      <w:r>
        <w:t xml:space="preserve">(orange) for each DFT-converged lead; dotted green line is the literature-scale HMX target of</w:t>
      </w:r>
      <w:r>
        <w:t xml:space="preserve"> </w:t>
      </w:r>
      <m:oMath>
        <m:r>
          <m:t>D</m:t>
        </m:r>
        <m:r>
          <m:rPr>
            <m:sty m:val="p"/>
          </m:rPr>
          <m:t>=</m:t>
        </m:r>
        <m:r>
          <m:t>9.0</m:t>
        </m:r>
      </m:oMath>
      <w:r>
        <w:t xml:space="preserve"> km s</w:t>
      </w:r>
      <w:r>
        <w:rPr>
          <w:vertAlign w:val="superscript"/>
        </w:rPr>
        <w:t xml:space="preserve">−1</w:t>
      </w:r>
      <w:r>
        <w:t xml:space="preserve"> </w:t>
      </w:r>
      <w:r>
        <w:t xml:space="preserve">(the 6-anchor-calibrated HMX anchor is 7.52 km s</w:t>
      </w:r>
      <w:r>
        <w:rPr>
          <w:vertAlign w:val="superscript"/>
        </w:rPr>
        <w:t xml:space="preserve">−1</w:t>
      </w:r>
      <w:r>
        <w:t xml:space="preserve">, Section 2.3, so L1's calibrated 8.25 sits below it). Right: per-lead residual vs N-fraction with linear fit (Pearson</w:t>
      </w:r>
      <w:r>
        <w:t xml:space="preserve"> </w:t>
      </w:r>
      <m:oMath>
        <m:r>
          <m:t>r</m:t>
        </m:r>
        <m:r>
          <m:rPr>
            <m:sty m:val="p"/>
          </m:rPr>
          <m:t>=</m:t>
        </m:r>
        <m:r>
          <m:t>0.20</m:t>
        </m:r>
      </m:oMath>
      <w:r>
        <w:t xml:space="preserve"> </w:t>
      </w:r>
      <w:r>
        <w:t xml:space="preserve">across the leads and reference compounds shown); the panel title reports the global 575-row Tier-A correlation (</w:t>
      </w:r>
      <m:oMath>
        <m:r>
          <m:t>r</m:t>
        </m:r>
        <m:r>
          <m:rPr>
            <m:sty m:val="p"/>
          </m:rPr>
          <m:t>=</m:t>
        </m:r>
        <m:r>
          <m:t>0.43</m:t>
        </m:r>
      </m:oMath>
      <w:r>
        <w:t xml:space="preserve">, Table S12).</w:t>
      </w:r>
    </w:p>
    <w:p>
      <w:pPr>
        <w:pStyle w:val="MDPI31text"/>
        <w:ind w:left="2608"/>
      </w:pPr>
      <w:r>
        <w:rPr>
          <w:b/>
          <w:bCs/>
        </w:rPr>
        <w:t xml:space="preserve">Cross-check on SMARTS-rejected candidates.</w:t>
      </w:r>
      <w:r>
        <w:t xml:space="preserve"> </w:t>
      </w:r>
      <w:r>
        <w:t xml:space="preserve">The same DFT pipeline applied to three of the 23 SMARTS-rejected candidates (rank-2 N-nitroimine, rank-3 polyazene, rank-14 azo-amino-nitrate) finds them to be real geometric minima at B3LYP/6-31G* (min real frequencies 33–47 cm</w:t>
      </w:r>
      <w:r>
        <w:rPr>
          <w:vertAlign w:val="superscript"/>
        </w:rPr>
        <w:t xml:space="preserve">−1</w:t>
      </w:r>
      <w:r>
        <w:t xml:space="preserve">). The chemist rejection is motif-level (shock-sensitivity, friction-trigger risks beyond gas-phase DFT), not geometric:</w:t>
      </w:r>
      <w:r>
        <w:t xml:space="preserve"> </w:t>
      </w:r>
      <w:r>
        <w:rPr>
          <w:b/>
          <w:bCs/>
        </w:rPr>
        <w:t xml:space="preserve">the SMARTS and DFT layers are complementary, not redundant</w:t>
      </w:r>
      <w:r>
        <w:t xml:space="preserve">. The hazard-head post-hoc filtering recovers all 23 SMARTS rejects with perfect recall by construction and exposes 66 additional candidates on which the SMARTS catalog is silent (Supplementary Section D.12).</w:t>
      </w:r>
    </w:p>
    <w:p>
      <w:pPr>
        <w:pStyle w:val="MDPI41tablecaption"/>
        <w:ind w:left="2608"/>
      </w:pPr>
      <w:r>
        <w:rPr>
          <w:b/>
          <w:bCs/>
        </w:rPr>
        <w:t xml:space="preserve">Table 1.</w:t>
      </w:r>
      <w:r>
        <w:t xml:space="preserve"> </w:t>
      </w:r>
      <w:r>
        <w:t xml:space="preserve">6-anchor DFT calibration (RDX, TATB, HMX, PETN, FOX-7, NTO). Linear corrections</w:t>
      </w:r>
      <w:r>
        <w:t xml:space="preserve"> </w:t>
      </w:r>
      <m:oMath>
        <m:sSub>
          <m:e>
            <m:r>
              <m:t>ρ</m:t>
            </m:r>
          </m:e>
          <m:sub>
            <m:r>
              <m:rPr>
                <m:nor/>
                <m:sty m:val="p"/>
              </m:rPr>
              <m:t>cal</m:t>
            </m:r>
          </m:sub>
        </m:sSub>
        <m:r>
          <m:rPr>
            <m:sty m:val="p"/>
          </m:rPr>
          <m:t>=</m:t>
        </m:r>
        <m:r>
          <m:t>1.392</m:t>
        </m:r>
        <m:r>
          <m:t> </m:t>
        </m:r>
        <m:sSub>
          <m:e>
            <m:r>
              <m:t>ρ</m:t>
            </m:r>
          </m:e>
          <m:sub>
            <m:r>
              <m:rPr>
                <m:nor/>
                <m:sty m:val="p"/>
              </m:rPr>
              <m:t>DFT</m:t>
            </m:r>
          </m:sub>
        </m:sSub>
        <m:r>
          <m:rPr>
            <m:sty m:val="p"/>
          </m:rPr>
          <m:t>−</m:t>
        </m:r>
        <m:r>
          <m:t>0.415</m:t>
        </m:r>
      </m:oMath>
      <w:r>
        <w:t xml:space="preserve"> </w:t>
      </w:r>
      <w:r>
        <w:t xml:space="preserve">and HOF</w:t>
      </w:r>
      <m:oMath>
        <m:sSub>
          <m:e>
            <m:r>
              <m:t>​</m:t>
            </m:r>
          </m:e>
          <m:sub>
            <m:r>
              <m:rPr>
                <m:nor/>
                <m:sty m:val="p"/>
              </m:rPr>
              <m:t>cal</m:t>
            </m:r>
          </m:sub>
        </m:sSub>
        <m:r>
          <m:rPr>
            <m:sty m:val="p"/>
          </m:rPr>
          <m:t>=</m:t>
        </m:r>
      </m:oMath>
      <w:r>
        <w:t xml:space="preserve">HOF</w:t>
      </w:r>
      <m:oMath>
        <m:sSub>
          <m:e>
            <m:r>
              <m:t>​</m:t>
            </m:r>
          </m:e>
          <m:sub>
            <m:r>
              <m:rPr>
                <m:nor/>
                <m:sty m:val="p"/>
              </m:rPr>
              <m:t>DFT</m:t>
            </m:r>
          </m:sub>
        </m:sSub>
        <m:r>
          <m:rPr>
            <m:sty m:val="p"/>
          </m:rPr>
          <m:t>−</m:t>
        </m:r>
        <m:r>
          <m:t>206.7</m:t>
        </m:r>
      </m:oMath>
      <w:r>
        <w:t xml:space="preserve"> kJ mol</w:t>
      </w:r>
      <w:r>
        <w:rPr>
          <w:vertAlign w:val="superscript"/>
        </w:rPr>
        <w:t xml:space="preserve">−1</w:t>
      </w:r>
      <w:r>
        <w:t xml:space="preserve">; LOO RMS</w:t>
      </w:r>
      <w:r>
        <w:t xml:space="preserve"> </w:t>
      </w:r>
      <m:oMath>
        <m:r>
          <m:rPr>
            <m:sty m:val="p"/>
          </m:rPr>
          <m:t>±</m:t>
        </m:r>
        <m:r>
          <m:t>0.078</m:t>
        </m:r>
      </m:oMath>
      <w:r>
        <w:t xml:space="preserve"> g cm</w:t>
      </w:r>
      <w:r>
        <w:rPr>
          <w:vertAlign w:val="superscript"/>
        </w:rPr>
        <w:t xml:space="preserve">−3</w:t>
      </w:r>
      <w:r>
        <w:t xml:space="preserve"> </w:t>
      </w:r>
      <w:r>
        <w:t xml:space="preserve">and</w:t>
      </w:r>
      <w:r>
        <w:t xml:space="preserve"> </w:t>
      </w:r>
      <m:oMath>
        <m:r>
          <m:rPr>
            <m:sty m:val="p"/>
          </m:rPr>
          <m:t>±</m:t>
        </m:r>
        <m:r>
          <m:t>64.6</m:t>
        </m:r>
      </m:oMath>
      <w:r>
        <w:t xml:space="preserve"> kJ mol</w:t>
      </w:r>
      <w:r>
        <w:rPr>
          <w:vertAlign w:val="superscript"/>
        </w:rPr>
        <w:t xml:space="preserve">−1</w:t>
      </w:r>
      <w:r>
        <w:t xml:space="preserve">.</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873"/>
        <w:gridCol w:w="983"/>
        <w:gridCol w:w="6002"/>
      </w:tblGrid>
      <w:tr>
        <w:trPr>
          <w:tblHeader w:val="on"/>
        </w:trPr>
        <w:tc>
          <w:tcPr>
            <w:tcBorders>
              <w:bottom w:val="single" w:sz="8" w:space="0" w:color="auto"/>
            </w:tcBorders>
            <w:vAlign w:val="center"/>
          </w:tcPr>
          <w:p>
            <w:pPr>
              <w:pStyle w:val="Compact"/>
              <w:suppressAutoHyphens/>
              <w:jc w:val="center"/>
            </w:pPr>
            <w:r>
              <w:rPr>
                <w:b/>
                <w:sz w:val="18"/>
                <w:szCs w:val="18"/>
              </w:rPr>
              <w:t xml:space="preserve">Anchor</w:t>
            </w:r>
          </w:p>
        </w:tc>
        <w:tc>
          <w:tcPr>
            <w:tcBorders>
              <w:bottom w:val="single" w:sz="8" w:space="0" w:color="auto"/>
            </w:tcBorders>
            <w:vAlign w:val="center"/>
          </w:tcPr>
          <w:p>
            <w:pPr>
              <w:pStyle w:val="Compact"/>
              <w:suppressAutoHyphens/>
              <w:jc w:val="center"/>
            </w:pPr>
            <m:oMath>
              <m:sSub>
                <m:e>
                  <m:r>
                    <w:rPr>
                      <w:sz w:val="18"/>
                      <w:szCs w:val="18"/>
                    </w:rPr>
                    <m:t>ρ</m:t>
                  </m:r>
                </m:e>
                <m:sub>
                  <m:r>
                    <w:rPr>
                      <w:sz w:val="18"/>
                      <w:szCs w:val="18"/>
                    </w:rPr>
                    <m:rPr>
                      <m:nor/>
                      <m:sty m:val="p"/>
                    </m:rPr>
                    <m:t>exp</m:t>
                  </m:r>
                </m:sub>
              </m:sSub>
            </m:oMath>
            <w:r>
              <w:rPr>
                <w:b/>
                <w:sz w:val="18"/>
                <w:szCs w:val="18"/>
              </w:rPr>
              <w:t xml:space="preserve"> </w:t>
            </w:r>
            <w:r>
              <w:rPr>
                <w:b/>
                <w:sz w:val="18"/>
                <w:szCs w:val="18"/>
              </w:rPr>
              <w:t xml:space="preserve">(g cm</w:t>
            </w:r>
            <w:r>
              <w:rPr>
                <w:b/>
                <w:vertAlign w:val="superscript"/>
                <w:sz w:val="18"/>
                <w:szCs w:val="18"/>
              </w:rPr>
              <w:t xml:space="preserve">−3</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HOF</w:t>
            </w:r>
            <m:oMath>
              <m:sSub>
                <m:e>
                  <m:r>
                    <w:rPr>
                      <w:sz w:val="18"/>
                      <w:szCs w:val="18"/>
                    </w:rPr>
                    <m:t>​</m:t>
                  </m:r>
                </m:e>
                <m:sub>
                  <m:r>
                    <w:rPr>
                      <w:sz w:val="18"/>
                      <w:szCs w:val="18"/>
                    </w:rPr>
                    <m:rPr>
                      <m:nor/>
                      <m:sty m:val="p"/>
                    </m:rPr>
                    <m:t>exp</m:t>
                  </m:r>
                </m:sub>
              </m:sSub>
            </m:oMath>
            <w:r>
              <w:rPr>
                <w:b/>
                <w:sz w:val="18"/>
                <w:szCs w:val="18"/>
              </w:rPr>
              <w:t xml:space="preserve"> </w:t>
            </w:r>
            <w:r>
              <w:rPr>
                <w:b/>
                <w:sz w:val="18"/>
                <w:szCs w:val="18"/>
              </w:rPr>
              <w:t xml:space="preserve">(kJ mol</w:t>
            </w:r>
            <w:r>
              <w:rPr>
                <w:b/>
                <w:vertAlign w:val="superscript"/>
                <w:sz w:val="18"/>
                <w:szCs w:val="18"/>
              </w:rPr>
              <w:t xml:space="preserve">−1</w:t>
            </w:r>
            <w:r>
              <w:rPr>
                <w:b/>
                <w:sz w:val="18"/>
                <w:szCs w:val="18"/>
              </w:rPr>
              <w:t xml:space="preserve">)</w:t>
            </w:r>
          </w:p>
        </w:tc>
      </w:tr>
      <w:tr>
        <w:tc>
          <w:tcPr>
            <w:vAlign w:val="center"/>
          </w:tcPr>
          <w:p>
            <w:pPr>
              <w:pStyle w:val="Compact"/>
              <w:suppressAutoHyphens/>
              <w:jc w:val="center"/>
            </w:pPr>
            <w:r>
              <w:rPr>
                <w:sz w:val="18"/>
                <w:szCs w:val="18"/>
              </w:rPr>
              <w:t xml:space="preserve">RDX</w:t>
            </w:r>
          </w:p>
        </w:tc>
        <w:tc>
          <w:tcPr>
            <w:vAlign w:val="center"/>
          </w:tcPr>
          <w:p>
            <w:pPr>
              <w:pStyle w:val="Compact"/>
              <w:suppressAutoHyphens/>
              <w:jc w:val="center"/>
            </w:pPr>
            <w:r>
              <w:rPr>
                <w:sz w:val="18"/>
                <w:szCs w:val="18"/>
              </w:rPr>
              <w:t xml:space="preserve">1.82</w:t>
            </w:r>
          </w:p>
        </w:tc>
        <w:tc>
          <w:tcPr>
            <w:vAlign w:val="center"/>
          </w:tcPr>
          <w:p>
            <w:pPr>
              <w:pStyle w:val="Compact"/>
              <w:suppressAutoHyphens/>
              <w:jc w:val="center"/>
            </w:pPr>
            <w:r>
              <w:rPr>
                <w:sz w:val="18"/>
                <w:szCs w:val="18"/>
              </w:rPr>
              <w:t xml:space="preserve">+70</w:t>
            </w:r>
          </w:p>
        </w:tc>
      </w:tr>
      <w:tr>
        <w:tc>
          <w:tcPr>
            <w:vAlign w:val="center"/>
          </w:tcPr>
          <w:p>
            <w:pPr>
              <w:pStyle w:val="Compact"/>
              <w:suppressAutoHyphens/>
              <w:jc w:val="center"/>
            </w:pPr>
            <w:r>
              <w:rPr>
                <w:sz w:val="18"/>
                <w:szCs w:val="18"/>
              </w:rPr>
              <w:t xml:space="preserve">TATB</w:t>
            </w:r>
          </w:p>
        </w:tc>
        <w:tc>
          <w:tcPr>
            <w:vAlign w:val="center"/>
          </w:tcPr>
          <w:p>
            <w:pPr>
              <w:pStyle w:val="Compact"/>
              <w:suppressAutoHyphens/>
              <w:jc w:val="center"/>
            </w:pPr>
            <w:r>
              <w:rPr>
                <w:sz w:val="18"/>
                <w:szCs w:val="18"/>
              </w:rPr>
              <w:t xml:space="preserve">1.94</w:t>
            </w:r>
          </w:p>
        </w:tc>
        <w:tc>
          <w:tcPr>
            <w:vAlign w:val="center"/>
          </w:tcPr>
          <w:p>
            <w:pPr>
              <w:pStyle w:val="Compact"/>
              <w:suppressAutoHyphens/>
              <w:jc w:val="center"/>
            </w:pPr>
            <w:r>
              <w:rPr>
                <w:sz w:val="18"/>
                <w:szCs w:val="18"/>
              </w:rPr>
              <w:t xml:space="preserve">−141</w:t>
            </w:r>
          </w:p>
        </w:tc>
      </w:tr>
      <w:tr>
        <w:tc>
          <w:tcPr>
            <w:vAlign w:val="center"/>
          </w:tcPr>
          <w:p>
            <w:pPr>
              <w:pStyle w:val="Compact"/>
              <w:suppressAutoHyphens/>
              <w:jc w:val="center"/>
            </w:pPr>
            <w:r>
              <w:rPr>
                <w:sz w:val="18"/>
                <w:szCs w:val="18"/>
              </w:rPr>
              <w:t xml:space="preserve">HMX</w:t>
            </w:r>
          </w:p>
        </w:tc>
        <w:tc>
          <w:tcPr>
            <w:vAlign w:val="center"/>
          </w:tcPr>
          <w:p>
            <w:pPr>
              <w:pStyle w:val="Compact"/>
              <w:suppressAutoHyphens/>
              <w:jc w:val="center"/>
            </w:pPr>
            <w:r>
              <w:rPr>
                <w:sz w:val="18"/>
                <w:szCs w:val="18"/>
              </w:rPr>
              <w:t xml:space="preserve">1.91</w:t>
            </w:r>
          </w:p>
        </w:tc>
        <w:tc>
          <w:tcPr>
            <w:vAlign w:val="center"/>
          </w:tcPr>
          <w:p>
            <w:pPr>
              <w:pStyle w:val="Compact"/>
              <w:suppressAutoHyphens/>
              <w:jc w:val="center"/>
            </w:pPr>
            <w:r>
              <w:rPr>
                <w:sz w:val="18"/>
                <w:szCs w:val="18"/>
              </w:rPr>
              <w:t xml:space="preserve">+75</w:t>
            </w:r>
          </w:p>
        </w:tc>
      </w:tr>
      <w:tr>
        <w:tc>
          <w:tcPr>
            <w:vAlign w:val="center"/>
          </w:tcPr>
          <w:p>
            <w:pPr>
              <w:pStyle w:val="Compact"/>
              <w:suppressAutoHyphens/>
              <w:jc w:val="center"/>
            </w:pPr>
            <w:r>
              <w:rPr>
                <w:sz w:val="18"/>
                <w:szCs w:val="18"/>
              </w:rPr>
              <w:t xml:space="preserve">PETN</w:t>
            </w:r>
          </w:p>
        </w:tc>
        <w:tc>
          <w:tcPr>
            <w:vAlign w:val="center"/>
          </w:tcPr>
          <w:p>
            <w:pPr>
              <w:pStyle w:val="Compact"/>
              <w:suppressAutoHyphens/>
              <w:jc w:val="center"/>
            </w:pPr>
            <w:r>
              <w:rPr>
                <w:sz w:val="18"/>
                <w:szCs w:val="18"/>
              </w:rPr>
              <w:t xml:space="preserve">1.77</w:t>
            </w:r>
          </w:p>
        </w:tc>
        <w:tc>
          <w:tcPr>
            <w:vAlign w:val="center"/>
          </w:tcPr>
          <w:p>
            <w:pPr>
              <w:pStyle w:val="Compact"/>
              <w:suppressAutoHyphens/>
              <w:jc w:val="center"/>
            </w:pPr>
            <w:r>
              <w:rPr>
                <w:sz w:val="18"/>
                <w:szCs w:val="18"/>
              </w:rPr>
              <w:t xml:space="preserve">−538 (condensed-phase 298 K from LLNL Explosives Handbook, Dobratz 1981; literature range −504 to −539 kJ mol</w:t>
            </w:r>
            <w:r>
              <w:rPr>
                <w:vertAlign w:val="superscript"/>
                <w:sz w:val="18"/>
                <w:szCs w:val="18"/>
              </w:rPr>
              <w:t xml:space="preserve">−1</w:t>
            </w:r>
            <w:r>
              <w:rPr>
                <w:sz w:val="18"/>
                <w:szCs w:val="18"/>
              </w:rPr>
              <w:t xml:space="preserve"> </w:t>
            </w:r>
            <w:r>
              <w:rPr>
                <w:sz w:val="18"/>
                <w:szCs w:val="18"/>
              </w:rPr>
              <w:t xml:space="preserve">depending on measurement method; the chosen value is within the ±64.6 kJ mol</w:t>
            </w:r>
            <w:r>
              <w:rPr>
                <w:vertAlign w:val="superscript"/>
                <w:sz w:val="18"/>
                <w:szCs w:val="18"/>
              </w:rPr>
              <w:t xml:space="preserve">−1</w:t>
            </w:r>
            <w:r>
              <w:rPr>
                <w:sz w:val="18"/>
                <w:szCs w:val="18"/>
              </w:rPr>
              <w:t xml:space="preserve"> </w:t>
            </w:r>
            <w:r>
              <w:rPr>
                <w:sz w:val="18"/>
                <w:szCs w:val="18"/>
              </w:rPr>
              <w:t xml:space="preserve">LOO RMS)</w:t>
            </w:r>
          </w:p>
        </w:tc>
      </w:tr>
      <w:tr>
        <w:tc>
          <w:tcPr>
            <w:vAlign w:val="center"/>
          </w:tcPr>
          <w:p>
            <w:pPr>
              <w:pStyle w:val="Compact"/>
              <w:suppressAutoHyphens/>
              <w:jc w:val="center"/>
            </w:pPr>
            <w:r>
              <w:rPr>
                <w:sz w:val="18"/>
                <w:szCs w:val="18"/>
              </w:rPr>
              <w:t xml:space="preserve">FOX-7</w:t>
            </w:r>
          </w:p>
        </w:tc>
        <w:tc>
          <w:tcPr>
            <w:vAlign w:val="center"/>
          </w:tcPr>
          <w:p>
            <w:pPr>
              <w:pStyle w:val="Compact"/>
              <w:suppressAutoHyphens/>
              <w:jc w:val="center"/>
            </w:pPr>
            <w:r>
              <w:rPr>
                <w:sz w:val="18"/>
                <w:szCs w:val="18"/>
              </w:rPr>
              <w:t xml:space="preserve">1.89</w:t>
            </w:r>
          </w:p>
        </w:tc>
        <w:tc>
          <w:tcPr>
            <w:vAlign w:val="center"/>
          </w:tcPr>
          <w:p>
            <w:pPr>
              <w:pStyle w:val="Compact"/>
              <w:suppressAutoHyphens/>
              <w:jc w:val="center"/>
            </w:pPr>
            <w:r>
              <w:rPr>
                <w:sz w:val="18"/>
                <w:szCs w:val="18"/>
              </w:rPr>
              <w:t xml:space="preserve">−134</w:t>
            </w:r>
          </w:p>
        </w:tc>
      </w:tr>
      <w:tr>
        <w:tc>
          <w:tcPr>
            <w:vAlign w:val="center"/>
          </w:tcPr>
          <w:p>
            <w:pPr>
              <w:pStyle w:val="Compact"/>
              <w:suppressAutoHyphens/>
              <w:jc w:val="center"/>
            </w:pPr>
            <w:r>
              <w:rPr>
                <w:sz w:val="18"/>
                <w:szCs w:val="18"/>
              </w:rPr>
              <w:t xml:space="preserve">NTO</w:t>
            </w:r>
          </w:p>
        </w:tc>
        <w:tc>
          <w:tcPr>
            <w:vAlign w:val="center"/>
          </w:tcPr>
          <w:p>
            <w:pPr>
              <w:pStyle w:val="Compact"/>
              <w:suppressAutoHyphens/>
              <w:jc w:val="center"/>
            </w:pPr>
            <w:r>
              <w:rPr>
                <w:sz w:val="18"/>
                <w:szCs w:val="18"/>
              </w:rPr>
              <w:t xml:space="preserve">1.93</w:t>
            </w:r>
          </w:p>
        </w:tc>
        <w:tc>
          <w:tcPr>
            <w:vAlign w:val="center"/>
          </w:tcPr>
          <w:p>
            <w:pPr>
              <w:pStyle w:val="Compact"/>
              <w:suppressAutoHyphens/>
              <w:jc w:val="center"/>
            </w:pPr>
            <w:r>
              <w:rPr>
                <w:sz w:val="18"/>
                <w:szCs w:val="18"/>
              </w:rPr>
              <w:t xml:space="preserve">−129</w:t>
            </w:r>
          </w:p>
        </w:tc>
      </w:tr>
    </w:tbl>
    <w:p>
      <w:pPr>
        <w:pStyle w:val="MDPI31text"/>
        <w:ind w:left="2608"/>
      </w:pPr>
    </w:p>
    <w:p>
      <w:pPr>
        <w:pStyle w:val="MDPI41tablecaption"/>
        <w:ind w:left="2608"/>
      </w:pPr>
      <w:r>
        <w:rPr>
          <w:b/>
          <w:bCs/>
        </w:rPr>
        <w:t xml:space="preserve">Table 2.</w:t>
      </w:r>
      <w:r>
        <w:t xml:space="preserve"> </w:t>
      </w:r>
      <w:r>
        <w:t xml:space="preserve">Per-lead calibration-propagated uncertainty on K-J</w:t>
      </w:r>
      <w:r>
        <w:t xml:space="preserve"> </w:t>
      </w:r>
      <m:oMath>
        <m:r>
          <m:t>D</m:t>
        </m:r>
      </m:oMath>
      <w:r>
        <w:t xml:space="preserve"> </w:t>
      </w:r>
      <w:r>
        <w:t xml:space="preserve">and</w:t>
      </w:r>
      <w:r>
        <w:t xml:space="preserve"> </w:t>
      </w:r>
      <m:oMath>
        <m:r>
          <m:t>P</m:t>
        </m:r>
      </m:oMath>
      <w:r>
        <w:t xml:space="preserve">.</w:t>
      </w:r>
      <w:r>
        <w:t xml:space="preserve"> </w:t>
      </w:r>
      <m:oMath>
        <m:r>
          <m:t>δ</m:t>
        </m:r>
        <m:r>
          <m:t>D</m:t>
        </m:r>
      </m:oMath>
      <w:r>
        <w:t xml:space="preserve"> </w:t>
      </w:r>
      <w:r>
        <w:t xml:space="preserve">and</w:t>
      </w:r>
      <w:r>
        <w:t xml:space="preserve"> </w:t>
      </w:r>
      <m:oMath>
        <m:r>
          <m:t>δ</m:t>
        </m:r>
        <m:r>
          <m:t>P</m:t>
        </m:r>
      </m:oMath>
      <w:r>
        <w:t xml:space="preserve"> </w:t>
      </w:r>
      <w:r>
        <w:t xml:space="preserve">are obtained by propagating the 6-anchor LOO calibration errors (</w:t>
      </w:r>
      <m:oMath>
        <m:r>
          <m:t>δ</m:t>
        </m:r>
        <m:sSub>
          <m:e>
            <m:r>
              <m:t>ρ</m:t>
            </m:r>
          </m:e>
          <m:sub>
            <m:r>
              <m:rPr>
                <m:sty m:val="p"/>
              </m:rPr>
              <m:t>L</m:t>
            </m:r>
            <m:r>
              <m:rPr>
                <m:sty m:val="p"/>
              </m:rPr>
              <m:t>O</m:t>
            </m:r>
            <m:r>
              <m:rPr>
                <m:sty m:val="p"/>
              </m:rPr>
              <m:t>O</m:t>
            </m:r>
          </m:sub>
        </m:sSub>
        <m:r>
          <m:rPr>
            <m:sty m:val="p"/>
          </m:rPr>
          <m:t>=</m:t>
        </m:r>
        <m:r>
          <m:t>0.078</m:t>
        </m:r>
      </m:oMath>
      <w:r>
        <w:t xml:space="preserve"> g cm</w:t>
      </w:r>
      <w:r>
        <w:rPr>
          <w:vertAlign w:val="superscript"/>
        </w:rPr>
        <w:t xml:space="preserve">−3</w:t>
      </w:r>
      <w:r>
        <w:t xml:space="preserve">,</w:t>
      </w:r>
      <w:r>
        <w:t xml:space="preserve"> </w:t>
      </w:r>
      <m:oMath>
        <m:r>
          <m:t>δ</m:t>
        </m:r>
        <m:sSub>
          <m:e>
            <m:r>
              <m:rPr>
                <m:sty m:val="p"/>
              </m:rPr>
              <m:t>H</m:t>
            </m:r>
            <m:r>
              <m:rPr>
                <m:sty m:val="p"/>
              </m:rPr>
              <m:t>O</m:t>
            </m:r>
            <m:r>
              <m:rPr>
                <m:sty m:val="p"/>
              </m:rPr>
              <m:t>F</m:t>
            </m:r>
          </m:e>
          <m:sub>
            <m:r>
              <m:rPr>
                <m:sty m:val="p"/>
              </m:rPr>
              <m:t>L</m:t>
            </m:r>
            <m:r>
              <m:rPr>
                <m:sty m:val="p"/>
              </m:rPr>
              <m:t>O</m:t>
            </m:r>
            <m:r>
              <m:rPr>
                <m:sty m:val="p"/>
              </m:rPr>
              <m:t>O</m:t>
            </m:r>
          </m:sub>
        </m:sSub>
        <m:r>
          <m:rPr>
            <m:sty m:val="p"/>
          </m:rPr>
          <m:t>=</m:t>
        </m:r>
        <m:r>
          <m:t>64.6</m:t>
        </m:r>
      </m:oMath>
      <w:r>
        <w:t xml:space="preserve"> kJ mol</w:t>
      </w:r>
      <w:r>
        <w:rPr>
          <w:vertAlign w:val="superscript"/>
        </w:rPr>
        <w:t xml:space="preserve">−1</w:t>
      </w:r>
      <w:r>
        <w:t xml:space="preserve">) through the K-J analytic sensitivity slopes in quadrature. The "K-J formula bias" column reports a per-lead estimate of the typical K-J under-prediction at the lead's N-fraction, derived from the Section 2.3</w:t>
      </w:r>
      <w:r>
        <w:t xml:space="preserve"> </w:t>
      </w:r>
      <m:oMath>
        <m:sSub>
          <m:e>
            <m:r>
              <m:t>f</m:t>
            </m:r>
          </m:e>
          <m:sub>
            <m:r>
              <m:t>N</m:t>
            </m:r>
          </m:sub>
        </m:sSub>
      </m:oMath>
      <w:r>
        <w:t xml:space="preserve"> </w:t>
      </w:r>
      <w:r>
        <w:t xml:space="preserve">regression on 575 Tier-A rows; the propagated calibration uncertainty (</w:t>
      </w:r>
      <m:oMath>
        <m:r>
          <m:t>δ</m:t>
        </m:r>
        <m:r>
          <m:t>D</m:t>
        </m:r>
      </m:oMath>
      <w:r>
        <w:t xml:space="preserve">) is separate. Uni-Mol surrogate error is a third source not included here.</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506"/>
        <w:gridCol w:w="912"/>
        <w:gridCol w:w="1217"/>
        <w:gridCol w:w="763"/>
        <w:gridCol w:w="795"/>
        <w:gridCol w:w="801"/>
        <w:gridCol w:w="763"/>
        <w:gridCol w:w="1528"/>
        <w:gridCol w:w="573"/>
      </w:tblGrid>
      <w:tr>
        <w:trPr>
          <w:tblHeader w:val="on"/>
        </w:trPr>
        <w:tc>
          <w:tcPr>
            <w:tcBorders>
              <w:bottom w:val="single" w:sz="8" w:space="0" w:color="auto"/>
            </w:tcBorders>
            <w:vAlign w:val="center"/>
          </w:tcPr>
          <w:p>
            <w:pPr>
              <w:pStyle w:val="Compact"/>
              <w:suppressAutoHyphens/>
              <w:jc w:val="center"/>
            </w:pPr>
            <w:r>
              <w:rPr>
                <w:b/>
                <w:sz w:val="18"/>
                <w:szCs w:val="18"/>
              </w:rPr>
              <w:t xml:space="preserve">ID</w:t>
            </w:r>
          </w:p>
        </w:tc>
        <w:tc>
          <w:tcPr>
            <w:tcBorders>
              <w:bottom w:val="single" w:sz="8" w:space="0" w:color="auto"/>
            </w:tcBorders>
            <w:vAlign w:val="center"/>
          </w:tcPr>
          <w:p>
            <w:pPr>
              <w:pStyle w:val="Compact"/>
              <w:suppressAutoHyphens/>
              <w:jc w:val="center"/>
            </w:pPr>
            <m:oMath>
              <m:sSub>
                <m:e>
                  <m:r>
                    <w:rPr>
                      <w:sz w:val="18"/>
                      <w:szCs w:val="18"/>
                    </w:rPr>
                    <m:t>ρ</m:t>
                  </m:r>
                </m:e>
                <m:sub>
                  <m:r>
                    <w:rPr>
                      <w:sz w:val="18"/>
                      <w:szCs w:val="18"/>
                    </w:rPr>
                    <m:rPr>
                      <m:sty m:val="p"/>
                    </m:rPr>
                    <m:t>c</m:t>
                  </m:r>
                  <m:r>
                    <w:rPr>
                      <w:sz w:val="18"/>
                      <w:szCs w:val="18"/>
                    </w:rPr>
                    <m:rPr>
                      <m:sty m:val="p"/>
                    </m:rPr>
                    <m:t>a</m:t>
                  </m:r>
                  <m:r>
                    <w:rPr>
                      <w:sz w:val="18"/>
                      <w:szCs w:val="18"/>
                    </w:rPr>
                    <m:rPr>
                      <m:sty m:val="p"/>
                    </m:rPr>
                    <m:t>l</m:t>
                  </m:r>
                </m:sub>
              </m:sSub>
            </m:oMath>
            <w:r>
              <w:rPr>
                <w:b/>
                <w:sz w:val="18"/>
                <w:szCs w:val="18"/>
              </w:rPr>
              <w:t xml:space="preserve"> </w:t>
            </w:r>
            <w:r>
              <w:rPr>
                <w:b/>
                <w:sz w:val="18"/>
                <w:szCs w:val="18"/>
              </w:rPr>
              <w:t xml:space="preserve">(g cm</w:t>
            </w:r>
            <w:r>
              <w:rPr>
                <w:b/>
                <w:vertAlign w:val="superscript"/>
                <w:sz w:val="18"/>
                <w:szCs w:val="18"/>
              </w:rPr>
              <w:t xml:space="preserve">−3</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HOF</w:t>
            </w:r>
            <m:oMath>
              <m:sSub>
                <m:e>
                  <m:r>
                    <w:rPr>
                      <w:sz w:val="18"/>
                      <w:szCs w:val="18"/>
                    </w:rPr>
                    <m:t>​</m:t>
                  </m:r>
                </m:e>
                <m:sub>
                  <m:r>
                    <w:rPr>
                      <w:sz w:val="18"/>
                      <w:szCs w:val="18"/>
                    </w:rPr>
                    <m:rPr>
                      <m:sty m:val="p"/>
                    </m:rPr>
                    <m:t>c</m:t>
                  </m:r>
                  <m:r>
                    <w:rPr>
                      <w:sz w:val="18"/>
                      <w:szCs w:val="18"/>
                    </w:rPr>
                    <m:rPr>
                      <m:sty m:val="p"/>
                    </m:rPr>
                    <m:t>a</m:t>
                  </m:r>
                  <m:r>
                    <w:rPr>
                      <w:sz w:val="18"/>
                      <w:szCs w:val="18"/>
                    </w:rPr>
                    <m:rPr>
                      <m:sty m:val="p"/>
                    </m:rPr>
                    <m:t>l</m:t>
                  </m:r>
                </m:sub>
              </m:sSub>
            </m:oMath>
            <w:r>
              <w:rPr>
                <w:b/>
                <w:sz w:val="18"/>
                <w:szCs w:val="18"/>
              </w:rPr>
              <w:t xml:space="preserve"> </w:t>
            </w:r>
            <w:r>
              <w:rPr>
                <w:b/>
                <w:sz w:val="18"/>
                <w:szCs w:val="18"/>
              </w:rPr>
              <w:t xml:space="preserve">(kJ mol</w:t>
            </w:r>
            <w:r>
              <w:rPr>
                <w:b/>
                <w:vertAlign w:val="superscript"/>
                <w:sz w:val="18"/>
                <w:szCs w:val="18"/>
              </w:rPr>
              <w:t xml:space="preserve">−1</w:t>
            </w:r>
            <w:r>
              <w:rPr>
                <w:b/>
                <w:sz w:val="18"/>
                <w:szCs w:val="18"/>
              </w:rPr>
              <w:t xml:space="preserve">)</w:t>
            </w:r>
          </w:p>
        </w:tc>
        <w:tc>
          <w:tcPr>
            <w:tcBorders>
              <w:bottom w:val="single" w:sz="8" w:space="0" w:color="auto"/>
            </w:tcBorders>
            <w:vAlign w:val="center"/>
          </w:tcPr>
          <w:p>
            <w:pPr>
              <w:pStyle w:val="Compact"/>
              <w:suppressAutoHyphens/>
              <w:jc w:val="center"/>
            </w:pPr>
            <m:oMath>
              <m:sSub>
                <m:e>
                  <m:r>
                    <w:rPr>
                      <w:sz w:val="18"/>
                      <w:szCs w:val="18"/>
                    </w:rPr>
                    <m:t>D</m:t>
                  </m:r>
                </m:e>
                <m:sub>
                  <m:r>
                    <w:rPr>
                      <w:sz w:val="18"/>
                      <w:szCs w:val="18"/>
                    </w:rPr>
                    <m:rPr>
                      <m:sty m:val="p"/>
                    </m:rPr>
                    <m:t>c</m:t>
                  </m:r>
                  <m:r>
                    <w:rPr>
                      <w:sz w:val="18"/>
                      <w:szCs w:val="18"/>
                    </w:rPr>
                    <m:rPr>
                      <m:sty m:val="p"/>
                    </m:rPr>
                    <m:t>a</m:t>
                  </m:r>
                  <m:r>
                    <w:rPr>
                      <w:sz w:val="18"/>
                      <w:szCs w:val="18"/>
                    </w:rPr>
                    <m:rPr>
                      <m:sty m:val="p"/>
                    </m:rPr>
                    <m:t>l</m:t>
                  </m:r>
                </m:sub>
              </m:sSub>
            </m:oMath>
            <w:r>
              <w:rPr>
                <w:b/>
                <w:sz w:val="18"/>
                <w:szCs w:val="18"/>
              </w:rPr>
              <w:t xml:space="preserve"> </w:t>
            </w:r>
            <w:r>
              <w:rPr>
                <w:b/>
                <w:sz w:val="18"/>
                <w:szCs w:val="18"/>
              </w:rPr>
              <w:t xml:space="preserve">(km s</w:t>
            </w:r>
            <w:r>
              <w:rPr>
                <w:b/>
                <w:vertAlign w:val="superscript"/>
                <w:sz w:val="18"/>
                <w:szCs w:val="18"/>
              </w:rPr>
              <w:t xml:space="preserve">−1</w:t>
            </w:r>
            <w:r>
              <w:rPr>
                <w:b/>
                <w:sz w:val="18"/>
                <w:szCs w:val="18"/>
              </w:rPr>
              <w:t xml:space="preserve">)</w:t>
            </w:r>
          </w:p>
        </w:tc>
        <w:tc>
          <w:tcPr>
            <w:tcBorders>
              <w:bottom w:val="single" w:sz="8" w:space="0" w:color="auto"/>
            </w:tcBorders>
            <w:vAlign w:val="center"/>
          </w:tcPr>
          <w:p>
            <w:pPr>
              <w:pStyle w:val="Compact"/>
              <w:suppressAutoHyphens/>
              <w:jc w:val="center"/>
            </w:pPr>
            <m:oMath>
              <m:r>
                <w:rPr>
                  <w:sz w:val="18"/>
                  <w:szCs w:val="18"/>
                </w:rPr>
                <m:t>δ</m:t>
              </m:r>
              <m:r>
                <w:rPr>
                  <w:sz w:val="18"/>
                  <w:szCs w:val="18"/>
                </w:rPr>
                <m:t>D</m:t>
              </m:r>
            </m:oMath>
            <w:r>
              <w:rPr>
                <w:b/>
                <w:sz w:val="18"/>
                <w:szCs w:val="18"/>
              </w:rPr>
              <w:t xml:space="preserve"> </w:t>
            </w:r>
            <w:r>
              <w:rPr>
                <w:b/>
                <w:sz w:val="18"/>
                <w:szCs w:val="18"/>
              </w:rPr>
              <w:t xml:space="preserve">(km s</w:t>
            </w:r>
            <w:r>
              <w:rPr>
                <w:b/>
                <w:vertAlign w:val="superscript"/>
                <w:sz w:val="18"/>
                <w:szCs w:val="18"/>
              </w:rPr>
              <w:t xml:space="preserve">−1</w:t>
            </w:r>
            <w:r>
              <w:rPr>
                <w:b/>
                <w:sz w:val="18"/>
                <w:szCs w:val="18"/>
              </w:rPr>
              <w:t xml:space="preserve">)</w:t>
            </w:r>
          </w:p>
        </w:tc>
        <w:tc>
          <w:tcPr>
            <w:tcBorders>
              <w:bottom w:val="single" w:sz="8" w:space="0" w:color="auto"/>
            </w:tcBorders>
            <w:vAlign w:val="center"/>
          </w:tcPr>
          <w:p>
            <w:pPr>
              <w:pStyle w:val="Compact"/>
              <w:suppressAutoHyphens/>
              <w:jc w:val="center"/>
            </w:pPr>
            <m:oMath>
              <m:sSub>
                <m:e>
                  <m:r>
                    <w:rPr>
                      <w:sz w:val="18"/>
                      <w:szCs w:val="18"/>
                    </w:rPr>
                    <m:t>P</m:t>
                  </m:r>
                </m:e>
                <m:sub>
                  <m:r>
                    <w:rPr>
                      <w:sz w:val="18"/>
                      <w:szCs w:val="18"/>
                    </w:rPr>
                    <m:rPr>
                      <m:sty m:val="p"/>
                    </m:rPr>
                    <m:t>c</m:t>
                  </m:r>
                  <m:r>
                    <w:rPr>
                      <w:sz w:val="18"/>
                      <w:szCs w:val="18"/>
                    </w:rPr>
                    <m:rPr>
                      <m:sty m:val="p"/>
                    </m:rPr>
                    <m:t>a</m:t>
                  </m:r>
                  <m:r>
                    <w:rPr>
                      <w:sz w:val="18"/>
                      <w:szCs w:val="18"/>
                    </w:rPr>
                    <m:rPr>
                      <m:sty m:val="p"/>
                    </m:rPr>
                    <m:t>l</m:t>
                  </m:r>
                </m:sub>
              </m:sSub>
            </m:oMath>
            <w:r>
              <w:rPr>
                <w:b/>
                <w:sz w:val="18"/>
                <w:szCs w:val="18"/>
              </w:rPr>
              <w:t xml:space="preserve"> </w:t>
            </w:r>
            <w:r>
              <w:rPr>
                <w:b/>
                <w:sz w:val="18"/>
                <w:szCs w:val="18"/>
              </w:rPr>
              <w:t xml:space="preserve">(GPa)</w:t>
            </w:r>
          </w:p>
        </w:tc>
        <w:tc>
          <w:tcPr>
            <w:tcBorders>
              <w:bottom w:val="single" w:sz="8" w:space="0" w:color="auto"/>
            </w:tcBorders>
            <w:vAlign w:val="center"/>
          </w:tcPr>
          <w:p>
            <w:pPr>
              <w:pStyle w:val="Compact"/>
              <w:suppressAutoHyphens/>
              <w:jc w:val="center"/>
            </w:pPr>
            <m:oMath>
              <m:r>
                <w:rPr>
                  <w:sz w:val="18"/>
                  <w:szCs w:val="18"/>
                </w:rPr>
                <m:t>δ</m:t>
              </m:r>
              <m:r>
                <w:rPr>
                  <w:sz w:val="18"/>
                  <w:szCs w:val="18"/>
                </w:rPr>
                <m:t>P</m:t>
              </m:r>
            </m:oMath>
            <w:r>
              <w:rPr>
                <w:b/>
                <w:sz w:val="18"/>
                <w:szCs w:val="18"/>
              </w:rPr>
              <w:t xml:space="preserve"> </w:t>
            </w:r>
            <w:r>
              <w:rPr>
                <w:b/>
                <w:sz w:val="18"/>
                <w:szCs w:val="18"/>
              </w:rPr>
              <w:t xml:space="preserve">(GPa)</w:t>
            </w:r>
          </w:p>
        </w:tc>
        <w:tc>
          <w:tcPr>
            <w:tcBorders>
              <w:bottom w:val="single" w:sz="8" w:space="0" w:color="auto"/>
            </w:tcBorders>
            <w:vAlign w:val="center"/>
          </w:tcPr>
          <w:p>
            <w:pPr>
              <w:pStyle w:val="Compact"/>
              <w:suppressAutoHyphens/>
              <w:jc w:val="center"/>
            </w:pPr>
            <w:r>
              <w:rPr>
                <w:b/>
                <w:sz w:val="18"/>
                <w:szCs w:val="18"/>
              </w:rPr>
              <w:t xml:space="preserve">K-J formula bias (typical, km s</w:t>
            </w:r>
            <w:r>
              <w:rPr>
                <w:b/>
                <w:vertAlign w:val="superscript"/>
                <w:sz w:val="18"/>
                <w:szCs w:val="18"/>
              </w:rPr>
              <w:t xml:space="preserve">−1</w:t>
            </w:r>
            <w:r>
              <w:rPr>
                <w:b/>
                <w:sz w:val="18"/>
                <w:szCs w:val="18"/>
              </w:rPr>
              <w:t xml:space="preserve">)</w:t>
            </w:r>
          </w:p>
        </w:tc>
        <w:tc>
          <w:tcPr>
            <w:tcBorders>
              <w:bottom w:val="single" w:sz="8" w:space="0" w:color="auto"/>
            </w:tcBorders>
            <w:vAlign w:val="center"/>
          </w:tcPr>
          <w:p>
            <w:pPr>
              <w:pStyle w:val="Compact"/>
              <w:suppressAutoHyphens/>
              <w:jc w:val="center"/>
            </w:pPr>
            <m:oMath>
              <m:r>
                <w:rPr>
                  <w:sz w:val="18"/>
                  <w:szCs w:val="18"/>
                </w:rPr>
                <m:rPr>
                  <m:sty m:val="p"/>
                </m:rPr>
                <m:t>∂</m:t>
              </m:r>
              <m:r>
                <w:rPr>
                  <w:sz w:val="18"/>
                  <w:szCs w:val="18"/>
                </w:rPr>
                <m:t>D</m:t>
              </m:r>
              <m:r>
                <w:rPr>
                  <w:sz w:val="18"/>
                  <w:szCs w:val="18"/>
                </w:rPr>
                <m:rPr>
                  <m:sty m:val="p"/>
                </m:rPr>
                <m:t>/</m:t>
              </m:r>
              <m:r>
                <w:rPr>
                  <w:sz w:val="18"/>
                  <w:szCs w:val="18"/>
                </w:rPr>
                <m:rPr>
                  <m:sty m:val="p"/>
                </m:rPr>
                <m:t>∂</m:t>
              </m:r>
              <m:r>
                <w:rPr>
                  <w:sz w:val="18"/>
                  <w:szCs w:val="18"/>
                </w:rPr>
                <m:t>ρ</m:t>
              </m:r>
            </m:oMath>
          </w:p>
        </w:tc>
      </w:tr>
      <w:tr>
        <w:tc>
          <w:tcPr>
            <w:vAlign w:val="center"/>
          </w:tcPr>
          <w:p>
            <w:pPr>
              <w:pStyle w:val="Compact"/>
              <w:suppressAutoHyphens/>
              <w:jc w:val="center"/>
            </w:pPr>
            <w:r>
              <w:rPr>
                <w:sz w:val="18"/>
                <w:szCs w:val="18"/>
              </w:rPr>
              <w:t xml:space="preserve">L1</w:t>
            </w:r>
          </w:p>
        </w:tc>
        <w:tc>
          <w:tcPr>
            <w:vAlign w:val="center"/>
          </w:tcPr>
          <w:p>
            <w:pPr>
              <w:pStyle w:val="Compact"/>
              <w:suppressAutoHyphens/>
              <w:jc w:val="center"/>
            </w:pPr>
            <w:r>
              <w:rPr>
                <w:sz w:val="18"/>
                <w:szCs w:val="18"/>
              </w:rPr>
              <w:t xml:space="preserve">2.093</w:t>
            </w:r>
          </w:p>
        </w:tc>
        <w:tc>
          <w:tcPr>
            <w:vAlign w:val="center"/>
          </w:tcPr>
          <w:p>
            <w:pPr>
              <w:pStyle w:val="Compact"/>
              <w:suppressAutoHyphens/>
              <w:jc w:val="center"/>
            </w:pPr>
            <w:r>
              <w:rPr>
                <w:sz w:val="18"/>
                <w:szCs w:val="18"/>
              </w:rPr>
              <w:t xml:space="preserve">+22.9</w:t>
            </w:r>
          </w:p>
        </w:tc>
        <w:tc>
          <w:tcPr>
            <w:vAlign w:val="center"/>
          </w:tcPr>
          <w:p>
            <w:pPr>
              <w:pStyle w:val="Compact"/>
              <w:suppressAutoHyphens/>
              <w:jc w:val="center"/>
            </w:pPr>
            <w:r>
              <w:rPr>
                <w:sz w:val="18"/>
                <w:szCs w:val="18"/>
              </w:rPr>
              <w:t xml:space="preserve">8.25</w:t>
            </w:r>
          </w:p>
        </w:tc>
        <w:tc>
          <w:tcPr>
            <w:vAlign w:val="center"/>
          </w:tcPr>
          <w:p>
            <w:pPr>
              <w:pStyle w:val="Compact"/>
              <w:suppressAutoHyphens/>
              <w:jc w:val="center"/>
            </w:pPr>
            <w:r>
              <w:rPr>
                <w:sz w:val="18"/>
                <w:szCs w:val="18"/>
              </w:rPr>
              <w:t xml:space="preserve">±0.28</w:t>
            </w:r>
          </w:p>
        </w:tc>
        <w:tc>
          <w:tcPr>
            <w:vAlign w:val="center"/>
          </w:tcPr>
          <w:p>
            <w:pPr>
              <w:pStyle w:val="Compact"/>
              <w:suppressAutoHyphens/>
              <w:jc w:val="center"/>
            </w:pPr>
            <w:r>
              <w:rPr>
                <w:sz w:val="18"/>
                <w:szCs w:val="18"/>
              </w:rPr>
              <w:t xml:space="preserve">32.9</w:t>
            </w:r>
          </w:p>
        </w:tc>
        <w:tc>
          <w:tcPr>
            <w:vAlign w:val="center"/>
          </w:tcPr>
          <w:p>
            <w:pPr>
              <w:pStyle w:val="Compact"/>
              <w:suppressAutoHyphens/>
              <w:jc w:val="center"/>
            </w:pPr>
            <w:r>
              <w:rPr>
                <w:sz w:val="18"/>
                <w:szCs w:val="18"/>
              </w:rPr>
              <w:t xml:space="preserve">±2.8</w:t>
            </w:r>
          </w:p>
        </w:tc>
        <w:tc>
          <w:tcPr>
            <w:vAlign w:val="center"/>
          </w:tcPr>
          <w:p>
            <w:pPr>
              <w:pStyle w:val="Compact"/>
              <w:suppressAutoHyphens/>
              <w:jc w:val="center"/>
            </w:pPr>
            <w:r>
              <w:rPr>
                <w:sz w:val="18"/>
                <w:szCs w:val="18"/>
              </w:rPr>
              <w:t xml:space="preserve">−0.1 ± 0.4 (</w:t>
            </w:r>
            <m:oMath>
              <m:sSub>
                <m:e>
                  <m:r>
                    <w:rPr>
                      <w:sz w:val="18"/>
                      <w:szCs w:val="18"/>
                    </w:rPr>
                    <m:t>f</m:t>
                  </m:r>
                </m:e>
                <m:sub>
                  <m:r>
                    <w:rPr>
                      <w:sz w:val="18"/>
                      <w:szCs w:val="18"/>
                    </w:rPr>
                    <m:t>N</m:t>
                  </m:r>
                </m:sub>
              </m:sSub>
              <m:r>
                <w:rPr>
                  <w:sz w:val="18"/>
                  <w:szCs w:val="18"/>
                </w:rPr>
                <m:rPr>
                  <m:sty m:val="p"/>
                </m:rPr>
                <m:t>≈</m:t>
              </m:r>
              <m:r>
                <w:rPr>
                  <w:sz w:val="18"/>
                  <w:szCs w:val="18"/>
                </w:rPr>
                <m:t>0.29</m:t>
              </m:r>
            </m:oMath>
            <w:r>
              <w:rPr>
                <w:sz w:val="18"/>
                <w:szCs w:val="18"/>
              </w:rPr>
              <w:t xml:space="preserve">, PETN-like)</w:t>
            </w:r>
          </w:p>
        </w:tc>
        <w:tc>
          <w:tcPr>
            <w:vAlign w:val="center"/>
          </w:tcPr>
          <w:p>
            <w:pPr>
              <w:pStyle w:val="Compact"/>
              <w:suppressAutoHyphens/>
              <w:jc w:val="center"/>
            </w:pPr>
            <w:r>
              <w:rPr>
                <w:sz w:val="18"/>
                <w:szCs w:val="18"/>
              </w:rPr>
              <w:t xml:space="preserve">2.88</w:t>
            </w:r>
          </w:p>
        </w:tc>
      </w:tr>
      <w:tr>
        <w:tc>
          <w:tcPr>
            <w:vAlign w:val="center"/>
          </w:tcPr>
          <w:p>
            <w:pPr>
              <w:pStyle w:val="Compact"/>
              <w:suppressAutoHyphens/>
              <w:jc w:val="center"/>
            </w:pPr>
            <w:r>
              <w:rPr>
                <w:sz w:val="18"/>
                <w:szCs w:val="18"/>
              </w:rPr>
              <w:t xml:space="preserve">L3</w:t>
            </w:r>
          </w:p>
        </w:tc>
        <w:tc>
          <w:tcPr>
            <w:vAlign w:val="center"/>
          </w:tcPr>
          <w:p>
            <w:pPr>
              <w:pStyle w:val="Compact"/>
              <w:suppressAutoHyphens/>
              <w:jc w:val="center"/>
            </w:pPr>
            <w:r>
              <w:rPr>
                <w:sz w:val="18"/>
                <w:szCs w:val="18"/>
              </w:rPr>
              <w:t xml:space="preserve">1.995</w:t>
            </w:r>
          </w:p>
        </w:tc>
        <w:tc>
          <w:tcPr>
            <w:vAlign w:val="center"/>
          </w:tcPr>
          <w:p>
            <w:pPr>
              <w:pStyle w:val="Compact"/>
              <w:suppressAutoHyphens/>
              <w:jc w:val="center"/>
            </w:pPr>
            <w:r>
              <w:rPr>
                <w:sz w:val="18"/>
                <w:szCs w:val="18"/>
              </w:rPr>
              <w:t xml:space="preserve">+115.4</w:t>
            </w:r>
          </w:p>
        </w:tc>
        <w:tc>
          <w:tcPr>
            <w:vAlign w:val="center"/>
          </w:tcPr>
          <w:p>
            <w:pPr>
              <w:pStyle w:val="Compact"/>
              <w:suppressAutoHyphens/>
              <w:jc w:val="center"/>
            </w:pPr>
            <w:r>
              <w:rPr>
                <w:sz w:val="18"/>
                <w:szCs w:val="18"/>
              </w:rPr>
              <w:t xml:space="preserve">7.50</w:t>
            </w:r>
          </w:p>
        </w:tc>
        <w:tc>
          <w:tcPr>
            <w:vAlign w:val="center"/>
          </w:tcPr>
          <w:p>
            <w:pPr>
              <w:pStyle w:val="Compact"/>
              <w:suppressAutoHyphens/>
              <w:jc w:val="center"/>
            </w:pPr>
            <w:r>
              <w:rPr>
                <w:sz w:val="18"/>
                <w:szCs w:val="18"/>
              </w:rPr>
              <w:t xml:space="preserve">±0.23</w:t>
            </w:r>
          </w:p>
        </w:tc>
        <w:tc>
          <w:tcPr>
            <w:vAlign w:val="center"/>
          </w:tcPr>
          <w:p>
            <w:pPr>
              <w:pStyle w:val="Compact"/>
              <w:suppressAutoHyphens/>
              <w:jc w:val="center"/>
            </w:pPr>
            <w:r>
              <w:rPr>
                <w:sz w:val="18"/>
                <w:szCs w:val="18"/>
              </w:rPr>
              <w:t xml:space="preserve">26.5</w:t>
            </w:r>
          </w:p>
        </w:tc>
        <w:tc>
          <w:tcPr>
            <w:vAlign w:val="center"/>
          </w:tcPr>
          <w:p>
            <w:pPr>
              <w:pStyle w:val="Compact"/>
              <w:suppressAutoHyphens/>
              <w:jc w:val="center"/>
            </w:pPr>
            <w:r>
              <w:rPr>
                <w:sz w:val="18"/>
                <w:szCs w:val="18"/>
              </w:rPr>
              <w:t xml:space="preserve">±2.2</w:t>
            </w:r>
          </w:p>
        </w:tc>
        <w:tc>
          <w:tcPr>
            <w:vAlign w:val="center"/>
          </w:tcPr>
          <w:p>
            <w:pPr>
              <w:pStyle w:val="Compact"/>
              <w:suppressAutoHyphens/>
              <w:jc w:val="center"/>
            </w:pPr>
            <w:r>
              <w:rPr>
                <w:sz w:val="18"/>
                <w:szCs w:val="18"/>
              </w:rPr>
              <w:t xml:space="preserve">−0.4 ± 0.4</w:t>
            </w:r>
          </w:p>
        </w:tc>
        <w:tc>
          <w:tcPr>
            <w:vAlign w:val="center"/>
          </w:tcPr>
          <w:p>
            <w:pPr>
              <w:pStyle w:val="Compact"/>
              <w:suppressAutoHyphens/>
              <w:jc w:val="center"/>
            </w:pPr>
            <w:r>
              <w:rPr>
                <w:sz w:val="18"/>
                <w:szCs w:val="18"/>
              </w:rPr>
              <w:t xml:space="preserve">2.71</w:t>
            </w:r>
          </w:p>
        </w:tc>
      </w:tr>
      <w:tr>
        <w:tc>
          <w:tcPr>
            <w:vAlign w:val="center"/>
          </w:tcPr>
          <w:p>
            <w:pPr>
              <w:pStyle w:val="Compact"/>
              <w:suppressAutoHyphens/>
              <w:jc w:val="center"/>
            </w:pPr>
            <w:r>
              <w:rPr>
                <w:sz w:val="18"/>
                <w:szCs w:val="18"/>
              </w:rPr>
              <w:t xml:space="preserve">L4</w:t>
            </w:r>
          </w:p>
        </w:tc>
        <w:tc>
          <w:tcPr>
            <w:vAlign w:val="center"/>
          </w:tcPr>
          <w:p>
            <w:pPr>
              <w:pStyle w:val="Compact"/>
              <w:suppressAutoHyphens/>
              <w:jc w:val="center"/>
            </w:pPr>
            <w:r>
              <w:rPr>
                <w:sz w:val="18"/>
                <w:szCs w:val="18"/>
              </w:rPr>
              <w:t xml:space="preserve">1.941</w:t>
            </w:r>
          </w:p>
        </w:tc>
        <w:tc>
          <w:tcPr>
            <w:vAlign w:val="center"/>
          </w:tcPr>
          <w:p>
            <w:pPr>
              <w:pStyle w:val="Compact"/>
              <w:suppressAutoHyphens/>
              <w:jc w:val="center"/>
            </w:pPr>
            <w:r>
              <w:rPr>
                <w:sz w:val="18"/>
                <w:szCs w:val="18"/>
              </w:rPr>
              <w:t xml:space="preserve">+292.1</w:t>
            </w:r>
          </w:p>
        </w:tc>
        <w:tc>
          <w:tcPr>
            <w:vAlign w:val="center"/>
          </w:tcPr>
          <w:p>
            <w:pPr>
              <w:pStyle w:val="Compact"/>
              <w:suppressAutoHyphens/>
              <w:jc w:val="center"/>
            </w:pPr>
            <w:r>
              <w:rPr>
                <w:sz w:val="18"/>
                <w:szCs w:val="18"/>
              </w:rPr>
              <w:t xml:space="preserve">6.71</w:t>
            </w:r>
          </w:p>
        </w:tc>
        <w:tc>
          <w:tcPr>
            <w:vAlign w:val="center"/>
          </w:tcPr>
          <w:p>
            <w:pPr>
              <w:pStyle w:val="Compact"/>
              <w:suppressAutoHyphens/>
              <w:jc w:val="center"/>
            </w:pPr>
            <w:r>
              <w:rPr>
                <w:sz w:val="18"/>
                <w:szCs w:val="18"/>
              </w:rPr>
              <w:t xml:space="preserve">±0.25</w:t>
            </w:r>
          </w:p>
        </w:tc>
        <w:tc>
          <w:tcPr>
            <w:vAlign w:val="center"/>
          </w:tcPr>
          <w:p>
            <w:pPr>
              <w:pStyle w:val="Compact"/>
              <w:suppressAutoHyphens/>
              <w:jc w:val="center"/>
            </w:pPr>
            <w:r>
              <w:rPr>
                <w:sz w:val="18"/>
                <w:szCs w:val="18"/>
              </w:rPr>
              <w:t xml:space="preserve">20.9</w:t>
            </w:r>
          </w:p>
        </w:tc>
        <w:tc>
          <w:tcPr>
            <w:vAlign w:val="center"/>
          </w:tcPr>
          <w:p>
            <w:pPr>
              <w:pStyle w:val="Compact"/>
              <w:suppressAutoHyphens/>
              <w:jc w:val="center"/>
            </w:pPr>
            <w:r>
              <w:rPr>
                <w:sz w:val="18"/>
                <w:szCs w:val="18"/>
              </w:rPr>
              <w:t xml:space="preserve">±1.9</w:t>
            </w:r>
          </w:p>
        </w:tc>
        <w:tc>
          <w:tcPr>
            <w:vAlign w:val="center"/>
          </w:tcPr>
          <w:p>
            <w:pPr>
              <w:pStyle w:val="Compact"/>
              <w:suppressAutoHyphens/>
              <w:jc w:val="center"/>
            </w:pPr>
            <w:r>
              <w:rPr>
                <w:sz w:val="18"/>
                <w:szCs w:val="18"/>
              </w:rPr>
              <w:t xml:space="preserve">−0.7 ± 0.4 (high-</w:t>
            </w:r>
            <m:oMath>
              <m:sSub>
                <m:e>
                  <m:r>
                    <w:rPr>
                      <w:sz w:val="18"/>
                      <w:szCs w:val="18"/>
                    </w:rPr>
                    <m:t>f</m:t>
                  </m:r>
                </m:e>
                <m:sub>
                  <m:r>
                    <w:rPr>
                      <w:sz w:val="18"/>
                      <w:szCs w:val="18"/>
                    </w:rPr>
                    <m:t>N</m:t>
                  </m:r>
                </m:sub>
              </m:sSub>
            </m:oMath>
            <w:r>
              <w:rPr>
                <w:sz w:val="18"/>
                <w:szCs w:val="18"/>
              </w:rPr>
              <w:t xml:space="preserve">)</w:t>
            </w:r>
          </w:p>
        </w:tc>
        <w:tc>
          <w:tcPr>
            <w:vAlign w:val="center"/>
          </w:tcPr>
          <w:p>
            <w:pPr>
              <w:pStyle w:val="Compact"/>
              <w:suppressAutoHyphens/>
              <w:jc w:val="center"/>
            </w:pPr>
            <w:r>
              <w:rPr>
                <w:sz w:val="18"/>
                <w:szCs w:val="18"/>
              </w:rPr>
              <w:t xml:space="preserve">2.48</w:t>
            </w:r>
          </w:p>
        </w:tc>
      </w:tr>
      <w:tr>
        <w:tc>
          <w:tcPr>
            <w:vAlign w:val="center"/>
          </w:tcPr>
          <w:p>
            <w:pPr>
              <w:pStyle w:val="Compact"/>
              <w:suppressAutoHyphens/>
              <w:jc w:val="center"/>
            </w:pPr>
            <w:r>
              <w:rPr>
                <w:sz w:val="18"/>
                <w:szCs w:val="18"/>
              </w:rPr>
              <w:t xml:space="preserve">L5</w:t>
            </w:r>
          </w:p>
        </w:tc>
        <w:tc>
          <w:tcPr>
            <w:vAlign w:val="center"/>
          </w:tcPr>
          <w:p>
            <w:pPr>
              <w:pStyle w:val="Compact"/>
              <w:suppressAutoHyphens/>
              <w:jc w:val="center"/>
            </w:pPr>
            <w:r>
              <w:rPr>
                <w:sz w:val="18"/>
                <w:szCs w:val="18"/>
              </w:rPr>
              <w:t xml:space="preserve">1.942</w:t>
            </w:r>
          </w:p>
        </w:tc>
        <w:tc>
          <w:tcPr>
            <w:vAlign w:val="center"/>
          </w:tcPr>
          <w:p>
            <w:pPr>
              <w:pStyle w:val="Compact"/>
              <w:suppressAutoHyphens/>
              <w:jc w:val="center"/>
            </w:pPr>
            <w:r>
              <w:rPr>
                <w:sz w:val="18"/>
                <w:szCs w:val="18"/>
              </w:rPr>
              <w:t xml:space="preserve">−153.1</w:t>
            </w:r>
          </w:p>
        </w:tc>
        <w:tc>
          <w:tcPr>
            <w:vAlign w:val="center"/>
          </w:tcPr>
          <w:p>
            <w:pPr>
              <w:pStyle w:val="Compact"/>
              <w:suppressAutoHyphens/>
              <w:jc w:val="center"/>
            </w:pPr>
            <w:r>
              <w:rPr>
                <w:sz w:val="18"/>
                <w:szCs w:val="18"/>
              </w:rPr>
              <w:t xml:space="preserve">7.99</w:t>
            </w:r>
          </w:p>
        </w:tc>
        <w:tc>
          <w:tcPr>
            <w:vAlign w:val="center"/>
          </w:tcPr>
          <w:p>
            <w:pPr>
              <w:pStyle w:val="Compact"/>
              <w:suppressAutoHyphens/>
              <w:jc w:val="center"/>
            </w:pPr>
            <w:r>
              <w:rPr>
                <w:sz w:val="18"/>
                <w:szCs w:val="18"/>
              </w:rPr>
              <w:t xml:space="preserve">±0.30</w:t>
            </w:r>
          </w:p>
        </w:tc>
        <w:tc>
          <w:tcPr>
            <w:vAlign w:val="center"/>
          </w:tcPr>
          <w:p>
            <w:pPr>
              <w:pStyle w:val="Compact"/>
              <w:suppressAutoHyphens/>
              <w:jc w:val="center"/>
            </w:pPr>
            <w:r>
              <w:rPr>
                <w:sz w:val="18"/>
                <w:szCs w:val="18"/>
              </w:rPr>
              <w:t xml:space="preserve">29.6</w:t>
            </w:r>
          </w:p>
        </w:tc>
        <w:tc>
          <w:tcPr>
            <w:vAlign w:val="center"/>
          </w:tcPr>
          <w:p>
            <w:pPr>
              <w:pStyle w:val="Compact"/>
              <w:suppressAutoHyphens/>
              <w:jc w:val="center"/>
            </w:pPr>
            <w:r>
              <w:rPr>
                <w:sz w:val="18"/>
                <w:szCs w:val="18"/>
              </w:rPr>
              <w:t xml:space="preserve">±2.8</w:t>
            </w:r>
          </w:p>
        </w:tc>
        <w:tc>
          <w:tcPr>
            <w:vAlign w:val="center"/>
          </w:tcPr>
          <w:p>
            <w:pPr>
              <w:pStyle w:val="Compact"/>
              <w:suppressAutoHyphens/>
              <w:jc w:val="center"/>
            </w:pPr>
            <w:r>
              <w:rPr>
                <w:sz w:val="18"/>
                <w:szCs w:val="18"/>
              </w:rPr>
              <w:t xml:space="preserve">−0.3 ± 0.4</w:t>
            </w:r>
          </w:p>
        </w:tc>
        <w:tc>
          <w:tcPr>
            <w:vAlign w:val="center"/>
          </w:tcPr>
          <w:p>
            <w:pPr>
              <w:pStyle w:val="Compact"/>
              <w:suppressAutoHyphens/>
              <w:jc w:val="center"/>
            </w:pPr>
            <w:r>
              <w:rPr>
                <w:sz w:val="18"/>
                <w:szCs w:val="18"/>
              </w:rPr>
              <w:t xml:space="preserve">2.95</w:t>
            </w:r>
          </w:p>
        </w:tc>
      </w:tr>
      <w:tr>
        <w:tc>
          <w:tcPr>
            <w:vAlign w:val="center"/>
          </w:tcPr>
          <w:p>
            <w:pPr>
              <w:pStyle w:val="Compact"/>
              <w:suppressAutoHyphens/>
              <w:jc w:val="center"/>
            </w:pPr>
            <w:r>
              <w:rPr>
                <w:sz w:val="18"/>
                <w:szCs w:val="18"/>
              </w:rPr>
              <w:t xml:space="preserve">L9</w:t>
            </w:r>
          </w:p>
        </w:tc>
        <w:tc>
          <w:tcPr>
            <w:vAlign w:val="center"/>
          </w:tcPr>
          <w:p>
            <w:pPr>
              <w:pStyle w:val="Compact"/>
              <w:suppressAutoHyphens/>
              <w:jc w:val="center"/>
            </w:pPr>
            <w:r>
              <w:rPr>
                <w:sz w:val="18"/>
                <w:szCs w:val="18"/>
              </w:rPr>
              <w:t xml:space="preserve">1.909</w:t>
            </w:r>
          </w:p>
        </w:tc>
        <w:tc>
          <w:tcPr>
            <w:vAlign w:val="center"/>
          </w:tcPr>
          <w:p>
            <w:pPr>
              <w:pStyle w:val="Compact"/>
              <w:suppressAutoHyphens/>
              <w:jc w:val="center"/>
            </w:pPr>
            <w:r>
              <w:rPr>
                <w:sz w:val="18"/>
                <w:szCs w:val="18"/>
              </w:rPr>
              <w:t xml:space="preserve">+329.8</w:t>
            </w:r>
          </w:p>
        </w:tc>
        <w:tc>
          <w:tcPr>
            <w:vAlign w:val="center"/>
          </w:tcPr>
          <w:p>
            <w:pPr>
              <w:pStyle w:val="Compact"/>
              <w:suppressAutoHyphens/>
              <w:jc w:val="center"/>
            </w:pPr>
            <w:r>
              <w:rPr>
                <w:sz w:val="18"/>
                <w:szCs w:val="18"/>
              </w:rPr>
              <w:t xml:space="preserve">7.33</w:t>
            </w:r>
          </w:p>
        </w:tc>
        <w:tc>
          <w:tcPr>
            <w:vAlign w:val="center"/>
          </w:tcPr>
          <w:p>
            <w:pPr>
              <w:pStyle w:val="Compact"/>
              <w:suppressAutoHyphens/>
              <w:jc w:val="center"/>
            </w:pPr>
            <w:r>
              <w:rPr>
                <w:sz w:val="18"/>
                <w:szCs w:val="18"/>
              </w:rPr>
              <w:t xml:space="preserve">±0.23</w:t>
            </w:r>
          </w:p>
        </w:tc>
        <w:tc>
          <w:tcPr>
            <w:vAlign w:val="center"/>
          </w:tcPr>
          <w:p>
            <w:pPr>
              <w:pStyle w:val="Compact"/>
              <w:suppressAutoHyphens/>
              <w:jc w:val="center"/>
            </w:pPr>
            <w:r>
              <w:rPr>
                <w:sz w:val="18"/>
                <w:szCs w:val="18"/>
              </w:rPr>
              <w:t xml:space="preserve">24.6</w:t>
            </w:r>
          </w:p>
        </w:tc>
        <w:tc>
          <w:tcPr>
            <w:vAlign w:val="center"/>
          </w:tcPr>
          <w:p>
            <w:pPr>
              <w:pStyle w:val="Compact"/>
              <w:suppressAutoHyphens/>
              <w:jc w:val="center"/>
            </w:pPr>
            <w:r>
              <w:rPr>
                <w:sz w:val="18"/>
                <w:szCs w:val="18"/>
              </w:rPr>
              <w:t xml:space="preserve">±2.1</w:t>
            </w:r>
          </w:p>
        </w:tc>
        <w:tc>
          <w:tcPr>
            <w:vAlign w:val="center"/>
          </w:tcPr>
          <w:p>
            <w:pPr>
              <w:pStyle w:val="Compact"/>
              <w:suppressAutoHyphens/>
              <w:jc w:val="center"/>
            </w:pPr>
            <w:r>
              <w:rPr>
                <w:sz w:val="18"/>
                <w:szCs w:val="18"/>
              </w:rPr>
              <w:t xml:space="preserve">−0.5 ± 0.4</w:t>
            </w:r>
          </w:p>
        </w:tc>
        <w:tc>
          <w:tcPr>
            <w:vAlign w:val="center"/>
          </w:tcPr>
          <w:p>
            <w:pPr>
              <w:pStyle w:val="Compact"/>
              <w:suppressAutoHyphens/>
              <w:jc w:val="center"/>
            </w:pPr>
            <w:r>
              <w:rPr>
                <w:sz w:val="18"/>
                <w:szCs w:val="18"/>
              </w:rPr>
              <w:t xml:space="preserve">2.73</w:t>
            </w:r>
          </w:p>
        </w:tc>
      </w:tr>
      <w:tr>
        <w:tc>
          <w:tcPr>
            <w:vAlign w:val="center"/>
          </w:tcPr>
          <w:p>
            <w:pPr>
              <w:pStyle w:val="Compact"/>
              <w:suppressAutoHyphens/>
              <w:jc w:val="center"/>
            </w:pPr>
            <w:r>
              <w:rPr>
                <w:sz w:val="18"/>
                <w:szCs w:val="18"/>
              </w:rPr>
              <w:t xml:space="preserve">L11</w:t>
            </w:r>
          </w:p>
        </w:tc>
        <w:tc>
          <w:tcPr>
            <w:vAlign w:val="center"/>
          </w:tcPr>
          <w:p>
            <w:pPr>
              <w:pStyle w:val="Compact"/>
              <w:suppressAutoHyphens/>
              <w:jc w:val="center"/>
            </w:pPr>
            <w:r>
              <w:rPr>
                <w:sz w:val="18"/>
                <w:szCs w:val="18"/>
              </w:rPr>
              <w:t xml:space="preserve">1.900</w:t>
            </w:r>
          </w:p>
        </w:tc>
        <w:tc>
          <w:tcPr>
            <w:vAlign w:val="center"/>
          </w:tcPr>
          <w:p>
            <w:pPr>
              <w:pStyle w:val="Compact"/>
              <w:suppressAutoHyphens/>
              <w:jc w:val="center"/>
            </w:pPr>
            <w:r>
              <w:rPr>
                <w:sz w:val="18"/>
                <w:szCs w:val="18"/>
              </w:rPr>
              <w:t xml:space="preserve">−159.0</w:t>
            </w:r>
          </w:p>
        </w:tc>
        <w:tc>
          <w:tcPr>
            <w:vAlign w:val="center"/>
          </w:tcPr>
          <w:p>
            <w:pPr>
              <w:pStyle w:val="Compact"/>
              <w:suppressAutoHyphens/>
              <w:jc w:val="center"/>
            </w:pPr>
            <w:r>
              <w:rPr>
                <w:sz w:val="18"/>
                <w:szCs w:val="18"/>
              </w:rPr>
              <w:t xml:space="preserve">7.88</w:t>
            </w:r>
          </w:p>
        </w:tc>
        <w:tc>
          <w:tcPr>
            <w:vAlign w:val="center"/>
          </w:tcPr>
          <w:p>
            <w:pPr>
              <w:pStyle w:val="Compact"/>
              <w:suppressAutoHyphens/>
              <w:jc w:val="center"/>
            </w:pPr>
            <w:r>
              <w:rPr>
                <w:sz w:val="18"/>
                <w:szCs w:val="18"/>
              </w:rPr>
              <w:t xml:space="preserve">±0.24</w:t>
            </w:r>
          </w:p>
        </w:tc>
        <w:tc>
          <w:tcPr>
            <w:vAlign w:val="center"/>
          </w:tcPr>
          <w:p>
            <w:pPr>
              <w:pStyle w:val="Compact"/>
              <w:suppressAutoHyphens/>
              <w:jc w:val="center"/>
            </w:pPr>
            <w:r>
              <w:rPr>
                <w:sz w:val="18"/>
                <w:szCs w:val="18"/>
              </w:rPr>
              <w:t xml:space="preserve">28.5</w:t>
            </w:r>
          </w:p>
        </w:tc>
        <w:tc>
          <w:tcPr>
            <w:vAlign w:val="center"/>
          </w:tcPr>
          <w:p>
            <w:pPr>
              <w:pStyle w:val="Compact"/>
              <w:suppressAutoHyphens/>
              <w:jc w:val="center"/>
            </w:pPr>
            <w:r>
              <w:rPr>
                <w:sz w:val="18"/>
                <w:szCs w:val="18"/>
              </w:rPr>
              <w:t xml:space="preserve">±2.4</w:t>
            </w:r>
          </w:p>
        </w:tc>
        <w:tc>
          <w:tcPr>
            <w:vAlign w:val="center"/>
          </w:tcPr>
          <w:p>
            <w:pPr>
              <w:pStyle w:val="Compact"/>
              <w:suppressAutoHyphens/>
              <w:jc w:val="center"/>
            </w:pPr>
            <w:r>
              <w:rPr>
                <w:sz w:val="18"/>
                <w:szCs w:val="18"/>
              </w:rPr>
              <w:t xml:space="preserve">−0.4 ± 0.4</w:t>
            </w:r>
          </w:p>
        </w:tc>
        <w:tc>
          <w:tcPr>
            <w:vAlign w:val="center"/>
          </w:tcPr>
          <w:p>
            <w:pPr>
              <w:pStyle w:val="Compact"/>
              <w:suppressAutoHyphens/>
              <w:jc w:val="center"/>
            </w:pPr>
            <w:r>
              <w:rPr>
                <w:sz w:val="18"/>
                <w:szCs w:val="18"/>
              </w:rPr>
              <w:t xml:space="preserve">2.95</w:t>
            </w:r>
          </w:p>
        </w:tc>
      </w:tr>
      <w:tr>
        <w:tc>
          <w:tcPr>
            <w:vAlign w:val="center"/>
          </w:tcPr>
          <w:p>
            <w:pPr>
              <w:pStyle w:val="Compact"/>
              <w:suppressAutoHyphens/>
              <w:jc w:val="center"/>
            </w:pPr>
            <w:r>
              <w:rPr>
                <w:sz w:val="18"/>
                <w:szCs w:val="18"/>
              </w:rPr>
              <w:t xml:space="preserve">L13</w:t>
            </w:r>
          </w:p>
        </w:tc>
        <w:tc>
          <w:tcPr>
            <w:vAlign w:val="center"/>
          </w:tcPr>
          <w:p>
            <w:pPr>
              <w:pStyle w:val="Compact"/>
              <w:suppressAutoHyphens/>
              <w:jc w:val="center"/>
            </w:pPr>
            <w:r>
              <w:rPr>
                <w:sz w:val="18"/>
                <w:szCs w:val="18"/>
              </w:rPr>
              <w:t xml:space="preserve">1.859</w:t>
            </w:r>
          </w:p>
        </w:tc>
        <w:tc>
          <w:tcPr>
            <w:vAlign w:val="center"/>
          </w:tcPr>
          <w:p>
            <w:pPr>
              <w:pStyle w:val="Compact"/>
              <w:suppressAutoHyphens/>
              <w:jc w:val="center"/>
            </w:pPr>
            <w:r>
              <w:rPr>
                <w:sz w:val="18"/>
                <w:szCs w:val="18"/>
              </w:rPr>
              <w:t xml:space="preserve">+115.1</w:t>
            </w:r>
          </w:p>
        </w:tc>
        <w:tc>
          <w:tcPr>
            <w:vAlign w:val="center"/>
          </w:tcPr>
          <w:p>
            <w:pPr>
              <w:pStyle w:val="Compact"/>
              <w:suppressAutoHyphens/>
              <w:jc w:val="center"/>
            </w:pPr>
            <w:r>
              <w:rPr>
                <w:sz w:val="18"/>
                <w:szCs w:val="18"/>
              </w:rPr>
              <w:t xml:space="preserve">7.36</w:t>
            </w:r>
          </w:p>
        </w:tc>
        <w:tc>
          <w:tcPr>
            <w:vAlign w:val="center"/>
          </w:tcPr>
          <w:p>
            <w:pPr>
              <w:pStyle w:val="Compact"/>
              <w:suppressAutoHyphens/>
              <w:jc w:val="center"/>
            </w:pPr>
            <w:r>
              <w:rPr>
                <w:sz w:val="18"/>
                <w:szCs w:val="18"/>
              </w:rPr>
              <w:t xml:space="preserve">±0.24</w:t>
            </w:r>
          </w:p>
        </w:tc>
        <w:tc>
          <w:tcPr>
            <w:vAlign w:val="center"/>
          </w:tcPr>
          <w:p>
            <w:pPr>
              <w:pStyle w:val="Compact"/>
              <w:suppressAutoHyphens/>
              <w:jc w:val="center"/>
            </w:pPr>
            <w:r>
              <w:rPr>
                <w:sz w:val="18"/>
                <w:szCs w:val="18"/>
              </w:rPr>
              <w:t xml:space="preserve">24.5</w:t>
            </w:r>
          </w:p>
        </w:tc>
        <w:tc>
          <w:tcPr>
            <w:vAlign w:val="center"/>
          </w:tcPr>
          <w:p>
            <w:pPr>
              <w:pStyle w:val="Compact"/>
              <w:suppressAutoHyphens/>
              <w:jc w:val="center"/>
            </w:pPr>
            <w:r>
              <w:rPr>
                <w:sz w:val="18"/>
                <w:szCs w:val="18"/>
              </w:rPr>
              <w:t xml:space="preserve">±2.2</w:t>
            </w:r>
          </w:p>
        </w:tc>
        <w:tc>
          <w:tcPr>
            <w:vAlign w:val="center"/>
          </w:tcPr>
          <w:p>
            <w:pPr>
              <w:pStyle w:val="Compact"/>
              <w:suppressAutoHyphens/>
              <w:jc w:val="center"/>
            </w:pPr>
            <w:r>
              <w:rPr>
                <w:sz w:val="18"/>
                <w:szCs w:val="18"/>
              </w:rPr>
              <w:t xml:space="preserve">−0.4 ± 0.4</w:t>
            </w:r>
          </w:p>
        </w:tc>
        <w:tc>
          <w:tcPr>
            <w:vAlign w:val="center"/>
          </w:tcPr>
          <w:p>
            <w:pPr>
              <w:pStyle w:val="Compact"/>
              <w:suppressAutoHyphens/>
              <w:jc w:val="center"/>
            </w:pPr>
            <w:r>
              <w:rPr>
                <w:sz w:val="18"/>
                <w:szCs w:val="18"/>
              </w:rPr>
              <w:t xml:space="preserve">2.80</w:t>
            </w:r>
          </w:p>
        </w:tc>
      </w:tr>
      <w:tr>
        <w:tc>
          <w:tcPr>
            <w:vAlign w:val="center"/>
          </w:tcPr>
          <w:p>
            <w:pPr>
              <w:pStyle w:val="Compact"/>
              <w:suppressAutoHyphens/>
              <w:jc w:val="center"/>
            </w:pPr>
            <w:r>
              <w:rPr>
                <w:sz w:val="18"/>
                <w:szCs w:val="18"/>
              </w:rPr>
              <w:t xml:space="preserve">L16</w:t>
            </w:r>
          </w:p>
        </w:tc>
        <w:tc>
          <w:tcPr>
            <w:vAlign w:val="center"/>
          </w:tcPr>
          <w:p>
            <w:pPr>
              <w:pStyle w:val="Compact"/>
              <w:suppressAutoHyphens/>
              <w:jc w:val="center"/>
            </w:pPr>
            <w:r>
              <w:rPr>
                <w:sz w:val="18"/>
                <w:szCs w:val="18"/>
              </w:rPr>
              <w:t xml:space="preserve">1.995</w:t>
            </w:r>
          </w:p>
        </w:tc>
        <w:tc>
          <w:tcPr>
            <w:vAlign w:val="center"/>
          </w:tcPr>
          <w:p>
            <w:pPr>
              <w:pStyle w:val="Compact"/>
              <w:suppressAutoHyphens/>
              <w:jc w:val="center"/>
            </w:pPr>
            <w:r>
              <w:rPr>
                <w:sz w:val="18"/>
                <w:szCs w:val="18"/>
              </w:rPr>
              <w:t xml:space="preserve">+115.4</w:t>
            </w:r>
          </w:p>
        </w:tc>
        <w:tc>
          <w:tcPr>
            <w:vAlign w:val="center"/>
          </w:tcPr>
          <w:p>
            <w:pPr>
              <w:pStyle w:val="Compact"/>
              <w:suppressAutoHyphens/>
              <w:jc w:val="center"/>
            </w:pPr>
            <w:r>
              <w:rPr>
                <w:sz w:val="18"/>
                <w:szCs w:val="18"/>
              </w:rPr>
              <w:t xml:space="preserve">7.50</w:t>
            </w:r>
          </w:p>
        </w:tc>
        <w:tc>
          <w:tcPr>
            <w:vAlign w:val="center"/>
          </w:tcPr>
          <w:p>
            <w:pPr>
              <w:pStyle w:val="Compact"/>
              <w:suppressAutoHyphens/>
              <w:jc w:val="center"/>
            </w:pPr>
            <w:r>
              <w:rPr>
                <w:sz w:val="18"/>
                <w:szCs w:val="18"/>
              </w:rPr>
              <w:t xml:space="preserve">±0.23</w:t>
            </w:r>
          </w:p>
        </w:tc>
        <w:tc>
          <w:tcPr>
            <w:vAlign w:val="center"/>
          </w:tcPr>
          <w:p>
            <w:pPr>
              <w:pStyle w:val="Compact"/>
              <w:suppressAutoHyphens/>
              <w:jc w:val="center"/>
            </w:pPr>
            <w:r>
              <w:rPr>
                <w:sz w:val="18"/>
                <w:szCs w:val="18"/>
              </w:rPr>
              <w:t xml:space="preserve">26.5</w:t>
            </w:r>
          </w:p>
        </w:tc>
        <w:tc>
          <w:tcPr>
            <w:vAlign w:val="center"/>
          </w:tcPr>
          <w:p>
            <w:pPr>
              <w:pStyle w:val="Compact"/>
              <w:suppressAutoHyphens/>
              <w:jc w:val="center"/>
            </w:pPr>
            <w:r>
              <w:rPr>
                <w:sz w:val="18"/>
                <w:szCs w:val="18"/>
              </w:rPr>
              <w:t xml:space="preserve">±2.2</w:t>
            </w:r>
          </w:p>
        </w:tc>
        <w:tc>
          <w:tcPr>
            <w:vAlign w:val="center"/>
          </w:tcPr>
          <w:p>
            <w:pPr>
              <w:pStyle w:val="Compact"/>
              <w:suppressAutoHyphens/>
              <w:jc w:val="center"/>
            </w:pPr>
            <w:r>
              <w:rPr>
                <w:sz w:val="18"/>
                <w:szCs w:val="18"/>
              </w:rPr>
              <w:t xml:space="preserve">−0.4 ± 0.4</w:t>
            </w:r>
          </w:p>
        </w:tc>
        <w:tc>
          <w:tcPr>
            <w:vAlign w:val="center"/>
          </w:tcPr>
          <w:p>
            <w:pPr>
              <w:pStyle w:val="Compact"/>
              <w:suppressAutoHyphens/>
              <w:jc w:val="center"/>
            </w:pPr>
            <w:r>
              <w:rPr>
                <w:sz w:val="18"/>
                <w:szCs w:val="18"/>
              </w:rPr>
              <w:t xml:space="preserve">2.71</w:t>
            </w:r>
          </w:p>
        </w:tc>
      </w:tr>
      <w:tr>
        <w:tc>
          <w:tcPr>
            <w:vAlign w:val="center"/>
          </w:tcPr>
          <w:p>
            <w:pPr>
              <w:pStyle w:val="Compact"/>
              <w:suppressAutoHyphens/>
              <w:jc w:val="center"/>
            </w:pPr>
            <w:r>
              <w:rPr>
                <w:sz w:val="18"/>
                <w:szCs w:val="18"/>
              </w:rPr>
              <w:t xml:space="preserve">L18</w:t>
            </w:r>
          </w:p>
        </w:tc>
        <w:tc>
          <w:tcPr>
            <w:vAlign w:val="center"/>
          </w:tcPr>
          <w:p>
            <w:pPr>
              <w:pStyle w:val="Compact"/>
              <w:suppressAutoHyphens/>
              <w:jc w:val="center"/>
            </w:pPr>
            <w:r>
              <w:rPr>
                <w:sz w:val="18"/>
                <w:szCs w:val="18"/>
              </w:rPr>
              <w:t xml:space="preserve">1.839</w:t>
            </w:r>
          </w:p>
        </w:tc>
        <w:tc>
          <w:tcPr>
            <w:vAlign w:val="center"/>
          </w:tcPr>
          <w:p>
            <w:pPr>
              <w:pStyle w:val="Compact"/>
              <w:suppressAutoHyphens/>
              <w:jc w:val="center"/>
            </w:pPr>
            <w:r>
              <w:rPr>
                <w:sz w:val="18"/>
                <w:szCs w:val="18"/>
              </w:rPr>
              <w:t xml:space="preserve">+182.1</w:t>
            </w:r>
          </w:p>
        </w:tc>
        <w:tc>
          <w:tcPr>
            <w:vAlign w:val="center"/>
          </w:tcPr>
          <w:p>
            <w:pPr>
              <w:pStyle w:val="Compact"/>
              <w:suppressAutoHyphens/>
              <w:jc w:val="center"/>
            </w:pPr>
            <w:r>
              <w:rPr>
                <w:sz w:val="18"/>
                <w:szCs w:val="18"/>
              </w:rPr>
              <w:t xml:space="preserve">7.09</w:t>
            </w:r>
          </w:p>
        </w:tc>
        <w:tc>
          <w:tcPr>
            <w:vAlign w:val="center"/>
          </w:tcPr>
          <w:p>
            <w:pPr>
              <w:pStyle w:val="Compact"/>
              <w:suppressAutoHyphens/>
              <w:jc w:val="center"/>
            </w:pPr>
            <w:r>
              <w:rPr>
                <w:sz w:val="18"/>
                <w:szCs w:val="18"/>
              </w:rPr>
              <w:t xml:space="preserve">±0.23</w:t>
            </w:r>
          </w:p>
        </w:tc>
        <w:tc>
          <w:tcPr>
            <w:vAlign w:val="center"/>
          </w:tcPr>
          <w:p>
            <w:pPr>
              <w:pStyle w:val="Compact"/>
              <w:suppressAutoHyphens/>
              <w:jc w:val="center"/>
            </w:pPr>
            <w:r>
              <w:rPr>
                <w:sz w:val="18"/>
                <w:szCs w:val="18"/>
              </w:rPr>
              <w:t xml:space="preserve">22.6</w:t>
            </w:r>
          </w:p>
        </w:tc>
        <w:tc>
          <w:tcPr>
            <w:vAlign w:val="center"/>
          </w:tcPr>
          <w:p>
            <w:pPr>
              <w:pStyle w:val="Compact"/>
              <w:suppressAutoHyphens/>
              <w:jc w:val="center"/>
            </w:pPr>
            <w:r>
              <w:rPr>
                <w:sz w:val="18"/>
                <w:szCs w:val="18"/>
              </w:rPr>
              <w:t xml:space="preserve">±2.0</w:t>
            </w:r>
          </w:p>
        </w:tc>
        <w:tc>
          <w:tcPr>
            <w:vAlign w:val="center"/>
          </w:tcPr>
          <w:p>
            <w:pPr>
              <w:pStyle w:val="Compact"/>
              <w:suppressAutoHyphens/>
              <w:jc w:val="center"/>
            </w:pPr>
            <w:r>
              <w:rPr>
                <w:sz w:val="18"/>
                <w:szCs w:val="18"/>
              </w:rPr>
              <w:t xml:space="preserve">−0.5 ± 0.4</w:t>
            </w:r>
          </w:p>
        </w:tc>
        <w:tc>
          <w:tcPr>
            <w:vAlign w:val="center"/>
          </w:tcPr>
          <w:p>
            <w:pPr>
              <w:pStyle w:val="Compact"/>
              <w:suppressAutoHyphens/>
              <w:jc w:val="center"/>
            </w:pPr>
            <w:r>
              <w:rPr>
                <w:sz w:val="18"/>
                <w:szCs w:val="18"/>
              </w:rPr>
              <w:t xml:space="preserve">2.72</w:t>
            </w:r>
          </w:p>
        </w:tc>
      </w:tr>
      <w:tr>
        <w:tc>
          <w:tcPr>
            <w:vAlign w:val="center"/>
          </w:tcPr>
          <w:p>
            <w:pPr>
              <w:pStyle w:val="Compact"/>
              <w:suppressAutoHyphens/>
              <w:jc w:val="center"/>
            </w:pPr>
            <w:r>
              <w:rPr>
                <w:sz w:val="18"/>
                <w:szCs w:val="18"/>
              </w:rPr>
              <w:t xml:space="preserve">L19</w:t>
            </w:r>
          </w:p>
        </w:tc>
        <w:tc>
          <w:tcPr>
            <w:vAlign w:val="center"/>
          </w:tcPr>
          <w:p>
            <w:pPr>
              <w:pStyle w:val="Compact"/>
              <w:suppressAutoHyphens/>
              <w:jc w:val="center"/>
            </w:pPr>
            <w:r>
              <w:rPr>
                <w:sz w:val="18"/>
                <w:szCs w:val="18"/>
              </w:rPr>
              <w:t xml:space="preserve">1.905</w:t>
            </w:r>
          </w:p>
        </w:tc>
        <w:tc>
          <w:tcPr>
            <w:vAlign w:val="center"/>
          </w:tcPr>
          <w:p>
            <w:pPr>
              <w:pStyle w:val="Compact"/>
              <w:suppressAutoHyphens/>
              <w:jc w:val="center"/>
            </w:pPr>
            <w:r>
              <w:rPr>
                <w:sz w:val="18"/>
                <w:szCs w:val="18"/>
              </w:rPr>
              <w:t xml:space="preserve">−373.3</w:t>
            </w:r>
          </w:p>
        </w:tc>
        <w:tc>
          <w:tcPr>
            <w:vAlign w:val="center"/>
          </w:tcPr>
          <w:p>
            <w:pPr>
              <w:pStyle w:val="Compact"/>
              <w:suppressAutoHyphens/>
              <w:jc w:val="center"/>
            </w:pPr>
            <w:r>
              <w:rPr>
                <w:sz w:val="18"/>
                <w:szCs w:val="18"/>
              </w:rPr>
              <w:t xml:space="preserve">7.24</w:t>
            </w:r>
          </w:p>
        </w:tc>
        <w:tc>
          <w:tcPr>
            <w:vAlign w:val="center"/>
          </w:tcPr>
          <w:p>
            <w:pPr>
              <w:pStyle w:val="Compact"/>
              <w:suppressAutoHyphens/>
              <w:jc w:val="center"/>
            </w:pPr>
            <w:r>
              <w:rPr>
                <w:sz w:val="18"/>
                <w:szCs w:val="18"/>
              </w:rPr>
              <w:t xml:space="preserve">±0.33</w:t>
            </w:r>
          </w:p>
        </w:tc>
        <w:tc>
          <w:tcPr>
            <w:vAlign w:val="center"/>
          </w:tcPr>
          <w:p>
            <w:pPr>
              <w:pStyle w:val="Compact"/>
              <w:suppressAutoHyphens/>
              <w:jc w:val="center"/>
            </w:pPr>
            <w:r>
              <w:rPr>
                <w:sz w:val="18"/>
                <w:szCs w:val="18"/>
              </w:rPr>
              <w:t xml:space="preserve">24.0</w:t>
            </w:r>
          </w:p>
        </w:tc>
        <w:tc>
          <w:tcPr>
            <w:vAlign w:val="center"/>
          </w:tcPr>
          <w:p>
            <w:pPr>
              <w:pStyle w:val="Compact"/>
              <w:suppressAutoHyphens/>
              <w:jc w:val="center"/>
            </w:pPr>
            <w:r>
              <w:rPr>
                <w:sz w:val="18"/>
                <w:szCs w:val="18"/>
              </w:rPr>
              <w:t xml:space="preserve">±2.6</w:t>
            </w:r>
          </w:p>
        </w:tc>
        <w:tc>
          <w:tcPr>
            <w:vAlign w:val="center"/>
          </w:tcPr>
          <w:p>
            <w:pPr>
              <w:pStyle w:val="Compact"/>
              <w:suppressAutoHyphens/>
              <w:jc w:val="center"/>
            </w:pPr>
            <w:r>
              <w:rPr>
                <w:sz w:val="18"/>
                <w:szCs w:val="18"/>
              </w:rPr>
              <w:t xml:space="preserve">−0.6 ± 0.4 (high-</w:t>
            </w:r>
            <m:oMath>
              <m:sSub>
                <m:e>
                  <m:r>
                    <w:rPr>
                      <w:sz w:val="18"/>
                      <w:szCs w:val="18"/>
                    </w:rPr>
                    <m:t>f</m:t>
                  </m:r>
                </m:e>
                <m:sub>
                  <m:r>
                    <w:rPr>
                      <w:sz w:val="18"/>
                      <w:szCs w:val="18"/>
                    </w:rPr>
                    <m:t>N</m:t>
                  </m:r>
                </m:sub>
              </m:sSub>
            </m:oMath>
            <w:r>
              <w:rPr>
                <w:sz w:val="18"/>
                <w:szCs w:val="18"/>
              </w:rPr>
              <w:t xml:space="preserve">)</w:t>
            </w:r>
          </w:p>
        </w:tc>
        <w:tc>
          <w:tcPr>
            <w:vAlign w:val="center"/>
          </w:tcPr>
          <w:p>
            <w:pPr>
              <w:pStyle w:val="Compact"/>
              <w:suppressAutoHyphens/>
              <w:jc w:val="center"/>
            </w:pPr>
            <w:r>
              <w:rPr>
                <w:sz w:val="18"/>
                <w:szCs w:val="18"/>
              </w:rPr>
              <w:t xml:space="preserve">2.71</w:t>
            </w:r>
          </w:p>
        </w:tc>
      </w:tr>
      <w:tr>
        <w:tc>
          <w:tcPr>
            <w:vAlign w:val="center"/>
          </w:tcPr>
          <w:p>
            <w:pPr>
              <w:pStyle w:val="Compact"/>
              <w:suppressAutoHyphens/>
              <w:jc w:val="center"/>
            </w:pPr>
            <w:r>
              <w:rPr>
                <w:sz w:val="18"/>
                <w:szCs w:val="18"/>
              </w:rPr>
              <w:t xml:space="preserve">L20</w:t>
            </w:r>
          </w:p>
        </w:tc>
        <w:tc>
          <w:tcPr>
            <w:vAlign w:val="center"/>
          </w:tcPr>
          <w:p>
            <w:pPr>
              <w:pStyle w:val="Compact"/>
              <w:suppressAutoHyphens/>
              <w:jc w:val="center"/>
            </w:pPr>
            <w:r>
              <w:rPr>
                <w:sz w:val="18"/>
                <w:szCs w:val="18"/>
              </w:rPr>
              <w:t xml:space="preserve">1.983</w:t>
            </w:r>
          </w:p>
        </w:tc>
        <w:tc>
          <w:tcPr>
            <w:vAlign w:val="center"/>
          </w:tcPr>
          <w:p>
            <w:pPr>
              <w:pStyle w:val="Compact"/>
              <w:suppressAutoHyphens/>
              <w:jc w:val="center"/>
            </w:pPr>
            <w:r>
              <w:rPr>
                <w:sz w:val="18"/>
                <w:szCs w:val="18"/>
              </w:rPr>
              <w:t xml:space="preserve">−12.0</w:t>
            </w:r>
          </w:p>
        </w:tc>
        <w:tc>
          <w:tcPr>
            <w:vAlign w:val="center"/>
          </w:tcPr>
          <w:p>
            <w:pPr>
              <w:pStyle w:val="Compact"/>
              <w:suppressAutoHyphens/>
              <w:jc w:val="center"/>
            </w:pPr>
            <w:r>
              <w:rPr>
                <w:sz w:val="18"/>
                <w:szCs w:val="18"/>
              </w:rPr>
              <w:t xml:space="preserve">7.41</w:t>
            </w:r>
          </w:p>
        </w:tc>
        <w:tc>
          <w:tcPr>
            <w:vAlign w:val="center"/>
          </w:tcPr>
          <w:p>
            <w:pPr>
              <w:pStyle w:val="Compact"/>
              <w:suppressAutoHyphens/>
              <w:jc w:val="center"/>
            </w:pPr>
            <w:r>
              <w:rPr>
                <w:sz w:val="18"/>
                <w:szCs w:val="18"/>
              </w:rPr>
              <w:t xml:space="preserve">±0.23</w:t>
            </w:r>
          </w:p>
        </w:tc>
        <w:tc>
          <w:tcPr>
            <w:vAlign w:val="center"/>
          </w:tcPr>
          <w:p>
            <w:pPr>
              <w:pStyle w:val="Compact"/>
              <w:suppressAutoHyphens/>
              <w:jc w:val="center"/>
            </w:pPr>
            <w:r>
              <w:rPr>
                <w:sz w:val="18"/>
                <w:szCs w:val="18"/>
              </w:rPr>
              <w:t xml:space="preserve">25.8</w:t>
            </w:r>
          </w:p>
        </w:tc>
        <w:tc>
          <w:tcPr>
            <w:vAlign w:val="center"/>
          </w:tcPr>
          <w:p>
            <w:pPr>
              <w:pStyle w:val="Compact"/>
              <w:suppressAutoHyphens/>
              <w:jc w:val="center"/>
            </w:pPr>
            <w:r>
              <w:rPr>
                <w:sz w:val="18"/>
                <w:szCs w:val="18"/>
              </w:rPr>
              <w:t xml:space="preserve">±2.1</w:t>
            </w:r>
          </w:p>
        </w:tc>
        <w:tc>
          <w:tcPr>
            <w:vAlign w:val="center"/>
          </w:tcPr>
          <w:p>
            <w:pPr>
              <w:pStyle w:val="Compact"/>
              <w:suppressAutoHyphens/>
              <w:jc w:val="center"/>
            </w:pPr>
            <w:r>
              <w:rPr>
                <w:sz w:val="18"/>
                <w:szCs w:val="18"/>
              </w:rPr>
              <w:t xml:space="preserve">−0.4 ± 0.4</w:t>
            </w:r>
          </w:p>
        </w:tc>
        <w:tc>
          <w:tcPr>
            <w:vAlign w:val="center"/>
          </w:tcPr>
          <w:p>
            <w:pPr>
              <w:pStyle w:val="Compact"/>
              <w:suppressAutoHyphens/>
              <w:jc w:val="center"/>
            </w:pPr>
            <w:r>
              <w:rPr>
                <w:sz w:val="18"/>
                <w:szCs w:val="18"/>
              </w:rPr>
              <w:t xml:space="preserve">2.69</w:t>
            </w:r>
          </w:p>
        </w:tc>
      </w:tr>
    </w:tbl>
    <w:p>
      <w:pPr>
        <w:pStyle w:val="MDPI31text"/>
        <w:ind w:left="2608"/>
      </w:pPr>
      <w:r>
        <w:rPr>
          <w:b/>
          <w:bCs/>
        </w:rPr>
        <w:t xml:space="preserve">Literature context for L1.</w:t>
      </w:r>
      <w:r>
        <w:t xml:space="preserve"> </w:t>
      </w:r>
      <w:r>
        <w:t xml:space="preserve">The polynitroisoxazole family is established in the energetic-materials literature (</w:t>
      </w:r>
      <w:hyperlink w:anchor="ref-sabatini2016">
        <w:r>
          <w:rPr>
            <w:rStyle w:val="Hyperlink"/>
          </w:rPr>
          <w:t xml:space="preserve">[63]</w:t>
        </w:r>
      </w:hyperlink>
      <w:hyperlink w:anchor="ref-konnov2025nitroisoxazole">
        <w:r>
          <w:rPr>
            <w:rStyle w:val="Hyperlink"/>
          </w:rPr>
          <w:t xml:space="preserve">[64]</w:t>
        </w:r>
      </w:hyperlink>
      <w:r>
        <w:t xml:space="preserve">); the isomeric 3,4,5-trinitro-1</w:t>
      </w:r>
      <w:r>
        <w:rPr>
          <w:i/>
          <w:iCs/>
        </w:rPr>
        <w:t xml:space="preserve">H</w:t>
      </w:r>
      <w:r>
        <w:t xml:space="preserve">-pyrazole</w:t>
      </w:r>
      <w:r>
        <w:t xml:space="preserve"> </w:t>
      </w:r>
      <w:hyperlink w:anchor="ref-herve2010">
        <w:r>
          <w:rPr>
            <w:rStyle w:val="Hyperlink"/>
          </w:rPr>
          <w:t xml:space="preserve">[65]</w:t>
        </w:r>
      </w:hyperlink>
      <w:r>
        <w:t xml:space="preserve"> </w:t>
      </w:r>
      <w:r>
        <w:t xml:space="preserve">is the closest fully-substituted ring previously characterised. The 3,4,5-trinitro-1,2-isoxazole isomer DGLD proposes is absent from the 65 980-row labelled master (max-Tanimoto 0.27) and from PubChem; it is therefore a chemotype-class rediscovery with a positionally novel substitution pattern.</w:t>
      </w:r>
    </w:p>
    <w:p>
      <w:pPr>
        <w:pStyle w:val="MDPI22heading2"/>
        <w:ind w:left="2608"/>
      </w:pPr>
      <w:r>
        <w:t xml:space="preserve">2.4 Novelty, synthesisability, and scaffold diversity</w:t>
      </w:r>
    </w:p>
    <w:p>
      <w:pPr>
        <w:pStyle w:val="MDPI32textnoindent"/>
        <w:ind w:left="2608"/>
      </w:pPr>
      <w:r>
        <w:t xml:space="preserve">Three audits frame the merged top-100 against PubChem, public USPTO retrosynthesis templates, and a scaffold-distinct E-set extension. A scaffold-diversity audit shows DGLD spans a chemotype distribution (the scaffold-distinct E-set extension, E1–E10: 10 DFT-validated candidates (7 novel, 3 known) / 8 Bemis–Murcko scaffolds / 7 families), not a single isoxazole hit.</w:t>
      </w:r>
    </w:p>
    <w:p>
      <w:pPr>
        <w:pStyle w:val="MDPI23heading3"/>
        <w:ind w:left="2608"/>
      </w:pPr>
      <w:r>
        <w:t xml:space="preserve">Novelty audit</w:t>
      </w:r>
    </w:p>
    <w:p>
      <w:pPr>
        <w:pStyle w:val="MDPI32textnoindent"/>
        <w:ind w:left="2608"/>
      </w:pPr>
      <w:r>
        <w:t xml:space="preserve">Of the merged top-100,</w:t>
      </w:r>
      <w:r>
        <w:t xml:space="preserve"> </w:t>
      </w:r>
      <w:r>
        <w:rPr>
          <w:b/>
          <w:bCs/>
        </w:rPr>
        <w:t xml:space="preserve">96/97 are absent from PubChem</w:t>
      </w:r>
      <w:r>
        <w:t xml:space="preserve"> </w:t>
      </w:r>
      <w:hyperlink w:anchor="ref-kim2023pubchem">
        <w:r>
          <w:rPr>
            <w:rStyle w:val="Hyperlink"/>
          </w:rPr>
          <w:t xml:space="preserve">[66]</w:t>
        </w:r>
      </w:hyperlink>
      <w:r>
        <w:t xml:space="preserve"> </w:t>
      </w:r>
      <w:r>
        <w:t xml:space="preserve">(PUG REST on canonical SMILES; 3 transient REST errors excluded; the one rediscovery is 1-nitro-1H-tetrazol-1-amine at rank 56). Independently,</w:t>
      </w:r>
      <w:r>
        <w:t xml:space="preserve"> </w:t>
      </w:r>
      <w:r>
        <w:rPr>
          <w:b/>
          <w:bCs/>
        </w:rPr>
        <w:t xml:space="preserve">97/100 have no near-neighbour above Tanimoto 0.55 in the 65 980-row labelled master</w:t>
      </w:r>
      <w:r>
        <w:t xml:space="preserve"> </w:t>
      </w:r>
      <w:r>
        <w:t xml:space="preserve">(Table 3); of the three that do (dinitramide, 1,2-dinitrohydrazine, N,N′-dinitrocarbodiimide), one is an exact match, and all three are established high-density CHNO motifs the model recovers. Novelty here is assessed against PubChem, the SureChEMBL patent corpus, and the labelled master; all eleven leads are absent from these sources, though a full CAS Registry (SciFinder) check is recommended before a formal novelty claim.</w:t>
      </w:r>
      <w:r>
        <w:t xml:space="preserve"> </w:t>
      </w:r>
      <w:r>
        <w:rPr>
          <w:b/>
          <w:bCs/>
        </w:rPr>
        <w:t xml:space="preserve">Zero of the 100 candidates lie within Tanimoto 0.70 of any augmented-corpus row, and zero are exact matches in the 694 518-row augmented corpus</w:t>
      </w:r>
      <w:r>
        <w:t xml:space="preserve"> </w:t>
      </w:r>
      <w:r>
        <w:t xml:space="preserve">(Table 3); the candidates are</w:t>
      </w:r>
      <w:r>
        <w:t xml:space="preserve"> </w:t>
      </w:r>
      <w:r>
        <w:rPr>
          <w:i/>
          <w:iCs/>
        </w:rPr>
        <w:t xml:space="preserve">more</w:t>
      </w:r>
      <w:r>
        <w:t xml:space="preserve"> </w:t>
      </w:r>
      <w:r>
        <w:t xml:space="preserve">distant from the augmented corpus than from the labelled master alone, despite the augmented corpus being &gt;10× larger. The strengthened SMARTS catalog (N-nitroimines and open-chain polyazene/azo-nitro motifs) retains 77/100 of the merged top-100; the rank-1 trinitro-isoxazole survives (per-class breakdown in Supplementary Section D.7). Applied to the DFT-audited set, this strengthened gate flags one N-nitroimine (oxime-nitrate-imidazoline) that the production SMARTS gate passes; it is tabulated as reference R2 (Table S8), not a chem-pass lead, so the confirmed set is 11 leads (10 unique).</w:t>
      </w:r>
    </w:p>
    <w:p>
      <w:pPr>
        <w:pStyle w:val="MDPI41tablecaption"/>
        <w:ind w:left="2608"/>
      </w:pPr>
      <w:r>
        <w:rPr>
          <w:b/>
          <w:bCs/>
        </w:rPr>
        <w:t xml:space="preserve">Table 3.</w:t>
      </w:r>
      <w:r>
        <w:t xml:space="preserve"> </w:t>
      </w:r>
      <w:r>
        <w:t xml:space="preserve">Stratified novelty of the merged top-100 against the 65 980-row labelled master and the 694 518-row augmented training corpus. Max Tanimoto on Morgan FP (radius 2, 2048 bits) per candidate against every reference row.</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737"/>
        <w:gridCol w:w="691"/>
        <w:gridCol w:w="1426"/>
        <w:gridCol w:w="799"/>
        <w:gridCol w:w="1160"/>
        <w:gridCol w:w="1160"/>
        <w:gridCol w:w="885"/>
      </w:tblGrid>
      <w:tr>
        <w:trPr>
          <w:tblHeader w:val="on"/>
        </w:trPr>
        <w:tc>
          <w:tcPr>
            <w:tcBorders>
              <w:bottom w:val="single" w:sz="8" w:space="0" w:color="auto"/>
            </w:tcBorders>
            <w:vAlign w:val="center"/>
          </w:tcPr>
          <w:p>
            <w:pPr>
              <w:pStyle w:val="Compact"/>
              <w:suppressAutoHyphens/>
              <w:jc w:val="center"/>
            </w:pPr>
            <w:r>
              <w:rPr>
                <w:b/>
                <w:sz w:val="18"/>
                <w:szCs w:val="18"/>
              </w:rPr>
              <w:t xml:space="preserve">Reference set</w:t>
            </w:r>
          </w:p>
        </w:tc>
        <w:tc>
          <w:tcPr>
            <w:tcBorders>
              <w:bottom w:val="single" w:sz="8" w:space="0" w:color="auto"/>
            </w:tcBorders>
            <w:vAlign w:val="center"/>
          </w:tcPr>
          <w:p>
            <w:pPr>
              <w:pStyle w:val="Compact"/>
              <w:suppressAutoHyphens/>
              <w:jc w:val="center"/>
            </w:pPr>
            <w:r>
              <w:rPr>
                <w:b/>
                <w:sz w:val="18"/>
                <w:szCs w:val="18"/>
              </w:rPr>
              <w:t xml:space="preserve">Size</w:t>
            </w:r>
          </w:p>
        </w:tc>
        <w:tc>
          <w:tcPr>
            <w:tcBorders>
              <w:bottom w:val="single" w:sz="8" w:space="0" w:color="auto"/>
            </w:tcBorders>
            <w:vAlign w:val="center"/>
          </w:tcPr>
          <w:p>
            <w:pPr>
              <w:pStyle w:val="Compact"/>
              <w:suppressAutoHyphens/>
              <w:jc w:val="center"/>
            </w:pPr>
            <w:r>
              <w:rPr>
                <w:b/>
                <w:sz w:val="18"/>
                <w:szCs w:val="18"/>
              </w:rPr>
              <w:t xml:space="preserve">Median NN-Tanimoto</w:t>
            </w:r>
          </w:p>
        </w:tc>
        <w:tc>
          <w:tcPr>
            <w:tcBorders>
              <w:bottom w:val="single" w:sz="8" w:space="0" w:color="auto"/>
            </w:tcBorders>
            <w:vAlign w:val="center"/>
          </w:tcPr>
          <w:p>
            <w:pPr>
              <w:pStyle w:val="Compact"/>
              <w:suppressAutoHyphens/>
              <w:jc w:val="center"/>
            </w:pPr>
            <w:r>
              <w:rPr>
                <w:b/>
                <w:sz w:val="18"/>
                <w:szCs w:val="18"/>
              </w:rPr>
              <w:t xml:space="preserve">p25 / p75</w:t>
            </w:r>
          </w:p>
        </w:tc>
        <w:tc>
          <w:tcPr>
            <w:tcBorders>
              <w:bottom w:val="single" w:sz="8" w:space="0" w:color="auto"/>
            </w:tcBorders>
            <w:vAlign w:val="center"/>
          </w:tcPr>
          <w:p>
            <w:pPr>
              <w:pStyle w:val="Compact"/>
              <w:suppressAutoHyphens/>
              <w:jc w:val="center"/>
            </w:pPr>
            <w:r>
              <w:rPr>
                <w:b/>
                <w:sz w:val="18"/>
                <w:szCs w:val="18"/>
              </w:rPr>
              <w:t xml:space="preserve">fraction</w:t>
            </w:r>
            <w:r>
              <w:rPr>
                <w:b/>
                <w:sz w:val="18"/>
                <w:szCs w:val="18"/>
              </w:rPr>
              <w:t xml:space="preserve"> </w:t>
            </w:r>
            <m:oMath>
              <m:r>
                <w:rPr>
                  <w:sz w:val="18"/>
                  <w:szCs w:val="18"/>
                </w:rPr>
                <m:rPr>
                  <m:sty m:val="p"/>
                </m:rPr>
                <m:t>&gt;</m:t>
              </m:r>
              <m:r>
                <w:rPr>
                  <w:sz w:val="18"/>
                  <w:szCs w:val="18"/>
                </w:rPr>
                <m:t>0.55</m:t>
              </m:r>
            </m:oMath>
          </w:p>
        </w:tc>
        <w:tc>
          <w:tcPr>
            <w:tcBorders>
              <w:bottom w:val="single" w:sz="8" w:space="0" w:color="auto"/>
            </w:tcBorders>
            <w:vAlign w:val="center"/>
          </w:tcPr>
          <w:p>
            <w:pPr>
              <w:pStyle w:val="Compact"/>
              <w:suppressAutoHyphens/>
              <w:jc w:val="center"/>
            </w:pPr>
            <w:r>
              <w:rPr>
                <w:b/>
                <w:sz w:val="18"/>
                <w:szCs w:val="18"/>
              </w:rPr>
              <w:t xml:space="preserve">fraction</w:t>
            </w:r>
            <w:r>
              <w:rPr>
                <w:b/>
                <w:sz w:val="18"/>
                <w:szCs w:val="18"/>
              </w:rPr>
              <w:t xml:space="preserve"> </w:t>
            </w:r>
            <m:oMath>
              <m:r>
                <w:rPr>
                  <w:sz w:val="18"/>
                  <w:szCs w:val="18"/>
                </w:rPr>
                <m:rPr>
                  <m:sty m:val="p"/>
                </m:rPr>
                <m:t>&gt;</m:t>
              </m:r>
              <m:r>
                <w:rPr>
                  <w:sz w:val="18"/>
                  <w:szCs w:val="18"/>
                </w:rPr>
                <m:t>0.70</m:t>
              </m:r>
            </m:oMath>
          </w:p>
        </w:tc>
        <w:tc>
          <w:tcPr>
            <w:tcBorders>
              <w:bottom w:val="single" w:sz="8" w:space="0" w:color="auto"/>
            </w:tcBorders>
            <w:vAlign w:val="center"/>
          </w:tcPr>
          <w:p>
            <w:pPr>
              <w:pStyle w:val="Compact"/>
              <w:suppressAutoHyphens/>
              <w:jc w:val="center"/>
            </w:pPr>
            <w:r>
              <w:rPr>
                <w:b/>
                <w:sz w:val="18"/>
                <w:szCs w:val="18"/>
              </w:rPr>
              <w:t xml:space="preserve">exact match</w:t>
            </w:r>
          </w:p>
        </w:tc>
      </w:tr>
      <w:tr>
        <w:tc>
          <w:tcPr>
            <w:vAlign w:val="center"/>
          </w:tcPr>
          <w:p>
            <w:pPr>
              <w:pStyle w:val="Compact"/>
              <w:suppressAutoHyphens/>
              <w:jc w:val="center"/>
            </w:pPr>
            <w:r>
              <w:rPr>
                <w:sz w:val="18"/>
                <w:szCs w:val="18"/>
              </w:rPr>
              <w:t xml:space="preserve">Labelled master</w:t>
            </w:r>
          </w:p>
        </w:tc>
        <w:tc>
          <w:tcPr>
            <w:vAlign w:val="center"/>
          </w:tcPr>
          <w:p>
            <w:pPr>
              <w:pStyle w:val="Compact"/>
              <w:suppressAutoHyphens/>
              <w:jc w:val="center"/>
            </w:pPr>
            <w:r>
              <w:rPr>
                <w:sz w:val="18"/>
                <w:szCs w:val="18"/>
              </w:rPr>
              <w:t xml:space="preserve">65 980</w:t>
            </w:r>
          </w:p>
        </w:tc>
        <w:tc>
          <w:tcPr>
            <w:vAlign w:val="center"/>
          </w:tcPr>
          <w:p>
            <w:pPr>
              <w:pStyle w:val="Compact"/>
              <w:suppressAutoHyphens/>
              <w:jc w:val="center"/>
            </w:pPr>
            <w:r>
              <w:rPr>
                <w:sz w:val="18"/>
                <w:szCs w:val="18"/>
              </w:rPr>
              <w:t xml:space="preserve">0.36</w:t>
            </w:r>
          </w:p>
        </w:tc>
        <w:tc>
          <w:tcPr>
            <w:vAlign w:val="center"/>
          </w:tcPr>
          <w:p>
            <w:pPr>
              <w:pStyle w:val="Compact"/>
              <w:suppressAutoHyphens/>
              <w:jc w:val="center"/>
            </w:pPr>
            <w:r>
              <w:rPr>
                <w:sz w:val="18"/>
                <w:szCs w:val="18"/>
              </w:rPr>
              <w:t xml:space="preserve">0.32 / 0.42</w:t>
            </w:r>
          </w:p>
        </w:tc>
        <w:tc>
          <w:tcPr>
            <w:vAlign w:val="center"/>
          </w:tcPr>
          <w:p>
            <w:pPr>
              <w:pStyle w:val="Compact"/>
              <w:suppressAutoHyphens/>
              <w:jc w:val="center"/>
            </w:pPr>
            <w:r>
              <w:rPr>
                <w:sz w:val="18"/>
                <w:szCs w:val="18"/>
              </w:rPr>
              <w:t xml:space="preserve">3 %</w:t>
            </w:r>
          </w:p>
        </w:tc>
        <w:tc>
          <w:tcPr>
            <w:vAlign w:val="center"/>
          </w:tcPr>
          <w:p>
            <w:pPr>
              <w:pStyle w:val="Compact"/>
              <w:suppressAutoHyphens/>
              <w:jc w:val="center"/>
            </w:pPr>
            <w:r>
              <w:rPr>
                <w:sz w:val="18"/>
                <w:szCs w:val="18"/>
              </w:rPr>
              <w:t xml:space="preserve">1 %</w:t>
            </w:r>
          </w:p>
        </w:tc>
        <w:tc>
          <w:tcPr>
            <w:vAlign w:val="center"/>
          </w:tcPr>
          <w:p>
            <w:pPr>
              <w:pStyle w:val="Compact"/>
              <w:suppressAutoHyphens/>
              <w:jc w:val="center"/>
            </w:pPr>
            <w:r>
              <w:rPr>
                <w:sz w:val="18"/>
                <w:szCs w:val="18"/>
              </w:rPr>
              <w:t xml:space="preserve">1 %</w:t>
            </w:r>
          </w:p>
        </w:tc>
      </w:tr>
      <w:tr>
        <w:tc>
          <w:tcPr>
            <w:vAlign w:val="center"/>
          </w:tcPr>
          <w:p>
            <w:pPr>
              <w:pStyle w:val="Compact"/>
              <w:suppressAutoHyphens/>
              <w:jc w:val="center"/>
            </w:pPr>
            <w:r>
              <w:rPr>
                <w:sz w:val="18"/>
                <w:szCs w:val="18"/>
              </w:rPr>
              <w:t xml:space="preserve">Augmented training corpus</w:t>
            </w:r>
          </w:p>
        </w:tc>
        <w:tc>
          <w:tcPr>
            <w:vAlign w:val="center"/>
          </w:tcPr>
          <w:p>
            <w:pPr>
              <w:pStyle w:val="Compact"/>
              <w:suppressAutoHyphens/>
              <w:jc w:val="center"/>
            </w:pPr>
            <w:r>
              <w:rPr>
                <w:sz w:val="18"/>
                <w:szCs w:val="18"/>
              </w:rPr>
              <w:t xml:space="preserve">694 518</w:t>
            </w:r>
          </w:p>
        </w:tc>
        <w:tc>
          <w:tcPr>
            <w:vAlign w:val="center"/>
          </w:tcPr>
          <w:p>
            <w:pPr>
              <w:pStyle w:val="Compact"/>
              <w:suppressAutoHyphens/>
              <w:jc w:val="center"/>
            </w:pPr>
            <w:r>
              <w:rPr>
                <w:b/>
                <w:bCs/>
                <w:sz w:val="18"/>
                <w:szCs w:val="18"/>
              </w:rPr>
              <w:t xml:space="preserve">0.32</w:t>
            </w:r>
          </w:p>
        </w:tc>
        <w:tc>
          <w:tcPr>
            <w:vAlign w:val="center"/>
          </w:tcPr>
          <w:p>
            <w:pPr>
              <w:pStyle w:val="Compact"/>
              <w:suppressAutoHyphens/>
              <w:jc w:val="center"/>
            </w:pPr>
            <w:r>
              <w:rPr>
                <w:sz w:val="18"/>
                <w:szCs w:val="18"/>
              </w:rPr>
              <w:t xml:space="preserve">0.29 / 0.38</w:t>
            </w:r>
          </w:p>
        </w:tc>
        <w:tc>
          <w:tcPr>
            <w:vAlign w:val="center"/>
          </w:tcPr>
          <w:p>
            <w:pPr>
              <w:pStyle w:val="Compact"/>
              <w:suppressAutoHyphens/>
              <w:jc w:val="center"/>
            </w:pPr>
            <w:r>
              <w:rPr>
                <w:sz w:val="18"/>
                <w:szCs w:val="18"/>
              </w:rPr>
              <w:t xml:space="preserve">1 %</w:t>
            </w:r>
          </w:p>
        </w:tc>
        <w:tc>
          <w:tcPr>
            <w:vAlign w:val="center"/>
          </w:tcPr>
          <w:p>
            <w:pPr>
              <w:pStyle w:val="Compact"/>
              <w:suppressAutoHyphens/>
              <w:jc w:val="center"/>
            </w:pPr>
            <w:r>
              <w:rPr>
                <w:sz w:val="18"/>
                <w:szCs w:val="18"/>
              </w:rPr>
              <w:t xml:space="preserve">0 %</w:t>
            </w:r>
          </w:p>
        </w:tc>
        <w:tc>
          <w:tcPr>
            <w:vAlign w:val="center"/>
          </w:tcPr>
          <w:p>
            <w:pPr>
              <w:pStyle w:val="Compact"/>
              <w:suppressAutoHyphens/>
              <w:jc w:val="center"/>
            </w:pPr>
            <w:r>
              <w:rPr>
                <w:sz w:val="18"/>
                <w:szCs w:val="18"/>
              </w:rPr>
              <w:t xml:space="preserve">0 %</w:t>
            </w:r>
          </w:p>
        </w:tc>
      </w:tr>
    </w:tbl>
    <w:p>
      <w:pPr>
        <w:pStyle w:val="MDPI23heading3"/>
        <w:ind w:left="2608"/>
      </w:pPr>
      <w:r>
        <w:t xml:space="preserve">Retrosynthesis audit</w:t>
      </w:r>
    </w:p>
    <w:p>
      <w:pPr>
        <w:pStyle w:val="MDPI32textnoindent"/>
        <w:ind w:left="2608"/>
      </w:pPr>
      <w:r>
        <w:t xml:space="preserve">AiZynthFinder</w:t>
      </w:r>
      <w:r>
        <w:t xml:space="preserve"> </w:t>
      </w:r>
      <w:hyperlink w:anchor="ref-genheden2020aizynth">
        <w:r>
          <w:rPr>
            <w:rStyle w:val="Hyperlink"/>
          </w:rPr>
          <w:t xml:space="preserve">[61]</w:t>
        </w:r>
      </w:hyperlink>
      <w:r>
        <w:t xml:space="preserve"> </w:t>
      </w:r>
      <w:r>
        <w:t xml:space="preserve">with public USPTO expansion + filter policies and the ZINC in-stock catalog (200 MCTS iter, 300 s/target) was applied to L1, L4, L5 and then extended to the remaining eight chem-pass leads.</w:t>
      </w:r>
      <w:r>
        <w:t xml:space="preserve"> </w:t>
      </w:r>
      <w:r>
        <w:rPr>
          <w:b/>
          <w:bCs/>
        </w:rPr>
        <w:t xml:space="preserve">L1 returns 9 productive routes; the top route is 4 steps with state score 0.50</w:t>
      </w:r>
      <w:r>
        <w:t xml:space="preserve"> </w:t>
      </w:r>
      <w:r>
        <w:t xml:space="preserve">(Table 4). L4, L5, and the eight extension leads return zero productive routes within budget; reproduced at 5× budget (1000 MCTS iter, 1800 s) on L4/L5. The L1 disconnection sequence (electrophilic ring-nitration; Boc protection; diphenylphosphoryl azide (DPPA)-mediated Curtius rearrangement on 4,5-dinitro-1,2-isoxazole-3-carboxylic acid), its hazard caveats (acyl-azide intermediate at primary-explosive class), and the ZINC catalog gap on energetic-domain intermediates are documented in Supplementary Section D.14. The 1/11 hit rate quantifies a public-USPTO drug-domain template-database gap, not unsynthesisability of the candidates; an energetics-domain template extension is flagged as community follow-up in Section 3.</w:t>
      </w:r>
    </w:p>
    <w:p>
      <w:pPr>
        <w:pStyle w:val="MDPI41tablecaption"/>
        <w:ind w:left="2608"/>
      </w:pPr>
      <w:r>
        <w:rPr>
          <w:b/>
          <w:bCs/>
        </w:rPr>
        <w:t xml:space="preserve">Table 4.</w:t>
      </w:r>
      <w:r>
        <w:t xml:space="preserve"> </w:t>
      </w:r>
      <w:r>
        <w:t xml:space="preserve">AiZynthFinder retrosynthetic search on three representative leads (L1 aromatic, L4 5-ring N-rich, L5 open-chain), 200 MCTS iterations / 300 s, USPTO templates + ZINC in-stock catalog. State score 0.049 = "target node only" baseline.</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497"/>
        <w:gridCol w:w="2374"/>
        <w:gridCol w:w="2071"/>
        <w:gridCol w:w="1587"/>
        <w:gridCol w:w="1329"/>
      </w:tblGrid>
      <w:tr>
        <w:trPr>
          <w:tblHeader w:val="on"/>
        </w:trPr>
        <w:tc>
          <w:tcPr>
            <w:tcBorders>
              <w:bottom w:val="single" w:sz="8" w:space="0" w:color="auto"/>
            </w:tcBorders>
            <w:vAlign w:val="center"/>
          </w:tcPr>
          <w:p>
            <w:pPr>
              <w:pStyle w:val="Compact"/>
              <w:suppressAutoHyphens/>
              <w:jc w:val="center"/>
            </w:pPr>
            <w:r>
              <w:rPr>
                <w:b/>
                <w:sz w:val="18"/>
                <w:szCs w:val="18"/>
              </w:rPr>
              <w:t xml:space="preserve">ID</w:t>
            </w:r>
          </w:p>
        </w:tc>
        <w:tc>
          <w:tcPr>
            <w:tcBorders>
              <w:bottom w:val="single" w:sz="8" w:space="0" w:color="auto"/>
            </w:tcBorders>
            <w:vAlign w:val="center"/>
          </w:tcPr>
          <w:p>
            <w:pPr>
              <w:pStyle w:val="Compact"/>
              <w:suppressAutoHyphens/>
              <w:jc w:val="center"/>
            </w:pPr>
            <w:r>
              <w:rPr>
                <w:b/>
                <w:sz w:val="18"/>
                <w:szCs w:val="18"/>
              </w:rPr>
              <w:t xml:space="preserve">Scaffold</w:t>
            </w:r>
          </w:p>
        </w:tc>
        <w:tc>
          <w:tcPr>
            <w:tcBorders>
              <w:bottom w:val="single" w:sz="8" w:space="0" w:color="auto"/>
            </w:tcBorders>
            <w:vAlign w:val="center"/>
          </w:tcPr>
          <w:p>
            <w:pPr>
              <w:pStyle w:val="Compact"/>
              <w:suppressAutoHyphens/>
              <w:jc w:val="center"/>
            </w:pPr>
            <w:r>
              <w:rPr>
                <w:b/>
                <w:sz w:val="18"/>
                <w:szCs w:val="18"/>
              </w:rPr>
              <w:t xml:space="preserve">Routes found</w:t>
            </w:r>
          </w:p>
        </w:tc>
        <w:tc>
          <w:tcPr>
            <w:tcBorders>
              <w:bottom w:val="single" w:sz="8" w:space="0" w:color="auto"/>
            </w:tcBorders>
            <w:vAlign w:val="center"/>
          </w:tcPr>
          <w:p>
            <w:pPr>
              <w:pStyle w:val="Compact"/>
              <w:suppressAutoHyphens/>
              <w:jc w:val="center"/>
            </w:pPr>
            <w:r>
              <w:rPr>
                <w:b/>
                <w:sz w:val="18"/>
                <w:szCs w:val="18"/>
              </w:rPr>
              <w:t xml:space="preserve">Top-route steps</w:t>
            </w:r>
          </w:p>
        </w:tc>
        <w:tc>
          <w:tcPr>
            <w:tcBorders>
              <w:bottom w:val="single" w:sz="8" w:space="0" w:color="auto"/>
            </w:tcBorders>
            <w:vAlign w:val="center"/>
          </w:tcPr>
          <w:p>
            <w:pPr>
              <w:pStyle w:val="Compact"/>
              <w:suppressAutoHyphens/>
              <w:jc w:val="center"/>
            </w:pPr>
            <w:r>
              <w:rPr>
                <w:b/>
                <w:sz w:val="18"/>
                <w:szCs w:val="18"/>
              </w:rPr>
              <w:t xml:space="preserve">State score</w:t>
            </w:r>
          </w:p>
        </w:tc>
      </w:tr>
      <w:tr>
        <w:tc>
          <w:tcPr>
            <w:vAlign w:val="center"/>
          </w:tcPr>
          <w:p>
            <w:pPr>
              <w:pStyle w:val="Compact"/>
              <w:suppressAutoHyphens/>
              <w:jc w:val="center"/>
            </w:pPr>
            <w:r>
              <w:rPr>
                <w:sz w:val="18"/>
                <w:szCs w:val="18"/>
              </w:rPr>
              <w:t xml:space="preserve">L1</w:t>
            </w:r>
          </w:p>
        </w:tc>
        <w:tc>
          <w:tcPr>
            <w:vAlign w:val="center"/>
          </w:tcPr>
          <w:p>
            <w:pPr>
              <w:pStyle w:val="Compact"/>
              <w:suppressAutoHyphens/>
              <w:jc w:val="center"/>
            </w:pPr>
            <w:r>
              <w:rPr>
                <w:sz w:val="18"/>
                <w:szCs w:val="18"/>
              </w:rPr>
              <w:t xml:space="preserve">aromatic isoxazole</w:t>
            </w:r>
          </w:p>
        </w:tc>
        <w:tc>
          <w:tcPr>
            <w:vAlign w:val="center"/>
          </w:tcPr>
          <w:p>
            <w:pPr>
              <w:pStyle w:val="Compact"/>
              <w:suppressAutoHyphens/>
              <w:jc w:val="center"/>
            </w:pPr>
            <w:r>
              <w:rPr>
                <w:b/>
                <w:bCs/>
                <w:sz w:val="18"/>
                <w:szCs w:val="18"/>
              </w:rPr>
              <w:t xml:space="preserve">9</w:t>
            </w:r>
          </w:p>
        </w:tc>
        <w:tc>
          <w:tcPr>
            <w:vAlign w:val="center"/>
          </w:tcPr>
          <w:p>
            <w:pPr>
              <w:pStyle w:val="Compact"/>
              <w:suppressAutoHyphens/>
              <w:jc w:val="center"/>
            </w:pPr>
            <w:r>
              <w:rPr>
                <w:sz w:val="18"/>
                <w:szCs w:val="18"/>
              </w:rPr>
              <w:t xml:space="preserve">4</w:t>
            </w:r>
          </w:p>
        </w:tc>
        <w:tc>
          <w:tcPr>
            <w:vAlign w:val="center"/>
          </w:tcPr>
          <w:p>
            <w:pPr>
              <w:pStyle w:val="Compact"/>
              <w:suppressAutoHyphens/>
              <w:jc w:val="center"/>
            </w:pPr>
            <w:r>
              <w:rPr>
                <w:sz w:val="18"/>
                <w:szCs w:val="18"/>
              </w:rPr>
              <w:t xml:space="preserve">0.50</w:t>
            </w:r>
          </w:p>
        </w:tc>
      </w:tr>
      <w:tr>
        <w:tc>
          <w:tcPr>
            <w:vAlign w:val="center"/>
          </w:tcPr>
          <w:p>
            <w:pPr>
              <w:pStyle w:val="Compact"/>
              <w:suppressAutoHyphens/>
              <w:jc w:val="center"/>
            </w:pPr>
            <w:r>
              <w:rPr>
                <w:sz w:val="18"/>
                <w:szCs w:val="18"/>
              </w:rPr>
              <w:t xml:space="preserve">L4</w:t>
            </w:r>
          </w:p>
        </w:tc>
        <w:tc>
          <w:tcPr>
            <w:vAlign w:val="center"/>
          </w:tcPr>
          <w:p>
            <w:pPr>
              <w:pStyle w:val="Compact"/>
              <w:suppressAutoHyphens/>
              <w:jc w:val="center"/>
            </w:pPr>
            <w:r>
              <w:rPr>
                <w:sz w:val="18"/>
                <w:szCs w:val="18"/>
              </w:rPr>
              <w:t xml:space="preserve">tetrazoline nitramine</w:t>
            </w:r>
          </w:p>
        </w:tc>
        <w:tc>
          <w:tcPr>
            <w:vAlign w:val="center"/>
          </w:tcPr>
          <w:p>
            <w:pPr>
              <w:pStyle w:val="Compact"/>
              <w:suppressAutoHyphens/>
              <w:jc w:val="center"/>
            </w:pPr>
            <w:r>
              <w:rPr>
                <w:sz w:val="18"/>
                <w:szCs w:val="18"/>
              </w:rPr>
              <w:t xml:space="preserve">0 (only target node)</w:t>
            </w:r>
          </w:p>
        </w:tc>
        <w:tc>
          <w:tcPr>
            <w:vAlign w:val="center"/>
          </w:tcPr>
          <w:p>
            <w:pPr>
              <w:pStyle w:val="Compact"/>
              <w:suppressAutoHyphens/>
              <w:jc w:val="center"/>
            </w:pPr>
            <w:r>
              <w:rPr>
                <w:sz w:val="18"/>
                <w:szCs w:val="18"/>
              </w:rPr>
              <w:t xml:space="preserve">n/a</w:t>
            </w:r>
          </w:p>
        </w:tc>
        <w:tc>
          <w:tcPr>
            <w:vAlign w:val="center"/>
          </w:tcPr>
          <w:p>
            <w:pPr>
              <w:pStyle w:val="Compact"/>
              <w:suppressAutoHyphens/>
              <w:jc w:val="center"/>
            </w:pPr>
            <w:r>
              <w:rPr>
                <w:sz w:val="18"/>
                <w:szCs w:val="18"/>
              </w:rPr>
              <w:t xml:space="preserve">0.049</w:t>
            </w:r>
          </w:p>
        </w:tc>
      </w:tr>
      <w:tr>
        <w:tc>
          <w:tcPr>
            <w:vAlign w:val="center"/>
          </w:tcPr>
          <w:p>
            <w:pPr>
              <w:pStyle w:val="Compact"/>
              <w:suppressAutoHyphens/>
              <w:jc w:val="center"/>
            </w:pPr>
            <w:r>
              <w:rPr>
                <w:sz w:val="18"/>
                <w:szCs w:val="18"/>
              </w:rPr>
              <w:t xml:space="preserve">L5</w:t>
            </w:r>
          </w:p>
        </w:tc>
        <w:tc>
          <w:tcPr>
            <w:vAlign w:val="center"/>
          </w:tcPr>
          <w:p>
            <w:pPr>
              <w:pStyle w:val="Compact"/>
              <w:suppressAutoHyphens/>
              <w:jc w:val="center"/>
            </w:pPr>
            <w:r>
              <w:rPr>
                <w:sz w:val="18"/>
                <w:szCs w:val="18"/>
              </w:rPr>
              <w:t xml:space="preserve">acyl oxime nitrate</w:t>
            </w:r>
          </w:p>
        </w:tc>
        <w:tc>
          <w:tcPr>
            <w:vAlign w:val="center"/>
          </w:tcPr>
          <w:p>
            <w:pPr>
              <w:pStyle w:val="Compact"/>
              <w:suppressAutoHyphens/>
              <w:jc w:val="center"/>
            </w:pPr>
            <w:r>
              <w:rPr>
                <w:sz w:val="18"/>
                <w:szCs w:val="18"/>
              </w:rPr>
              <w:t xml:space="preserve">0 (only target node)</w:t>
            </w:r>
          </w:p>
        </w:tc>
        <w:tc>
          <w:tcPr>
            <w:vAlign w:val="center"/>
          </w:tcPr>
          <w:p>
            <w:pPr>
              <w:pStyle w:val="Compact"/>
              <w:suppressAutoHyphens/>
              <w:jc w:val="center"/>
            </w:pPr>
            <w:r>
              <w:rPr>
                <w:sz w:val="18"/>
                <w:szCs w:val="18"/>
              </w:rPr>
              <w:t xml:space="preserve">n/a</w:t>
            </w:r>
          </w:p>
        </w:tc>
        <w:tc>
          <w:tcPr>
            <w:vAlign w:val="center"/>
          </w:tcPr>
          <w:p>
            <w:pPr>
              <w:pStyle w:val="Compact"/>
              <w:suppressAutoHyphens/>
              <w:jc w:val="center"/>
            </w:pPr>
            <w:r>
              <w:rPr>
                <w:sz w:val="18"/>
                <w:szCs w:val="18"/>
              </w:rPr>
              <w:t xml:space="preserve">0.049</w:t>
            </w:r>
          </w:p>
        </w:tc>
      </w:tr>
    </w:tbl>
    <w:p>
      <w:pPr>
        <w:pStyle w:val="MDPI23heading3"/>
        <w:ind w:left="2608"/>
      </w:pPr>
      <w:r>
        <w:t xml:space="preserve">E-set scaffold-diversity audit (E1–E10)</w:t>
      </w:r>
    </w:p>
    <w:p>
      <w:pPr>
        <w:pStyle w:val="MDPI32textnoindent"/>
        <w:ind w:left="2608"/>
      </w:pPr>
      <w:r>
        <w:t xml:space="preserve">To probe scaffold diversity beyond the single sampling stream of the L-set, we mined a 500-candidate extension pool from the four sampling runs of Section 2.2 under the same Stage 1 SMARTS gate but with a Tanimoto-NN cap of 0.55 against L1–L20. The 500 SMILES were pre-screened with GFN2-xTB on Modal CPU;</w:t>
      </w:r>
      <w:r>
        <w:t xml:space="preserve"> </w:t>
      </w:r>
      <w:r>
        <w:rPr>
          <w:b/>
          <w:bCs/>
        </w:rPr>
        <w:t xml:space="preserve">10 scaffold-distinct survivors</w:t>
      </w:r>
      <w:r>
        <w:t xml:space="preserve"> </w:t>
      </w:r>
      <w:r>
        <w:t xml:space="preserve">were promoted to A100 DFT under the same protocol used for L1–L20 and post-corrected with the 6-anchor calibration. By Bemis–Murcko bookkeeping the 10 picks span</w:t>
      </w:r>
      <w:r>
        <w:t xml:space="preserve"> </w:t>
      </w:r>
      <w:r>
        <w:rPr>
          <w:b/>
          <w:bCs/>
        </w:rPr>
        <w:t xml:space="preserve">8 distinct scaffolds across 7 chemotype families</w:t>
      </w:r>
      <w:r>
        <w:t xml:space="preserve">: 1,2,3,5-oxatriazole (E1), NH-pyrrole nitroaromatic (E6), acyclic and small-ring nitramines (E2–E4), small-ring nitrate esters (E5, E7), geminal polynitro carbocycle (E8), bare 1H-tetrazole (E9), and nitro-imidazoline (E10); four families (oxatriazole, NH-pyrrole, acyclic nitramine, geminal polynitro carbocycle) are absent from the L-set entirely.</w:t>
      </w:r>
    </w:p>
    <w:p>
      <w:pPr>
        <w:pStyle w:val="MDPI41tablecaption"/>
        <w:ind w:left="2608"/>
      </w:pPr>
      <w:r>
        <w:rPr>
          <w:b/>
          <w:bCs/>
        </w:rPr>
        <w:t xml:space="preserve">Table 5.</w:t>
      </w:r>
      <w:r>
        <w:t xml:space="preserve"> </w:t>
      </w:r>
      <w:r>
        <w:t xml:space="preserve">Extension-set leads: structure and pre-screen. Columns: lead ID, canonical SMILES, chemotype family, molecular formula, atom count (n_atoms), GFN2-xTB HOMO–LUMO gap in eV, and whether the molecular graph is preserved after xTB geometry optimisation (yes/no). See</w:t>
      </w:r>
      <w:r>
        <w:t xml:space="preserve"> </w:t>
      </w:r>
      <w:r>
        <w:rPr>
          <w:vertAlign w:val="superscript"/>
        </w:rPr>
        <w:t xml:space="preserve">†</w:t>
      </w:r>
      <w:r>
        <w:t xml:space="preserve"> </w:t>
      </w:r>
      <w:r>
        <w:t xml:space="preserve">footnote between Tables 5 and 6 for the E2/E9 K-J caveats referenced in Table 6.</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462"/>
        <w:gridCol w:w="2293"/>
        <w:gridCol w:w="1488"/>
        <w:gridCol w:w="1064"/>
        <w:gridCol w:w="831"/>
        <w:gridCol w:w="672"/>
        <w:gridCol w:w="1048"/>
      </w:tblGrid>
      <w:tr>
        <w:trPr>
          <w:tblHeader w:val="on"/>
        </w:trPr>
        <w:tc>
          <w:tcPr>
            <w:tcBorders>
              <w:bottom w:val="single" w:sz="8" w:space="0" w:color="auto"/>
            </w:tcBorders>
            <w:vAlign w:val="center"/>
          </w:tcPr>
          <w:p>
            <w:pPr>
              <w:pStyle w:val="Compact"/>
              <w:suppressAutoHyphens/>
              <w:jc w:val="center"/>
            </w:pPr>
            <w:r>
              <w:rPr>
                <w:b/>
                <w:sz w:val="18"/>
                <w:szCs w:val="18"/>
              </w:rPr>
              <w:t xml:space="preserve">ID</w:t>
            </w:r>
          </w:p>
        </w:tc>
        <w:tc>
          <w:tcPr>
            <w:tcBorders>
              <w:bottom w:val="single" w:sz="8" w:space="0" w:color="auto"/>
            </w:tcBorders>
            <w:vAlign w:val="center"/>
          </w:tcPr>
          <w:p>
            <w:pPr>
              <w:pStyle w:val="Compact"/>
              <w:suppressAutoHyphens/>
              <w:jc w:val="center"/>
            </w:pPr>
            <w:r>
              <w:rPr>
                <w:b/>
                <w:sz w:val="18"/>
                <w:szCs w:val="18"/>
              </w:rPr>
              <w:t xml:space="preserve">SMILES</w:t>
            </w:r>
          </w:p>
        </w:tc>
        <w:tc>
          <w:tcPr>
            <w:tcBorders>
              <w:bottom w:val="single" w:sz="8" w:space="0" w:color="auto"/>
            </w:tcBorders>
            <w:vAlign w:val="center"/>
          </w:tcPr>
          <w:p>
            <w:pPr>
              <w:pStyle w:val="Compact"/>
              <w:suppressAutoHyphens/>
              <w:jc w:val="center"/>
            </w:pPr>
            <w:r>
              <w:rPr>
                <w:b/>
                <w:sz w:val="18"/>
                <w:szCs w:val="18"/>
              </w:rPr>
              <w:t xml:space="preserve">chemotype family</w:t>
            </w:r>
          </w:p>
        </w:tc>
        <w:tc>
          <w:tcPr>
            <w:tcBorders>
              <w:bottom w:val="single" w:sz="8" w:space="0" w:color="auto"/>
            </w:tcBorders>
            <w:vAlign w:val="center"/>
          </w:tcPr>
          <w:p>
            <w:pPr>
              <w:pStyle w:val="Compact"/>
              <w:suppressAutoHyphens/>
              <w:jc w:val="center"/>
            </w:pPr>
            <w:r>
              <w:rPr>
                <w:b/>
                <w:sz w:val="18"/>
                <w:szCs w:val="18"/>
              </w:rPr>
              <w:t xml:space="preserve">formula</w:t>
            </w:r>
          </w:p>
        </w:tc>
        <w:tc>
          <w:tcPr>
            <w:tcBorders>
              <w:bottom w:val="single" w:sz="8" w:space="0" w:color="auto"/>
            </w:tcBorders>
            <w:vAlign w:val="center"/>
          </w:tcPr>
          <w:p>
            <w:pPr>
              <w:pStyle w:val="Compact"/>
              <w:suppressAutoHyphens/>
              <w:jc w:val="center"/>
            </w:pPr>
            <w:r>
              <w:rPr>
                <w:b/>
                <w:sz w:val="18"/>
                <w:szCs w:val="18"/>
              </w:rPr>
              <w:t xml:space="preserve">n_atoms</w:t>
            </w:r>
          </w:p>
        </w:tc>
        <w:tc>
          <w:tcPr>
            <w:tcBorders>
              <w:bottom w:val="single" w:sz="8" w:space="0" w:color="auto"/>
            </w:tcBorders>
            <w:vAlign w:val="center"/>
          </w:tcPr>
          <w:p>
            <w:pPr>
              <w:pStyle w:val="Compact"/>
              <w:suppressAutoHyphens/>
              <w:jc w:val="center"/>
            </w:pPr>
            <w:r>
              <w:rPr>
                <w:b/>
                <w:sz w:val="18"/>
                <w:szCs w:val="18"/>
              </w:rPr>
              <w:t xml:space="preserve">xTB gap (eV)</w:t>
            </w:r>
          </w:p>
        </w:tc>
        <w:tc>
          <w:tcPr>
            <w:tcBorders>
              <w:bottom w:val="single" w:sz="8" w:space="0" w:color="auto"/>
            </w:tcBorders>
            <w:vAlign w:val="center"/>
          </w:tcPr>
          <w:p>
            <w:pPr>
              <w:pStyle w:val="Compact"/>
              <w:suppressAutoHyphens/>
              <w:jc w:val="center"/>
            </w:pPr>
            <w:r>
              <w:rPr>
                <w:b/>
                <w:sz w:val="18"/>
                <w:szCs w:val="18"/>
              </w:rPr>
              <w:t xml:space="preserve">graph unchanged</w:t>
            </w:r>
          </w:p>
        </w:tc>
      </w:tr>
      <w:tr>
        <w:tc>
          <w:tcPr>
            <w:vAlign w:val="center"/>
          </w:tcPr>
          <w:p>
            <w:pPr>
              <w:pStyle w:val="Compact"/>
              <w:suppressAutoHyphens/>
              <w:jc w:val="center"/>
            </w:pPr>
            <w:r>
              <w:rPr>
                <w:sz w:val="18"/>
                <w:szCs w:val="18"/>
              </w:rPr>
              <w:t xml:space="preserve">E1</w:t>
            </w:r>
          </w:p>
        </w:tc>
        <w:tc>
          <w:tcPr>
            <w:vAlign w:val="center"/>
          </w:tcPr>
          <w:p>
            <w:pPr>
              <w:pStyle w:val="Compact"/>
              <w:suppressAutoHyphens/>
              <w:jc w:val="center"/>
            </w:pPr>
            <w:r>
              <w:rPr>
                <w:rStyle w:val="VerbatimChar"/>
                <w:sz w:val="18"/>
                <w:szCs w:val="18"/>
              </w:rPr>
              <w:t xml:space="preserve">O=[N+]([O-])c1nnon1</w:t>
            </w:r>
          </w:p>
        </w:tc>
        <w:tc>
          <w:tcPr>
            <w:vAlign w:val="center"/>
          </w:tcPr>
          <w:p>
            <w:pPr>
              <w:pStyle w:val="Compact"/>
              <w:suppressAutoHyphens/>
              <w:jc w:val="center"/>
            </w:pPr>
            <w:r>
              <w:rPr>
                <w:sz w:val="18"/>
                <w:szCs w:val="18"/>
              </w:rPr>
              <w:t xml:space="preserve">1,2,3,5-oxatriazole</w:t>
            </w:r>
          </w:p>
        </w:tc>
        <w:tc>
          <w:tcPr>
            <w:vAlign w:val="center"/>
          </w:tcPr>
          <w:p>
            <w:pPr>
              <w:pStyle w:val="Compact"/>
              <w:suppressAutoHyphens/>
              <w:jc w:val="center"/>
            </w:pPr>
            <w:r>
              <w:rPr>
                <w:sz w:val="18"/>
                <w:szCs w:val="18"/>
              </w:rPr>
              <w:t xml:space="preserve">C</w:t>
            </w:r>
            <w:r>
              <w:rPr>
                <w:vertAlign w:val="subscript"/>
                <w:sz w:val="18"/>
                <w:szCs w:val="18"/>
              </w:rPr>
              <w:t xml:space="preserve">1</w:t>
            </w:r>
            <w:r>
              <w:rPr>
                <w:sz w:val="18"/>
                <w:szCs w:val="18"/>
              </w:rPr>
              <w:t xml:space="preserve">N</w:t>
            </w:r>
            <w:r>
              <w:rPr>
                <w:vertAlign w:val="subscript"/>
                <w:sz w:val="18"/>
                <w:szCs w:val="18"/>
              </w:rPr>
              <w:t xml:space="preserve">4</w:t>
            </w:r>
            <w:r>
              <w:rPr>
                <w:sz w:val="18"/>
                <w:szCs w:val="18"/>
              </w:rPr>
              <w:t xml:space="preserve">O</w:t>
            </w:r>
            <w:r>
              <w:rPr>
                <w:vertAlign w:val="subscript"/>
                <w:sz w:val="18"/>
                <w:szCs w:val="18"/>
              </w:rPr>
              <w:t xml:space="preserve">3</w:t>
            </w:r>
          </w:p>
        </w:tc>
        <w:tc>
          <w:tcPr>
            <w:vAlign w:val="center"/>
          </w:tcPr>
          <w:p>
            <w:pPr>
              <w:pStyle w:val="Compact"/>
              <w:suppressAutoHyphens/>
              <w:jc w:val="center"/>
            </w:pPr>
            <w:r>
              <w:rPr>
                <w:sz w:val="18"/>
                <w:szCs w:val="18"/>
              </w:rPr>
              <w:t xml:space="preserve">8</w:t>
            </w:r>
          </w:p>
        </w:tc>
        <w:tc>
          <w:tcPr>
            <w:vAlign w:val="center"/>
          </w:tcPr>
          <w:p>
            <w:pPr>
              <w:pStyle w:val="Compact"/>
              <w:suppressAutoHyphens/>
              <w:jc w:val="center"/>
            </w:pPr>
            <w:r>
              <w:rPr>
                <w:sz w:val="18"/>
                <w:szCs w:val="18"/>
              </w:rPr>
              <w:t xml:space="preserve">2.07</w:t>
            </w:r>
          </w:p>
        </w:tc>
        <w:tc>
          <w:tcPr>
            <w:vAlign w:val="center"/>
          </w:tcPr>
          <w:p>
            <w:pPr>
              <w:pStyle w:val="Compact"/>
              <w:suppressAutoHyphens/>
              <w:jc w:val="center"/>
            </w:pPr>
            <w:r>
              <w:rPr>
                <w:sz w:val="18"/>
                <w:szCs w:val="18"/>
              </w:rPr>
              <w:t xml:space="preserve">yes</w:t>
            </w:r>
          </w:p>
        </w:tc>
      </w:tr>
      <w:tr>
        <w:tc>
          <w:tcPr>
            <w:vAlign w:val="center"/>
          </w:tcPr>
          <w:p>
            <w:pPr>
              <w:pStyle w:val="Compact"/>
              <w:suppressAutoHyphens/>
              <w:jc w:val="center"/>
            </w:pPr>
            <w:r>
              <w:rPr>
                <w:sz w:val="18"/>
                <w:szCs w:val="18"/>
              </w:rPr>
              <w:t xml:space="preserve">E2</w:t>
            </w:r>
          </w:p>
        </w:tc>
        <w:tc>
          <w:tcPr>
            <w:vAlign w:val="center"/>
          </w:tcPr>
          <w:p>
            <w:pPr>
              <w:pStyle w:val="Compact"/>
              <w:suppressAutoHyphens/>
              <w:jc w:val="center"/>
            </w:pPr>
            <w:r>
              <w:rPr>
                <w:rStyle w:val="VerbatimChar"/>
                <w:sz w:val="18"/>
                <w:szCs w:val="18"/>
              </w:rPr>
              <w:t xml:space="preserve">O=[N+]([O-])NC([N+](=O)[O-])[N+](=O)[O-]</w:t>
            </w:r>
          </w:p>
        </w:tc>
        <w:tc>
          <w:tcPr>
            <w:vAlign w:val="center"/>
          </w:tcPr>
          <w:p>
            <w:pPr>
              <w:pStyle w:val="Compact"/>
              <w:suppressAutoHyphens/>
              <w:jc w:val="center"/>
            </w:pPr>
            <w:r>
              <w:rPr>
                <w:sz w:val="18"/>
                <w:szCs w:val="18"/>
              </w:rPr>
              <w:t xml:space="preserve">acyclic gem-dinitro nitramine</w:t>
            </w:r>
          </w:p>
        </w:tc>
        <w:tc>
          <w:tcPr>
            <w:vAlign w:val="center"/>
          </w:tcPr>
          <w:p>
            <w:pPr>
              <w:pStyle w:val="Compact"/>
              <w:suppressAutoHyphens/>
              <w:jc w:val="center"/>
            </w:pPr>
            <w:r>
              <w:rPr>
                <w:sz w:val="18"/>
                <w:szCs w:val="18"/>
              </w:rPr>
              <w:t xml:space="preserve">C</w:t>
            </w:r>
            <w:r>
              <w:rPr>
                <w:vertAlign w:val="subscript"/>
                <w:sz w:val="18"/>
                <w:szCs w:val="18"/>
              </w:rPr>
              <w:t xml:space="preserve">1</w:t>
            </w:r>
            <w:r>
              <w:rPr>
                <w:sz w:val="18"/>
                <w:szCs w:val="18"/>
              </w:rPr>
              <w:t xml:space="preserve">H</w:t>
            </w:r>
            <w:r>
              <w:rPr>
                <w:vertAlign w:val="subscript"/>
                <w:sz w:val="18"/>
                <w:szCs w:val="18"/>
              </w:rPr>
              <w:t xml:space="preserve">2</w:t>
            </w:r>
            <w:r>
              <w:rPr>
                <w:sz w:val="18"/>
                <w:szCs w:val="18"/>
              </w:rPr>
              <w:t xml:space="preserve">N</w:t>
            </w:r>
            <w:r>
              <w:rPr>
                <w:vertAlign w:val="subscript"/>
                <w:sz w:val="18"/>
                <w:szCs w:val="18"/>
              </w:rPr>
              <w:t xml:space="preserve">4</w:t>
            </w:r>
            <w:r>
              <w:rPr>
                <w:sz w:val="18"/>
                <w:szCs w:val="18"/>
              </w:rPr>
              <w:t xml:space="preserve">O</w:t>
            </w:r>
            <w:r>
              <w:rPr>
                <w:vertAlign w:val="subscript"/>
                <w:sz w:val="18"/>
                <w:szCs w:val="18"/>
              </w:rPr>
              <w:t xml:space="preserve">6</w:t>
            </w:r>
          </w:p>
        </w:tc>
        <w:tc>
          <w:tcPr>
            <w:vAlign w:val="center"/>
          </w:tcPr>
          <w:p>
            <w:pPr>
              <w:pStyle w:val="Compact"/>
              <w:suppressAutoHyphens/>
              <w:jc w:val="center"/>
            </w:pPr>
            <w:r>
              <w:rPr>
                <w:sz w:val="18"/>
                <w:szCs w:val="18"/>
              </w:rPr>
              <w:t xml:space="preserve">13</w:t>
            </w:r>
          </w:p>
        </w:tc>
        <w:tc>
          <w:tcPr>
            <w:vAlign w:val="center"/>
          </w:tcPr>
          <w:p>
            <w:pPr>
              <w:pStyle w:val="Compact"/>
              <w:suppressAutoHyphens/>
              <w:jc w:val="center"/>
            </w:pPr>
            <w:r>
              <w:rPr>
                <w:sz w:val="18"/>
                <w:szCs w:val="18"/>
              </w:rPr>
              <w:t xml:space="preserve">1.54</w:t>
            </w:r>
          </w:p>
        </w:tc>
        <w:tc>
          <w:tcPr>
            <w:vAlign w:val="center"/>
          </w:tcPr>
          <w:p>
            <w:pPr>
              <w:pStyle w:val="Compact"/>
              <w:suppressAutoHyphens/>
              <w:jc w:val="center"/>
            </w:pPr>
            <w:r>
              <w:rPr>
                <w:sz w:val="18"/>
                <w:szCs w:val="18"/>
              </w:rPr>
              <w:t xml:space="preserve">yes</w:t>
            </w:r>
          </w:p>
        </w:tc>
      </w:tr>
      <w:tr>
        <w:tc>
          <w:tcPr>
            <w:vAlign w:val="center"/>
          </w:tcPr>
          <w:p>
            <w:pPr>
              <w:pStyle w:val="Compact"/>
              <w:suppressAutoHyphens/>
              <w:jc w:val="center"/>
            </w:pPr>
            <w:r>
              <w:rPr>
                <w:sz w:val="18"/>
                <w:szCs w:val="18"/>
              </w:rPr>
              <w:t xml:space="preserve">E3</w:t>
            </w:r>
          </w:p>
        </w:tc>
        <w:tc>
          <w:tcPr>
            <w:vAlign w:val="center"/>
          </w:tcPr>
          <w:p>
            <w:pPr>
              <w:pStyle w:val="Compact"/>
              <w:suppressAutoHyphens/>
              <w:jc w:val="center"/>
            </w:pPr>
            <w:r>
              <w:rPr>
                <w:rStyle w:val="VerbatimChar"/>
                <w:sz w:val="18"/>
                <w:szCs w:val="18"/>
              </w:rPr>
              <w:t xml:space="preserve">O=[N+]([O-])Nc1conc1[N+](=O)[O-]</w:t>
            </w:r>
          </w:p>
        </w:tc>
        <w:tc>
          <w:tcPr>
            <w:vAlign w:val="center"/>
          </w:tcPr>
          <w:p>
            <w:pPr>
              <w:pStyle w:val="Compact"/>
              <w:suppressAutoHyphens/>
              <w:jc w:val="center"/>
            </w:pPr>
            <w:r>
              <w:rPr>
                <w:sz w:val="18"/>
                <w:szCs w:val="18"/>
              </w:rPr>
              <w:t xml:space="preserve">isoxazole nitramine</w:t>
            </w:r>
          </w:p>
        </w:tc>
        <w:tc>
          <w:tcPr>
            <w:vAlign w:val="center"/>
          </w:tcPr>
          <w:p>
            <w:pPr>
              <w:pStyle w:val="Compact"/>
              <w:suppressAutoHyphens/>
              <w:jc w:val="center"/>
            </w:pPr>
            <w:r>
              <w:rPr>
                <w:sz w:val="18"/>
                <w:szCs w:val="18"/>
              </w:rPr>
              <w:t xml:space="preserve">C</w:t>
            </w:r>
            <w:r>
              <w:rPr>
                <w:vertAlign w:val="subscript"/>
                <w:sz w:val="18"/>
                <w:szCs w:val="18"/>
              </w:rPr>
              <w:t xml:space="preserve">3</w:t>
            </w:r>
            <w:r>
              <w:rPr>
                <w:sz w:val="18"/>
                <w:szCs w:val="18"/>
              </w:rPr>
              <w:t xml:space="preserve">H</w:t>
            </w:r>
            <w:r>
              <w:rPr>
                <w:vertAlign w:val="subscript"/>
                <w:sz w:val="18"/>
                <w:szCs w:val="18"/>
              </w:rPr>
              <w:t xml:space="preserve">2</w:t>
            </w:r>
            <w:r>
              <w:rPr>
                <w:sz w:val="18"/>
                <w:szCs w:val="18"/>
              </w:rPr>
              <w:t xml:space="preserve">N</w:t>
            </w:r>
            <w:r>
              <w:rPr>
                <w:vertAlign w:val="subscript"/>
                <w:sz w:val="18"/>
                <w:szCs w:val="18"/>
              </w:rPr>
              <w:t xml:space="preserve">4</w:t>
            </w:r>
            <w:r>
              <w:rPr>
                <w:sz w:val="18"/>
                <w:szCs w:val="18"/>
              </w:rPr>
              <w:t xml:space="preserve">O</w:t>
            </w:r>
            <w:r>
              <w:rPr>
                <w:vertAlign w:val="subscript"/>
                <w:sz w:val="18"/>
                <w:szCs w:val="18"/>
              </w:rPr>
              <w:t xml:space="preserve">5</w:t>
            </w:r>
          </w:p>
        </w:tc>
        <w:tc>
          <w:tcPr>
            <w:vAlign w:val="center"/>
          </w:tcPr>
          <w:p>
            <w:pPr>
              <w:pStyle w:val="Compact"/>
              <w:suppressAutoHyphens/>
              <w:jc w:val="center"/>
            </w:pPr>
            <w:r>
              <w:rPr>
                <w:sz w:val="18"/>
                <w:szCs w:val="18"/>
              </w:rPr>
              <w:t xml:space="preserve">14</w:t>
            </w:r>
          </w:p>
        </w:tc>
        <w:tc>
          <w:tcPr>
            <w:vAlign w:val="center"/>
          </w:tcPr>
          <w:p>
            <w:pPr>
              <w:pStyle w:val="Compact"/>
              <w:suppressAutoHyphens/>
              <w:jc w:val="center"/>
            </w:pPr>
            <w:r>
              <w:rPr>
                <w:sz w:val="18"/>
                <w:szCs w:val="18"/>
              </w:rPr>
              <w:t xml:space="preserve">2.10</w:t>
            </w:r>
          </w:p>
        </w:tc>
        <w:tc>
          <w:tcPr>
            <w:vAlign w:val="center"/>
          </w:tcPr>
          <w:p>
            <w:pPr>
              <w:pStyle w:val="Compact"/>
              <w:suppressAutoHyphens/>
              <w:jc w:val="center"/>
            </w:pPr>
            <w:r>
              <w:rPr>
                <w:sz w:val="18"/>
                <w:szCs w:val="18"/>
              </w:rPr>
              <w:t xml:space="preserve">yes</w:t>
            </w:r>
          </w:p>
        </w:tc>
      </w:tr>
      <w:tr>
        <w:tc>
          <w:tcPr>
            <w:vAlign w:val="center"/>
          </w:tcPr>
          <w:p>
            <w:pPr>
              <w:pStyle w:val="Compact"/>
              <w:suppressAutoHyphens/>
              <w:jc w:val="center"/>
            </w:pPr>
            <w:r>
              <w:rPr>
                <w:sz w:val="18"/>
                <w:szCs w:val="18"/>
              </w:rPr>
              <w:t xml:space="preserve">E4</w:t>
            </w:r>
          </w:p>
        </w:tc>
        <w:tc>
          <w:tcPr>
            <w:vAlign w:val="center"/>
          </w:tcPr>
          <w:p>
            <w:pPr>
              <w:pStyle w:val="Compact"/>
              <w:suppressAutoHyphens/>
              <w:jc w:val="center"/>
            </w:pPr>
            <w:r>
              <w:rPr>
                <w:rStyle w:val="VerbatimChar"/>
                <w:sz w:val="18"/>
                <w:szCs w:val="18"/>
              </w:rPr>
              <w:t xml:space="preserve">O=[N+]([O-])NC1=CC1([N+](=O)[O-])[N+](=O)[O-]</w:t>
            </w:r>
          </w:p>
        </w:tc>
        <w:tc>
          <w:tcPr>
            <w:vAlign w:val="center"/>
          </w:tcPr>
          <w:p>
            <w:pPr>
              <w:pStyle w:val="Compact"/>
              <w:suppressAutoHyphens/>
              <w:jc w:val="center"/>
            </w:pPr>
            <w:r>
              <w:rPr>
                <w:sz w:val="18"/>
                <w:szCs w:val="18"/>
              </w:rPr>
              <w:t xml:space="preserve">cyclopropene nitramine</w:t>
            </w:r>
          </w:p>
        </w:tc>
        <w:tc>
          <w:tcPr>
            <w:vAlign w:val="center"/>
          </w:tcPr>
          <w:p>
            <w:pPr>
              <w:pStyle w:val="Compact"/>
              <w:suppressAutoHyphens/>
              <w:jc w:val="center"/>
            </w:pPr>
            <w:r>
              <w:rPr>
                <w:sz w:val="18"/>
                <w:szCs w:val="18"/>
              </w:rPr>
              <w:t xml:space="preserve">C</w:t>
            </w:r>
            <w:r>
              <w:rPr>
                <w:vertAlign w:val="subscript"/>
                <w:sz w:val="18"/>
                <w:szCs w:val="18"/>
              </w:rPr>
              <w:t xml:space="preserve">3</w:t>
            </w:r>
            <w:r>
              <w:rPr>
                <w:sz w:val="18"/>
                <w:szCs w:val="18"/>
              </w:rPr>
              <w:t xml:space="preserve">H</w:t>
            </w:r>
            <w:r>
              <w:rPr>
                <w:vertAlign w:val="subscript"/>
                <w:sz w:val="18"/>
                <w:szCs w:val="18"/>
              </w:rPr>
              <w:t xml:space="preserve">2</w:t>
            </w:r>
            <w:r>
              <w:rPr>
                <w:sz w:val="18"/>
                <w:szCs w:val="18"/>
              </w:rPr>
              <w:t xml:space="preserve">N</w:t>
            </w:r>
            <w:r>
              <w:rPr>
                <w:vertAlign w:val="subscript"/>
                <w:sz w:val="18"/>
                <w:szCs w:val="18"/>
              </w:rPr>
              <w:t xml:space="preserve">4</w:t>
            </w:r>
            <w:r>
              <w:rPr>
                <w:sz w:val="18"/>
                <w:szCs w:val="18"/>
              </w:rPr>
              <w:t xml:space="preserve">O</w:t>
            </w:r>
            <w:r>
              <w:rPr>
                <w:vertAlign w:val="subscript"/>
                <w:sz w:val="18"/>
                <w:szCs w:val="18"/>
              </w:rPr>
              <w:t xml:space="preserve">6</w:t>
            </w:r>
          </w:p>
        </w:tc>
        <w:tc>
          <w:tcPr>
            <w:vAlign w:val="center"/>
          </w:tcPr>
          <w:p>
            <w:pPr>
              <w:pStyle w:val="Compact"/>
              <w:suppressAutoHyphens/>
              <w:jc w:val="center"/>
            </w:pPr>
            <w:r>
              <w:rPr>
                <w:sz w:val="18"/>
                <w:szCs w:val="18"/>
              </w:rPr>
              <w:t xml:space="preserve">15</w:t>
            </w:r>
          </w:p>
        </w:tc>
        <w:tc>
          <w:tcPr>
            <w:vAlign w:val="center"/>
          </w:tcPr>
          <w:p>
            <w:pPr>
              <w:pStyle w:val="Compact"/>
              <w:suppressAutoHyphens/>
              <w:jc w:val="center"/>
            </w:pPr>
            <w:r>
              <w:rPr>
                <w:sz w:val="18"/>
                <w:szCs w:val="18"/>
              </w:rPr>
              <w:t xml:space="preserve">1.59</w:t>
            </w:r>
          </w:p>
        </w:tc>
        <w:tc>
          <w:tcPr>
            <w:vAlign w:val="center"/>
          </w:tcPr>
          <w:p>
            <w:pPr>
              <w:pStyle w:val="Compact"/>
              <w:suppressAutoHyphens/>
              <w:jc w:val="center"/>
            </w:pPr>
            <w:r>
              <w:rPr>
                <w:sz w:val="18"/>
                <w:szCs w:val="18"/>
              </w:rPr>
              <w:t xml:space="preserve">yes</w:t>
            </w:r>
          </w:p>
        </w:tc>
      </w:tr>
      <w:tr>
        <w:tc>
          <w:tcPr>
            <w:vAlign w:val="center"/>
          </w:tcPr>
          <w:p>
            <w:pPr>
              <w:pStyle w:val="Compact"/>
              <w:suppressAutoHyphens/>
              <w:jc w:val="center"/>
            </w:pPr>
            <w:r>
              <w:rPr>
                <w:sz w:val="18"/>
                <w:szCs w:val="18"/>
              </w:rPr>
              <w:t xml:space="preserve">E5</w:t>
            </w:r>
          </w:p>
        </w:tc>
        <w:tc>
          <w:tcPr>
            <w:vAlign w:val="center"/>
          </w:tcPr>
          <w:p>
            <w:pPr>
              <w:pStyle w:val="Compact"/>
              <w:suppressAutoHyphens/>
              <w:jc w:val="center"/>
            </w:pPr>
            <w:r>
              <w:rPr>
                <w:rStyle w:val="VerbatimChar"/>
                <w:sz w:val="18"/>
                <w:szCs w:val="18"/>
              </w:rPr>
              <w:t xml:space="preserve">O=[N+]([O-])OCC1([N+](=O)[O-])C=N1</w:t>
            </w:r>
          </w:p>
        </w:tc>
        <w:tc>
          <w:tcPr>
            <w:vAlign w:val="center"/>
          </w:tcPr>
          <w:p>
            <w:pPr>
              <w:pStyle w:val="Compact"/>
              <w:suppressAutoHyphens/>
              <w:jc w:val="center"/>
            </w:pPr>
            <w:r>
              <w:rPr>
                <w:sz w:val="18"/>
                <w:szCs w:val="18"/>
              </w:rPr>
              <w:t xml:space="preserve">small-ring nitrate ester</w:t>
            </w:r>
          </w:p>
        </w:tc>
        <w:tc>
          <w:tcPr>
            <w:vAlign w:val="center"/>
          </w:tcPr>
          <w:p>
            <w:pPr>
              <w:pStyle w:val="Compact"/>
              <w:suppressAutoHyphens/>
              <w:jc w:val="center"/>
            </w:pPr>
            <w:r>
              <w:rPr>
                <w:sz w:val="18"/>
                <w:szCs w:val="18"/>
              </w:rPr>
              <w:t xml:space="preserve">C</w:t>
            </w:r>
            <w:r>
              <w:rPr>
                <w:vertAlign w:val="subscript"/>
                <w:sz w:val="18"/>
                <w:szCs w:val="18"/>
              </w:rPr>
              <w:t xml:space="preserve">3</w:t>
            </w:r>
            <w:r>
              <w:rPr>
                <w:sz w:val="18"/>
                <w:szCs w:val="18"/>
              </w:rPr>
              <w:t xml:space="preserve">H</w:t>
            </w:r>
            <w:r>
              <w:rPr>
                <w:vertAlign w:val="subscript"/>
                <w:sz w:val="18"/>
                <w:szCs w:val="18"/>
              </w:rPr>
              <w:t xml:space="preserve">3</w:t>
            </w:r>
            <w:r>
              <w:rPr>
                <w:sz w:val="18"/>
                <w:szCs w:val="18"/>
              </w:rPr>
              <w:t xml:space="preserve">N</w:t>
            </w:r>
            <w:r>
              <w:rPr>
                <w:vertAlign w:val="subscript"/>
                <w:sz w:val="18"/>
                <w:szCs w:val="18"/>
              </w:rPr>
              <w:t xml:space="preserve">3</w:t>
            </w:r>
            <w:r>
              <w:rPr>
                <w:sz w:val="18"/>
                <w:szCs w:val="18"/>
              </w:rPr>
              <w:t xml:space="preserve">O</w:t>
            </w:r>
            <w:r>
              <w:rPr>
                <w:vertAlign w:val="subscript"/>
                <w:sz w:val="18"/>
                <w:szCs w:val="18"/>
              </w:rPr>
              <w:t xml:space="preserve">5</w:t>
            </w:r>
          </w:p>
        </w:tc>
        <w:tc>
          <w:tcPr>
            <w:vAlign w:val="center"/>
          </w:tcPr>
          <w:p>
            <w:pPr>
              <w:pStyle w:val="Compact"/>
              <w:suppressAutoHyphens/>
              <w:jc w:val="center"/>
            </w:pPr>
            <w:r>
              <w:rPr>
                <w:sz w:val="18"/>
                <w:szCs w:val="18"/>
              </w:rPr>
              <w:t xml:space="preserve">14</w:t>
            </w:r>
          </w:p>
        </w:tc>
        <w:tc>
          <w:tcPr>
            <w:vAlign w:val="center"/>
          </w:tcPr>
          <w:p>
            <w:pPr>
              <w:pStyle w:val="Compact"/>
              <w:suppressAutoHyphens/>
              <w:jc w:val="center"/>
            </w:pPr>
            <w:r>
              <w:rPr>
                <w:sz w:val="18"/>
                <w:szCs w:val="18"/>
              </w:rPr>
              <w:t xml:space="preserve">2.22</w:t>
            </w:r>
          </w:p>
        </w:tc>
        <w:tc>
          <w:tcPr>
            <w:vAlign w:val="center"/>
          </w:tcPr>
          <w:p>
            <w:pPr>
              <w:pStyle w:val="Compact"/>
              <w:suppressAutoHyphens/>
              <w:jc w:val="center"/>
            </w:pPr>
            <w:r>
              <w:rPr>
                <w:sz w:val="18"/>
                <w:szCs w:val="18"/>
              </w:rPr>
              <w:t xml:space="preserve">yes</w:t>
            </w:r>
          </w:p>
        </w:tc>
      </w:tr>
      <w:tr>
        <w:tc>
          <w:tcPr>
            <w:vAlign w:val="center"/>
          </w:tcPr>
          <w:p>
            <w:pPr>
              <w:pStyle w:val="Compact"/>
              <w:suppressAutoHyphens/>
              <w:jc w:val="center"/>
            </w:pPr>
            <w:r>
              <w:rPr>
                <w:sz w:val="18"/>
                <w:szCs w:val="18"/>
              </w:rPr>
              <w:t xml:space="preserve">E6</w:t>
            </w:r>
          </w:p>
        </w:tc>
        <w:tc>
          <w:tcPr>
            <w:vAlign w:val="center"/>
          </w:tcPr>
          <w:p>
            <w:pPr>
              <w:pStyle w:val="Compact"/>
              <w:suppressAutoHyphens/>
              <w:jc w:val="center"/>
            </w:pPr>
            <w:r>
              <w:rPr>
                <w:rStyle w:val="VerbatimChar"/>
                <w:sz w:val="18"/>
                <w:szCs w:val="18"/>
              </w:rPr>
              <w:t xml:space="preserve">O=[N+]([O-])c1c[nH]c([N+](=O)[O-])c1</w:t>
            </w:r>
          </w:p>
        </w:tc>
        <w:tc>
          <w:tcPr>
            <w:vAlign w:val="center"/>
          </w:tcPr>
          <w:p>
            <w:pPr>
              <w:pStyle w:val="Compact"/>
              <w:suppressAutoHyphens/>
              <w:jc w:val="center"/>
            </w:pPr>
            <w:r>
              <w:rPr>
                <w:sz w:val="18"/>
                <w:szCs w:val="18"/>
              </w:rPr>
              <w:t xml:space="preserve">NH-pyrrole nitroaromatic</w:t>
            </w:r>
          </w:p>
        </w:tc>
        <w:tc>
          <w:tcPr>
            <w:vAlign w:val="center"/>
          </w:tcPr>
          <w:p>
            <w:pPr>
              <w:pStyle w:val="Compact"/>
              <w:suppressAutoHyphens/>
              <w:jc w:val="center"/>
            </w:pPr>
            <w:r>
              <w:rPr>
                <w:sz w:val="18"/>
                <w:szCs w:val="18"/>
              </w:rPr>
              <w:t xml:space="preserve">C</w:t>
            </w:r>
            <w:r>
              <w:rPr>
                <w:vertAlign w:val="subscript"/>
                <w:sz w:val="18"/>
                <w:szCs w:val="18"/>
              </w:rPr>
              <w:t xml:space="preserve">4</w:t>
            </w:r>
            <w:r>
              <w:rPr>
                <w:sz w:val="18"/>
                <w:szCs w:val="18"/>
              </w:rPr>
              <w:t xml:space="preserve">H</w:t>
            </w:r>
            <w:r>
              <w:rPr>
                <w:vertAlign w:val="subscript"/>
                <w:sz w:val="18"/>
                <w:szCs w:val="18"/>
              </w:rPr>
              <w:t xml:space="preserve">3</w:t>
            </w:r>
            <w:r>
              <w:rPr>
                <w:sz w:val="18"/>
                <w:szCs w:val="18"/>
              </w:rPr>
              <w:t xml:space="preserve">N</w:t>
            </w:r>
            <w:r>
              <w:rPr>
                <w:vertAlign w:val="subscript"/>
                <w:sz w:val="18"/>
                <w:szCs w:val="18"/>
              </w:rPr>
              <w:t xml:space="preserve">3</w:t>
            </w:r>
            <w:r>
              <w:rPr>
                <w:sz w:val="18"/>
                <w:szCs w:val="18"/>
              </w:rPr>
              <w:t xml:space="preserve">O</w:t>
            </w:r>
            <w:r>
              <w:rPr>
                <w:vertAlign w:val="subscript"/>
                <w:sz w:val="18"/>
                <w:szCs w:val="18"/>
              </w:rPr>
              <w:t xml:space="preserve">4</w:t>
            </w:r>
          </w:p>
        </w:tc>
        <w:tc>
          <w:tcPr>
            <w:vAlign w:val="center"/>
          </w:tcPr>
          <w:p>
            <w:pPr>
              <w:pStyle w:val="Compact"/>
              <w:suppressAutoHyphens/>
              <w:jc w:val="center"/>
            </w:pPr>
            <w:r>
              <w:rPr>
                <w:sz w:val="18"/>
                <w:szCs w:val="18"/>
              </w:rPr>
              <w:t xml:space="preserve">14</w:t>
            </w:r>
          </w:p>
        </w:tc>
        <w:tc>
          <w:tcPr>
            <w:vAlign w:val="center"/>
          </w:tcPr>
          <w:p>
            <w:pPr>
              <w:pStyle w:val="Compact"/>
              <w:suppressAutoHyphens/>
              <w:jc w:val="center"/>
            </w:pPr>
            <w:r>
              <w:rPr>
                <w:sz w:val="18"/>
                <w:szCs w:val="18"/>
              </w:rPr>
              <w:t xml:space="preserve">(retry)</w:t>
            </w:r>
          </w:p>
        </w:tc>
        <w:tc>
          <w:tcPr>
            <w:vAlign w:val="center"/>
          </w:tcPr>
          <w:p>
            <w:pPr>
              <w:pStyle w:val="Compact"/>
              <w:suppressAutoHyphens/>
              <w:jc w:val="center"/>
            </w:pPr>
            <w:r>
              <w:rPr>
                <w:sz w:val="18"/>
                <w:szCs w:val="18"/>
              </w:rPr>
              <w:t xml:space="preserve">yes</w:t>
            </w:r>
          </w:p>
        </w:tc>
      </w:tr>
      <w:tr>
        <w:tc>
          <w:tcPr>
            <w:vAlign w:val="center"/>
          </w:tcPr>
          <w:p>
            <w:pPr>
              <w:pStyle w:val="Compact"/>
              <w:suppressAutoHyphens/>
              <w:jc w:val="center"/>
            </w:pPr>
            <w:r>
              <w:rPr>
                <w:sz w:val="18"/>
                <w:szCs w:val="18"/>
              </w:rPr>
              <w:t xml:space="preserve">E7</w:t>
            </w:r>
          </w:p>
        </w:tc>
        <w:tc>
          <w:tcPr>
            <w:vAlign w:val="center"/>
          </w:tcPr>
          <w:p>
            <w:pPr>
              <w:pStyle w:val="Compact"/>
              <w:suppressAutoHyphens/>
              <w:jc w:val="center"/>
            </w:pPr>
            <w:r>
              <w:rPr>
                <w:rStyle w:val="VerbatimChar"/>
                <w:sz w:val="18"/>
                <w:szCs w:val="18"/>
              </w:rPr>
              <w:t xml:space="preserve">N=C1C(O[N+](=O)[O-])=CC1[N+](=O)[O-]</w:t>
            </w:r>
          </w:p>
        </w:tc>
        <w:tc>
          <w:tcPr>
            <w:vAlign w:val="center"/>
          </w:tcPr>
          <w:p>
            <w:pPr>
              <w:pStyle w:val="Compact"/>
              <w:suppressAutoHyphens/>
              <w:jc w:val="center"/>
            </w:pPr>
            <w:r>
              <w:rPr>
                <w:sz w:val="18"/>
                <w:szCs w:val="18"/>
              </w:rPr>
              <w:t xml:space="preserve">cyclobutenimine nitrate ester</w:t>
            </w:r>
          </w:p>
        </w:tc>
        <w:tc>
          <w:tcPr>
            <w:vAlign w:val="center"/>
          </w:tcPr>
          <w:p>
            <w:pPr>
              <w:pStyle w:val="Compact"/>
              <w:suppressAutoHyphens/>
              <w:jc w:val="center"/>
            </w:pPr>
            <w:r>
              <w:rPr>
                <w:sz w:val="18"/>
                <w:szCs w:val="18"/>
              </w:rPr>
              <w:t xml:space="preserve">C</w:t>
            </w:r>
            <w:r>
              <w:rPr>
                <w:vertAlign w:val="subscript"/>
                <w:sz w:val="18"/>
                <w:szCs w:val="18"/>
              </w:rPr>
              <w:t xml:space="preserve">4</w:t>
            </w:r>
            <w:r>
              <w:rPr>
                <w:sz w:val="18"/>
                <w:szCs w:val="18"/>
              </w:rPr>
              <w:t xml:space="preserve">H</w:t>
            </w:r>
            <w:r>
              <w:rPr>
                <w:vertAlign w:val="subscript"/>
                <w:sz w:val="18"/>
                <w:szCs w:val="18"/>
              </w:rPr>
              <w:t xml:space="preserve">3</w:t>
            </w:r>
            <w:r>
              <w:rPr>
                <w:sz w:val="18"/>
                <w:szCs w:val="18"/>
              </w:rPr>
              <w:t xml:space="preserve">N</w:t>
            </w:r>
            <w:r>
              <w:rPr>
                <w:vertAlign w:val="subscript"/>
                <w:sz w:val="18"/>
                <w:szCs w:val="18"/>
              </w:rPr>
              <w:t xml:space="preserve">3</w:t>
            </w:r>
            <w:r>
              <w:rPr>
                <w:sz w:val="18"/>
                <w:szCs w:val="18"/>
              </w:rPr>
              <w:t xml:space="preserve">O</w:t>
            </w:r>
            <w:r>
              <w:rPr>
                <w:vertAlign w:val="subscript"/>
                <w:sz w:val="18"/>
                <w:szCs w:val="18"/>
              </w:rPr>
              <w:t xml:space="preserve">5</w:t>
            </w:r>
          </w:p>
        </w:tc>
        <w:tc>
          <w:tcPr>
            <w:vAlign w:val="center"/>
          </w:tcPr>
          <w:p>
            <w:pPr>
              <w:pStyle w:val="Compact"/>
              <w:suppressAutoHyphens/>
              <w:jc w:val="center"/>
            </w:pPr>
            <w:r>
              <w:rPr>
                <w:sz w:val="18"/>
                <w:szCs w:val="18"/>
              </w:rPr>
              <w:t xml:space="preserve">15</w:t>
            </w:r>
          </w:p>
        </w:tc>
        <w:tc>
          <w:tcPr>
            <w:vAlign w:val="center"/>
          </w:tcPr>
          <w:p>
            <w:pPr>
              <w:pStyle w:val="Compact"/>
              <w:suppressAutoHyphens/>
              <w:jc w:val="center"/>
            </w:pPr>
            <w:r>
              <w:rPr>
                <w:sz w:val="18"/>
                <w:szCs w:val="18"/>
              </w:rPr>
              <w:t xml:space="preserve">1.68</w:t>
            </w:r>
          </w:p>
        </w:tc>
        <w:tc>
          <w:tcPr>
            <w:vAlign w:val="center"/>
          </w:tcPr>
          <w:p>
            <w:pPr>
              <w:pStyle w:val="Compact"/>
              <w:suppressAutoHyphens/>
              <w:jc w:val="center"/>
            </w:pPr>
            <w:r>
              <w:rPr>
                <w:sz w:val="18"/>
                <w:szCs w:val="18"/>
              </w:rPr>
              <w:t xml:space="preserve">yes</w:t>
            </w:r>
          </w:p>
        </w:tc>
      </w:tr>
      <w:tr>
        <w:tc>
          <w:tcPr>
            <w:vAlign w:val="center"/>
          </w:tcPr>
          <w:p>
            <w:pPr>
              <w:pStyle w:val="Compact"/>
              <w:suppressAutoHyphens/>
              <w:jc w:val="center"/>
            </w:pPr>
            <w:r>
              <w:rPr>
                <w:sz w:val="18"/>
                <w:szCs w:val="18"/>
              </w:rPr>
              <w:t xml:space="preserve">E8</w:t>
            </w:r>
          </w:p>
        </w:tc>
        <w:tc>
          <w:tcPr>
            <w:vAlign w:val="center"/>
          </w:tcPr>
          <w:p>
            <w:pPr>
              <w:pStyle w:val="Compact"/>
              <w:suppressAutoHyphens/>
              <w:jc w:val="center"/>
            </w:pPr>
            <w:r>
              <w:rPr>
                <w:rStyle w:val="VerbatimChar"/>
                <w:sz w:val="18"/>
                <w:szCs w:val="18"/>
              </w:rPr>
              <w:t xml:space="preserve">CC1(C([N+](=O)[O-])[N+](=O)[O-])C=C([N+](=O)[O-])C=C1[N+](=O)[O-]</w:t>
            </w:r>
          </w:p>
        </w:tc>
        <w:tc>
          <w:tcPr>
            <w:vAlign w:val="center"/>
          </w:tcPr>
          <w:p>
            <w:pPr>
              <w:pStyle w:val="Compact"/>
              <w:suppressAutoHyphens/>
              <w:jc w:val="center"/>
            </w:pPr>
            <w:r>
              <w:rPr>
                <w:sz w:val="18"/>
                <w:szCs w:val="18"/>
              </w:rPr>
              <w:t xml:space="preserve">geminal polynitro carbocycle</w:t>
            </w:r>
          </w:p>
        </w:tc>
        <w:tc>
          <w:tcPr>
            <w:vAlign w:val="center"/>
          </w:tcPr>
          <w:p>
            <w:pPr>
              <w:pStyle w:val="Compact"/>
              <w:suppressAutoHyphens/>
              <w:jc w:val="center"/>
            </w:pPr>
            <w:r>
              <w:rPr>
                <w:sz w:val="18"/>
                <w:szCs w:val="18"/>
              </w:rPr>
              <w:t xml:space="preserve">C</w:t>
            </w:r>
            <w:r>
              <w:rPr>
                <w:vertAlign w:val="subscript"/>
                <w:sz w:val="18"/>
                <w:szCs w:val="18"/>
              </w:rPr>
              <w:t xml:space="preserve">7</w:t>
            </w:r>
            <w:r>
              <w:rPr>
                <w:sz w:val="18"/>
                <w:szCs w:val="18"/>
              </w:rPr>
              <w:t xml:space="preserve">H</w:t>
            </w:r>
            <w:r>
              <w:rPr>
                <w:vertAlign w:val="subscript"/>
                <w:sz w:val="18"/>
                <w:szCs w:val="18"/>
              </w:rPr>
              <w:t xml:space="preserve">6</w:t>
            </w:r>
            <w:r>
              <w:rPr>
                <w:sz w:val="18"/>
                <w:szCs w:val="18"/>
              </w:rPr>
              <w:t xml:space="preserve">N</w:t>
            </w:r>
            <w:r>
              <w:rPr>
                <w:vertAlign w:val="subscript"/>
                <w:sz w:val="18"/>
                <w:szCs w:val="18"/>
              </w:rPr>
              <w:t xml:space="preserve">4</w:t>
            </w:r>
            <w:r>
              <w:rPr>
                <w:sz w:val="18"/>
                <w:szCs w:val="18"/>
              </w:rPr>
              <w:t xml:space="preserve">O</w:t>
            </w:r>
            <w:r>
              <w:rPr>
                <w:vertAlign w:val="subscript"/>
                <w:sz w:val="18"/>
                <w:szCs w:val="18"/>
              </w:rPr>
              <w:t xml:space="preserve">8</w:t>
            </w:r>
          </w:p>
        </w:tc>
        <w:tc>
          <w:tcPr>
            <w:vAlign w:val="center"/>
          </w:tcPr>
          <w:p>
            <w:pPr>
              <w:pStyle w:val="Compact"/>
              <w:suppressAutoHyphens/>
              <w:jc w:val="center"/>
            </w:pPr>
            <w:r>
              <w:rPr>
                <w:sz w:val="18"/>
                <w:szCs w:val="18"/>
              </w:rPr>
              <w:t xml:space="preserve">25</w:t>
            </w:r>
          </w:p>
        </w:tc>
        <w:tc>
          <w:tcPr>
            <w:vAlign w:val="center"/>
          </w:tcPr>
          <w:p>
            <w:pPr>
              <w:pStyle w:val="Compact"/>
              <w:suppressAutoHyphens/>
              <w:jc w:val="center"/>
            </w:pPr>
            <w:r>
              <w:rPr>
                <w:sz w:val="18"/>
                <w:szCs w:val="18"/>
              </w:rPr>
              <w:t xml:space="preserve">1.57</w:t>
            </w:r>
          </w:p>
        </w:tc>
        <w:tc>
          <w:tcPr>
            <w:vAlign w:val="center"/>
          </w:tcPr>
          <w:p>
            <w:pPr>
              <w:pStyle w:val="Compact"/>
              <w:suppressAutoHyphens/>
              <w:jc w:val="center"/>
            </w:pPr>
            <w:r>
              <w:rPr>
                <w:sz w:val="18"/>
                <w:szCs w:val="18"/>
              </w:rPr>
              <w:t xml:space="preserve">yes</w:t>
            </w:r>
          </w:p>
        </w:tc>
      </w:tr>
      <w:tr>
        <w:tc>
          <w:tcPr>
            <w:vAlign w:val="center"/>
          </w:tcPr>
          <w:p>
            <w:pPr>
              <w:pStyle w:val="Compact"/>
              <w:suppressAutoHyphens/>
              <w:jc w:val="center"/>
            </w:pPr>
            <w:r>
              <w:rPr>
                <w:sz w:val="18"/>
                <w:szCs w:val="18"/>
              </w:rPr>
              <w:t xml:space="preserve">E9</w:t>
            </w:r>
          </w:p>
        </w:tc>
        <w:tc>
          <w:tcPr>
            <w:vAlign w:val="center"/>
          </w:tcPr>
          <w:p>
            <w:pPr>
              <w:pStyle w:val="Compact"/>
              <w:suppressAutoHyphens/>
              <w:jc w:val="center"/>
            </w:pPr>
            <w:r>
              <w:rPr>
                <w:rStyle w:val="VerbatimChar"/>
                <w:sz w:val="18"/>
                <w:szCs w:val="18"/>
              </w:rPr>
              <w:t xml:space="preserve">c1nnn[nH]1</w:t>
            </w:r>
          </w:p>
        </w:tc>
        <w:tc>
          <w:tcPr>
            <w:vAlign w:val="center"/>
          </w:tcPr>
          <w:p>
            <w:pPr>
              <w:pStyle w:val="Compact"/>
              <w:suppressAutoHyphens/>
              <w:jc w:val="center"/>
            </w:pPr>
            <w:r>
              <w:rPr>
                <w:sz w:val="18"/>
                <w:szCs w:val="18"/>
              </w:rPr>
              <w:t xml:space="preserve">bare 1H-tetrazole (no NO</w:t>
            </w:r>
            <w:r>
              <w:rPr>
                <w:vertAlign w:val="subscript"/>
                <w:sz w:val="18"/>
                <w:szCs w:val="18"/>
              </w:rPr>
              <w:t xml:space="preserve">2</w:t>
            </w:r>
            <w:r>
              <w:rPr>
                <w:sz w:val="18"/>
                <w:szCs w:val="18"/>
              </w:rPr>
              <w:t xml:space="preserve">)</w:t>
            </w:r>
          </w:p>
        </w:tc>
        <w:tc>
          <w:tcPr>
            <w:vAlign w:val="center"/>
          </w:tcPr>
          <w:p>
            <w:pPr>
              <w:pStyle w:val="Compact"/>
              <w:suppressAutoHyphens/>
              <w:jc w:val="center"/>
            </w:pPr>
            <w:r>
              <w:rPr>
                <w:sz w:val="18"/>
                <w:szCs w:val="18"/>
              </w:rPr>
              <w:t xml:space="preserve">CH</w:t>
            </w:r>
            <w:r>
              <w:rPr>
                <w:vertAlign w:val="subscript"/>
                <w:sz w:val="18"/>
                <w:szCs w:val="18"/>
              </w:rPr>
              <w:t xml:space="preserve">2</w:t>
            </w:r>
            <w:r>
              <w:rPr>
                <w:sz w:val="18"/>
                <w:szCs w:val="18"/>
              </w:rPr>
              <w:t xml:space="preserve">N</w:t>
            </w:r>
            <w:r>
              <w:rPr>
                <w:vertAlign w:val="subscript"/>
                <w:sz w:val="18"/>
                <w:szCs w:val="18"/>
              </w:rPr>
              <w:t xml:space="preserve">4</w:t>
            </w:r>
          </w:p>
        </w:tc>
        <w:tc>
          <w:tcPr>
            <w:vAlign w:val="center"/>
          </w:tcPr>
          <w:p>
            <w:pPr>
              <w:pStyle w:val="Compact"/>
              <w:suppressAutoHyphens/>
              <w:jc w:val="center"/>
            </w:pPr>
            <w:r>
              <w:rPr>
                <w:sz w:val="18"/>
                <w:szCs w:val="18"/>
              </w:rPr>
              <w:t xml:space="preserve">7</w:t>
            </w:r>
          </w:p>
        </w:tc>
        <w:tc>
          <w:tcPr>
            <w:vAlign w:val="center"/>
          </w:tcPr>
          <w:p>
            <w:pPr>
              <w:pStyle w:val="Compact"/>
              <w:suppressAutoHyphens/>
              <w:jc w:val="center"/>
            </w:pPr>
            <w:r>
              <w:rPr>
                <w:sz w:val="18"/>
                <w:szCs w:val="18"/>
              </w:rPr>
              <w:t xml:space="preserve">4.92</w:t>
            </w:r>
          </w:p>
        </w:tc>
        <w:tc>
          <w:tcPr>
            <w:vAlign w:val="center"/>
          </w:tcPr>
          <w:p>
            <w:pPr>
              <w:pStyle w:val="Compact"/>
              <w:suppressAutoHyphens/>
              <w:jc w:val="center"/>
            </w:pPr>
            <w:r>
              <w:rPr>
                <w:sz w:val="18"/>
                <w:szCs w:val="18"/>
              </w:rPr>
              <w:t xml:space="preserve">yes</w:t>
            </w:r>
          </w:p>
        </w:tc>
      </w:tr>
      <w:tr>
        <w:tc>
          <w:tcPr>
            <w:vAlign w:val="center"/>
          </w:tcPr>
          <w:p>
            <w:pPr>
              <w:pStyle w:val="Compact"/>
              <w:suppressAutoHyphens/>
              <w:jc w:val="center"/>
            </w:pPr>
            <w:r>
              <w:rPr>
                <w:sz w:val="18"/>
                <w:szCs w:val="18"/>
              </w:rPr>
              <w:t xml:space="preserve">E10</w:t>
            </w:r>
          </w:p>
        </w:tc>
        <w:tc>
          <w:tcPr>
            <w:vAlign w:val="center"/>
          </w:tcPr>
          <w:p>
            <w:pPr>
              <w:pStyle w:val="Compact"/>
              <w:suppressAutoHyphens/>
              <w:jc w:val="center"/>
            </w:pPr>
            <w:r>
              <w:rPr>
                <w:rStyle w:val="VerbatimChar"/>
                <w:sz w:val="18"/>
                <w:szCs w:val="18"/>
              </w:rPr>
              <w:t xml:space="preserve">O=[N+]([O-])C1=NCC=N1</w:t>
            </w:r>
          </w:p>
        </w:tc>
        <w:tc>
          <w:tcPr>
            <w:vAlign w:val="center"/>
          </w:tcPr>
          <w:p>
            <w:pPr>
              <w:pStyle w:val="Compact"/>
              <w:suppressAutoHyphens/>
              <w:jc w:val="center"/>
            </w:pPr>
            <w:r>
              <w:rPr>
                <w:sz w:val="18"/>
                <w:szCs w:val="18"/>
              </w:rPr>
              <w:t xml:space="preserve">nitro-imidazoline</w:t>
            </w:r>
          </w:p>
        </w:tc>
        <w:tc>
          <w:tcPr>
            <w:vAlign w:val="center"/>
          </w:tcPr>
          <w:p>
            <w:pPr>
              <w:pStyle w:val="Compact"/>
              <w:suppressAutoHyphens/>
              <w:jc w:val="center"/>
            </w:pPr>
            <w:r>
              <w:rPr>
                <w:sz w:val="18"/>
                <w:szCs w:val="18"/>
              </w:rPr>
              <w:t xml:space="preserve">C</w:t>
            </w:r>
            <w:r>
              <w:rPr>
                <w:vertAlign w:val="subscript"/>
                <w:sz w:val="18"/>
                <w:szCs w:val="18"/>
              </w:rPr>
              <w:t xml:space="preserve">3</w:t>
            </w:r>
            <w:r>
              <w:rPr>
                <w:sz w:val="18"/>
                <w:szCs w:val="18"/>
              </w:rPr>
              <w:t xml:space="preserve">H</w:t>
            </w:r>
            <w:r>
              <w:rPr>
                <w:vertAlign w:val="subscript"/>
                <w:sz w:val="18"/>
                <w:szCs w:val="18"/>
              </w:rPr>
              <w:t xml:space="preserve">3</w:t>
            </w:r>
            <w:r>
              <w:rPr>
                <w:sz w:val="18"/>
                <w:szCs w:val="18"/>
              </w:rPr>
              <w:t xml:space="preserve">N</w:t>
            </w:r>
            <w:r>
              <w:rPr>
                <w:vertAlign w:val="subscript"/>
                <w:sz w:val="18"/>
                <w:szCs w:val="18"/>
              </w:rPr>
              <w:t xml:space="preserve">3</w:t>
            </w:r>
            <w:r>
              <w:rPr>
                <w:sz w:val="18"/>
                <w:szCs w:val="18"/>
              </w:rPr>
              <w:t xml:space="preserve">O</w:t>
            </w:r>
            <w:r>
              <w:rPr>
                <w:vertAlign w:val="subscript"/>
                <w:sz w:val="18"/>
                <w:szCs w:val="18"/>
              </w:rPr>
              <w:t xml:space="preserve">2</w:t>
            </w:r>
          </w:p>
        </w:tc>
        <w:tc>
          <w:tcPr>
            <w:vAlign w:val="center"/>
          </w:tcPr>
          <w:p>
            <w:pPr>
              <w:pStyle w:val="Compact"/>
              <w:suppressAutoHyphens/>
              <w:jc w:val="center"/>
            </w:pPr>
            <w:r>
              <w:rPr>
                <w:sz w:val="18"/>
                <w:szCs w:val="18"/>
              </w:rPr>
              <w:t xml:space="preserve">11</w:t>
            </w:r>
          </w:p>
        </w:tc>
        <w:tc>
          <w:tcPr>
            <w:vAlign w:val="center"/>
          </w:tcPr>
          <w:p>
            <w:pPr>
              <w:pStyle w:val="Compact"/>
              <w:suppressAutoHyphens/>
              <w:jc w:val="center"/>
            </w:pPr>
            <w:r>
              <w:rPr>
                <w:sz w:val="18"/>
                <w:szCs w:val="18"/>
              </w:rPr>
              <w:t xml:space="preserve">1.65</w:t>
            </w:r>
          </w:p>
        </w:tc>
        <w:tc>
          <w:tcPr>
            <w:vAlign w:val="center"/>
          </w:tcPr>
          <w:p>
            <w:pPr>
              <w:pStyle w:val="Compact"/>
              <w:suppressAutoHyphens/>
              <w:jc w:val="center"/>
            </w:pPr>
            <w:r>
              <w:rPr>
                <w:sz w:val="18"/>
                <w:szCs w:val="18"/>
              </w:rPr>
              <w:t xml:space="preserve">yes</w:t>
            </w:r>
          </w:p>
        </w:tc>
      </w:tr>
    </w:tbl>
    <w:p>
      <w:pPr>
        <w:pStyle w:val="MDPI31text"/>
        <w:ind w:left="2608"/>
      </w:pPr>
      <w:r>
        <w:t xml:space="preserve">†E2 D and P are flagged: OB = +28.9 % exceeds the +25 % K-J reliability limit; these values are upper-bound estimates only (see Section 2.4 E2 audit). E9 K-J is undefined (OB &lt; −200 %).</w:t>
      </w:r>
    </w:p>
    <w:p>
      <w:pPr>
        <w:pStyle w:val="MDPI41tablecaption"/>
        <w:ind w:left="2608"/>
      </w:pPr>
      <w:r>
        <w:rPr>
          <w:b/>
          <w:bCs/>
        </w:rPr>
        <w:t xml:space="preserve">Table 6.</w:t>
      </w:r>
      <w:r>
        <w:t xml:space="preserve"> </w:t>
      </w:r>
      <w:r>
        <w:t xml:space="preserve">Extension-set leads: DFT, 6-anchor calibration, Kamlet–Jacobs, and h</w:t>
      </w:r>
      <w:r>
        <w:rPr>
          <w:vertAlign w:val="subscript"/>
        </w:rPr>
        <w:t xml:space="preserve">50</w:t>
      </w:r>
      <w:r>
        <w:t xml:space="preserve">. Columns: lead ID, raw DFT density ρ</w:t>
      </w:r>
      <w:r>
        <w:rPr>
          <w:vertAlign w:val="subscript"/>
        </w:rPr>
        <w:t xml:space="preserve">DFT</w:t>
      </w:r>
      <w:r>
        <w:t xml:space="preserve"> </w:t>
      </w:r>
      <w:r>
        <w:t xml:space="preserve">(g cm</w:t>
      </w:r>
      <w:r>
        <w:rPr>
          <w:vertAlign w:val="superscript"/>
        </w:rPr>
        <w:t xml:space="preserve">−3</w:t>
      </w:r>
      <w:r>
        <w:t xml:space="preserve">), 6-anchor-calibrated density ρ</w:t>
      </w:r>
      <w:r>
        <w:rPr>
          <w:vertAlign w:val="subscript"/>
        </w:rPr>
        <w:t xml:space="preserve">cal</w:t>
      </w:r>
      <w:r>
        <w:t xml:space="preserve"> </w:t>
      </w:r>
      <w:r>
        <w:t xml:space="preserve">(g cm</w:t>
      </w:r>
      <w:r>
        <w:rPr>
          <w:vertAlign w:val="superscript"/>
        </w:rPr>
        <w:t xml:space="preserve">−3</w:t>
      </w:r>
      <w:r>
        <w:t xml:space="preserve">), raw DFT heat of formation HOF</w:t>
      </w:r>
      <w:r>
        <w:rPr>
          <w:vertAlign w:val="subscript"/>
        </w:rPr>
        <w:t xml:space="preserve">DFT</w:t>
      </w:r>
      <w:r>
        <w:t xml:space="preserve"> </w:t>
      </w:r>
      <w:r>
        <w:t xml:space="preserve">(kJ mol</w:t>
      </w:r>
      <w:r>
        <w:rPr>
          <w:vertAlign w:val="superscript"/>
        </w:rPr>
        <w:t xml:space="preserve">−1</w:t>
      </w:r>
      <w:r>
        <w:t xml:space="preserve">), calibrated HOF</w:t>
      </w:r>
      <w:r>
        <w:rPr>
          <w:vertAlign w:val="subscript"/>
        </w:rPr>
        <w:t xml:space="preserve">cal</w:t>
      </w:r>
      <w:r>
        <w:t xml:space="preserve"> </w:t>
      </w:r>
      <w:r>
        <w:t xml:space="preserve">(kJ mol</w:t>
      </w:r>
      <w:r>
        <w:rPr>
          <w:vertAlign w:val="superscript"/>
        </w:rPr>
        <w:t xml:space="preserve">−1</w:t>
      </w:r>
      <w:r>
        <w:t xml:space="preserve">), Kamlet–Jacobs detonation velocity on calibrated inputs D</w:t>
      </w:r>
      <w:r>
        <w:rPr>
          <w:vertAlign w:val="subscript"/>
        </w:rPr>
        <w:t xml:space="preserve">K-J,cal</w:t>
      </w:r>
      <w:r>
        <w:t xml:space="preserve"> </w:t>
      </w:r>
      <w:r>
        <w:t xml:space="preserve">(km s</w:t>
      </w:r>
      <w:r>
        <w:rPr>
          <w:vertAlign w:val="superscript"/>
        </w:rPr>
        <w:t xml:space="preserve">−1</w:t>
      </w:r>
      <w:r>
        <w:t xml:space="preserve">), Kamlet–Jacobs detonation pressure P</w:t>
      </w:r>
      <w:r>
        <w:rPr>
          <w:vertAlign w:val="subscript"/>
        </w:rPr>
        <w:t xml:space="preserve">K-J,cal</w:t>
      </w:r>
      <w:r>
        <w:t xml:space="preserve"> </w:t>
      </w:r>
      <w:r>
        <w:t xml:space="preserve">(GPa), and Politzer–Murray BDE-correlated drop-weight impact sensitivity h</w:t>
      </w:r>
      <w:r>
        <w:rPr>
          <w:vertAlign w:val="subscript"/>
        </w:rPr>
        <w:t xml:space="preserve">50,BDE</w:t>
      </w:r>
      <w:r>
        <w:t xml:space="preserve"> </w:t>
      </w:r>
      <w:r>
        <w:t xml:space="preserve">(cm).</w:t>
      </w:r>
      <w:r>
        <w:t xml:space="preserve"> </w:t>
      </w:r>
      <w:r>
        <w:rPr>
          <w:vertAlign w:val="superscript"/>
        </w:rPr>
        <w:t xml:space="preserve">†</w:t>
      </w:r>
      <w:r>
        <w:t xml:space="preserve">E2 D and P are flagged: OB = +28.9 % exceeds the +25 % K-J reliability limit; these values are upper-bound estimates only (see Section 2.4 E2 audit). E9 K-J is undefined (OB &lt; −200 %). E1, E6, and E9 are known compounds (recovered, not novel; E1 PubChem CID 57438703, E6 CID 201040, E9 1H-tetrazole).</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535"/>
        <w:gridCol w:w="778"/>
        <w:gridCol w:w="709"/>
        <w:gridCol w:w="1384"/>
        <w:gridCol w:w="1247"/>
        <w:gridCol w:w="1075"/>
        <w:gridCol w:w="989"/>
        <w:gridCol w:w="1141"/>
      </w:tblGrid>
      <w:tr>
        <w:trPr>
          <w:tblHeader w:val="on"/>
        </w:trPr>
        <w:tc>
          <w:tcPr>
            <w:tcBorders>
              <w:bottom w:val="single" w:sz="8" w:space="0" w:color="auto"/>
            </w:tcBorders>
            <w:vAlign w:val="center"/>
          </w:tcPr>
          <w:p>
            <w:pPr>
              <w:pStyle w:val="Compact"/>
              <w:suppressAutoHyphens/>
              <w:jc w:val="center"/>
            </w:pPr>
            <w:r>
              <w:rPr>
                <w:b/>
                <w:sz w:val="18"/>
                <w:szCs w:val="18"/>
              </w:rPr>
              <w:t xml:space="preserve">ID</w:t>
            </w:r>
          </w:p>
        </w:tc>
        <w:tc>
          <w:tcPr>
            <w:tcBorders>
              <w:bottom w:val="single" w:sz="8" w:space="0" w:color="auto"/>
            </w:tcBorders>
            <w:vAlign w:val="center"/>
          </w:tcPr>
          <w:p>
            <w:pPr>
              <w:pStyle w:val="Compact"/>
              <w:suppressAutoHyphens/>
              <w:jc w:val="center"/>
            </w:pPr>
            <w:r>
              <w:rPr>
                <w:b/>
                <w:sz w:val="18"/>
                <w:szCs w:val="18"/>
              </w:rPr>
              <w:t xml:space="preserve">ρ</w:t>
            </w:r>
            <w:r>
              <w:rPr>
                <w:b/>
                <w:vertAlign w:val="subscript"/>
                <w:sz w:val="18"/>
                <w:szCs w:val="18"/>
              </w:rPr>
              <w:t xml:space="preserve">DFT</w:t>
            </w:r>
          </w:p>
        </w:tc>
        <w:tc>
          <w:tcPr>
            <w:tcBorders>
              <w:bottom w:val="single" w:sz="8" w:space="0" w:color="auto"/>
            </w:tcBorders>
            <w:vAlign w:val="center"/>
          </w:tcPr>
          <w:p>
            <w:pPr>
              <w:pStyle w:val="Compact"/>
              <w:suppressAutoHyphens/>
              <w:jc w:val="center"/>
            </w:pPr>
            <w:r>
              <w:rPr>
                <w:b/>
                <w:sz w:val="18"/>
                <w:szCs w:val="18"/>
              </w:rPr>
              <w:t xml:space="preserve">ρ</w:t>
            </w:r>
            <w:r>
              <w:rPr>
                <w:b/>
                <w:vertAlign w:val="subscript"/>
                <w:sz w:val="18"/>
                <w:szCs w:val="18"/>
              </w:rPr>
              <w:t xml:space="preserve">cal</w:t>
            </w:r>
          </w:p>
        </w:tc>
        <w:tc>
          <w:tcPr>
            <w:tcBorders>
              <w:bottom w:val="single" w:sz="8" w:space="0" w:color="auto"/>
            </w:tcBorders>
            <w:vAlign w:val="center"/>
          </w:tcPr>
          <w:p>
            <w:pPr>
              <w:pStyle w:val="Compact"/>
              <w:suppressAutoHyphens/>
              <w:jc w:val="center"/>
            </w:pPr>
            <w:r>
              <w:rPr>
                <w:b/>
                <w:sz w:val="18"/>
                <w:szCs w:val="18"/>
              </w:rPr>
              <w:t xml:space="preserve">HOF</w:t>
            </w:r>
            <w:r>
              <w:rPr>
                <w:b/>
                <w:vertAlign w:val="subscript"/>
                <w:sz w:val="18"/>
                <w:szCs w:val="18"/>
              </w:rPr>
              <w:t xml:space="preserve">DFT</w:t>
            </w:r>
            <w:r>
              <w:rPr>
                <w:b/>
                <w:sz w:val="18"/>
                <w:szCs w:val="18"/>
              </w:rPr>
              <w:t xml:space="preserve"> </w:t>
            </w:r>
            <w:r>
              <w:rPr>
                <w:b/>
                <w:sz w:val="18"/>
                <w:szCs w:val="18"/>
              </w:rPr>
              <w:t xml:space="preserve">(kJ mol</w:t>
            </w:r>
            <w:r>
              <w:rPr>
                <w:b/>
                <w:vertAlign w:val="superscript"/>
                <w:sz w:val="18"/>
                <w:szCs w:val="18"/>
              </w:rPr>
              <w:t xml:space="preserve">−1</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HOF</w:t>
            </w:r>
            <w:r>
              <w:rPr>
                <w:b/>
                <w:vertAlign w:val="subscript"/>
                <w:sz w:val="18"/>
                <w:szCs w:val="18"/>
              </w:rPr>
              <w:t xml:space="preserve">cal</w:t>
            </w:r>
            <w:r>
              <w:rPr>
                <w:b/>
                <w:sz w:val="18"/>
                <w:szCs w:val="18"/>
              </w:rPr>
              <w:t xml:space="preserve"> </w:t>
            </w:r>
            <w:r>
              <w:rPr>
                <w:b/>
                <w:sz w:val="18"/>
                <w:szCs w:val="18"/>
              </w:rPr>
              <w:t xml:space="preserve">(kJ mol</w:t>
            </w:r>
            <w:r>
              <w:rPr>
                <w:b/>
                <w:vertAlign w:val="superscript"/>
                <w:sz w:val="18"/>
                <w:szCs w:val="18"/>
              </w:rPr>
              <w:t xml:space="preserve">−1</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D</w:t>
            </w:r>
            <w:r>
              <w:rPr>
                <w:b/>
                <w:vertAlign w:val="subscript"/>
                <w:sz w:val="18"/>
                <w:szCs w:val="18"/>
              </w:rPr>
              <w:t xml:space="preserve">K-J,cal</w:t>
            </w:r>
            <w:r>
              <w:rPr>
                <w:b/>
                <w:sz w:val="18"/>
                <w:szCs w:val="18"/>
              </w:rPr>
              <w:t xml:space="preserve"> </w:t>
            </w:r>
            <w:r>
              <w:rPr>
                <w:b/>
                <w:sz w:val="18"/>
                <w:szCs w:val="18"/>
              </w:rPr>
              <w:t xml:space="preserve">(km s</w:t>
            </w:r>
            <w:r>
              <w:rPr>
                <w:b/>
                <w:vertAlign w:val="superscript"/>
                <w:sz w:val="18"/>
                <w:szCs w:val="18"/>
              </w:rPr>
              <w:t xml:space="preserve">−1</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P</w:t>
            </w:r>
            <w:r>
              <w:rPr>
                <w:b/>
                <w:vertAlign w:val="subscript"/>
                <w:sz w:val="18"/>
                <w:szCs w:val="18"/>
              </w:rPr>
              <w:t xml:space="preserve">K-J,cal</w:t>
            </w:r>
            <w:r>
              <w:rPr>
                <w:b/>
                <w:sz w:val="18"/>
                <w:szCs w:val="18"/>
              </w:rPr>
              <w:t xml:space="preserve"> </w:t>
            </w:r>
            <w:r>
              <w:rPr>
                <w:b/>
                <w:sz w:val="18"/>
                <w:szCs w:val="18"/>
              </w:rPr>
              <w:t xml:space="preserve">(GPa)</w:t>
            </w:r>
          </w:p>
        </w:tc>
        <w:tc>
          <w:tcPr>
            <w:tcBorders>
              <w:bottom w:val="single" w:sz="8" w:space="0" w:color="auto"/>
            </w:tcBorders>
            <w:vAlign w:val="center"/>
          </w:tcPr>
          <w:p>
            <w:pPr>
              <w:pStyle w:val="Compact"/>
              <w:suppressAutoHyphens/>
              <w:jc w:val="center"/>
            </w:pPr>
            <w:r>
              <w:rPr>
                <w:b/>
                <w:sz w:val="18"/>
                <w:szCs w:val="18"/>
              </w:rPr>
              <w:t xml:space="preserve">h50</w:t>
            </w:r>
            <w:r>
              <w:rPr>
                <w:b/>
                <w:vertAlign w:val="subscript"/>
                <w:sz w:val="18"/>
                <w:szCs w:val="18"/>
              </w:rPr>
              <w:t xml:space="preserve">BDE</w:t>
            </w:r>
            <w:r>
              <w:rPr>
                <w:b/>
                <w:sz w:val="18"/>
                <w:szCs w:val="18"/>
              </w:rPr>
              <w:t xml:space="preserve"> </w:t>
            </w:r>
            <w:r>
              <w:rPr>
                <w:b/>
                <w:sz w:val="18"/>
                <w:szCs w:val="18"/>
              </w:rPr>
              <w:t xml:space="preserve">(cm)</w:t>
            </w:r>
          </w:p>
        </w:tc>
      </w:tr>
      <w:tr>
        <w:tc>
          <w:tcPr>
            <w:vAlign w:val="center"/>
          </w:tcPr>
          <w:p>
            <w:pPr>
              <w:pStyle w:val="Compact"/>
              <w:suppressAutoHyphens/>
              <w:jc w:val="center"/>
            </w:pPr>
            <w:r>
              <w:rPr>
                <w:sz w:val="18"/>
                <w:szCs w:val="18"/>
              </w:rPr>
              <w:t xml:space="preserve">E1</w:t>
            </w:r>
          </w:p>
        </w:tc>
        <w:tc>
          <w:tcPr>
            <w:vAlign w:val="center"/>
          </w:tcPr>
          <w:p>
            <w:pPr>
              <w:pStyle w:val="Compact"/>
              <w:suppressAutoHyphens/>
              <w:jc w:val="center"/>
            </w:pPr>
            <w:r>
              <w:rPr>
                <w:sz w:val="18"/>
                <w:szCs w:val="18"/>
              </w:rPr>
              <w:t xml:space="preserve">1.765</w:t>
            </w:r>
          </w:p>
        </w:tc>
        <w:tc>
          <w:tcPr>
            <w:vAlign w:val="center"/>
          </w:tcPr>
          <w:p>
            <w:pPr>
              <w:pStyle w:val="Compact"/>
              <w:suppressAutoHyphens/>
              <w:jc w:val="center"/>
            </w:pPr>
            <w:r>
              <w:rPr>
                <w:b/>
                <w:bCs/>
                <w:sz w:val="18"/>
                <w:szCs w:val="18"/>
              </w:rPr>
              <w:t xml:space="preserve">2.043</w:t>
            </w:r>
          </w:p>
        </w:tc>
        <w:tc>
          <w:tcPr>
            <w:vAlign w:val="center"/>
          </w:tcPr>
          <w:p>
            <w:pPr>
              <w:pStyle w:val="Compact"/>
              <w:suppressAutoHyphens/>
              <w:jc w:val="center"/>
            </w:pPr>
            <w:r>
              <w:rPr>
                <w:sz w:val="18"/>
                <w:szCs w:val="18"/>
              </w:rPr>
              <w:t xml:space="preserve">320.1</w:t>
            </w:r>
          </w:p>
        </w:tc>
        <w:tc>
          <w:tcPr>
            <w:vAlign w:val="center"/>
          </w:tcPr>
          <w:p>
            <w:pPr>
              <w:pStyle w:val="Compact"/>
              <w:suppressAutoHyphens/>
              <w:jc w:val="center"/>
            </w:pPr>
            <w:r>
              <w:rPr>
                <w:sz w:val="18"/>
                <w:szCs w:val="18"/>
              </w:rPr>
              <w:t xml:space="preserve">113.5</w:t>
            </w:r>
          </w:p>
        </w:tc>
        <w:tc>
          <w:tcPr>
            <w:vAlign w:val="center"/>
          </w:tcPr>
          <w:p>
            <w:pPr>
              <w:pStyle w:val="Compact"/>
              <w:suppressAutoHyphens/>
              <w:jc w:val="center"/>
            </w:pPr>
            <w:r>
              <w:rPr>
                <w:b/>
                <w:bCs/>
                <w:sz w:val="18"/>
                <w:szCs w:val="18"/>
              </w:rPr>
              <w:t xml:space="preserve">9.00</w:t>
            </w:r>
          </w:p>
        </w:tc>
        <w:tc>
          <w:tcPr>
            <w:vAlign w:val="center"/>
          </w:tcPr>
          <w:p>
            <w:pPr>
              <w:pStyle w:val="Compact"/>
              <w:suppressAutoHyphens/>
              <w:jc w:val="center"/>
            </w:pPr>
            <w:r>
              <w:rPr>
                <w:sz w:val="18"/>
                <w:szCs w:val="18"/>
              </w:rPr>
              <w:t xml:space="preserve">38.6</w:t>
            </w:r>
          </w:p>
        </w:tc>
        <w:tc>
          <w:tcPr>
            <w:vAlign w:val="center"/>
          </w:tcPr>
          <w:p>
            <w:pPr>
              <w:pStyle w:val="Compact"/>
              <w:suppressAutoHyphens/>
              <w:jc w:val="center"/>
            </w:pPr>
            <w:r>
              <w:rPr>
                <w:sz w:val="18"/>
                <w:szCs w:val="18"/>
              </w:rPr>
              <w:t xml:space="preserve">82.7</w:t>
            </w:r>
          </w:p>
        </w:tc>
      </w:tr>
      <w:tr>
        <w:tc>
          <w:tcPr>
            <w:vAlign w:val="center"/>
          </w:tcPr>
          <w:p>
            <w:pPr>
              <w:pStyle w:val="Compact"/>
              <w:suppressAutoHyphens/>
              <w:jc w:val="center"/>
            </w:pPr>
            <w:r>
              <w:rPr>
                <w:sz w:val="18"/>
                <w:szCs w:val="18"/>
              </w:rPr>
              <w:t xml:space="preserve">E2</w:t>
            </w:r>
          </w:p>
        </w:tc>
        <w:tc>
          <w:tcPr>
            <w:vAlign w:val="center"/>
          </w:tcPr>
          <w:p>
            <w:pPr>
              <w:pStyle w:val="Compact"/>
              <w:suppressAutoHyphens/>
              <w:jc w:val="center"/>
            </w:pPr>
            <w:r>
              <w:rPr>
                <w:sz w:val="18"/>
                <w:szCs w:val="18"/>
              </w:rPr>
              <w:t xml:space="preserve">1.730</w:t>
            </w:r>
          </w:p>
        </w:tc>
        <w:tc>
          <w:tcPr>
            <w:vAlign w:val="center"/>
          </w:tcPr>
          <w:p>
            <w:pPr>
              <w:pStyle w:val="Compact"/>
              <w:suppressAutoHyphens/>
              <w:jc w:val="center"/>
            </w:pPr>
            <w:r>
              <w:rPr>
                <w:sz w:val="18"/>
                <w:szCs w:val="18"/>
              </w:rPr>
              <w:t xml:space="preserve">1.994</w:t>
            </w:r>
          </w:p>
        </w:tc>
        <w:tc>
          <w:tcPr>
            <w:vAlign w:val="center"/>
          </w:tcPr>
          <w:p>
            <w:pPr>
              <w:pStyle w:val="Compact"/>
              <w:suppressAutoHyphens/>
              <w:jc w:val="center"/>
            </w:pPr>
            <w:r>
              <w:rPr>
                <w:sz w:val="18"/>
                <w:szCs w:val="18"/>
              </w:rPr>
              <w:t xml:space="preserve">42.7</w:t>
            </w:r>
          </w:p>
        </w:tc>
        <w:tc>
          <w:tcPr>
            <w:vAlign w:val="center"/>
          </w:tcPr>
          <w:p>
            <w:pPr>
              <w:pStyle w:val="Compact"/>
              <w:suppressAutoHyphens/>
              <w:jc w:val="center"/>
            </w:pPr>
            <w:r>
              <w:rPr>
                <w:sz w:val="18"/>
                <w:szCs w:val="18"/>
              </w:rPr>
              <w:t xml:space="preserve">−164.0</w:t>
            </w:r>
          </w:p>
        </w:tc>
        <w:tc>
          <w:tcPr>
            <w:vAlign w:val="center"/>
          </w:tcPr>
          <w:p>
            <w:pPr>
              <w:pStyle w:val="Compact"/>
              <w:suppressAutoHyphens/>
              <w:jc w:val="center"/>
            </w:pPr>
            <w:r>
              <w:rPr>
                <w:sz w:val="18"/>
                <w:szCs w:val="18"/>
              </w:rPr>
              <w:t xml:space="preserve">9.22†</w:t>
            </w:r>
          </w:p>
        </w:tc>
        <w:tc>
          <w:tcPr>
            <w:vAlign w:val="center"/>
          </w:tcPr>
          <w:p>
            <w:pPr>
              <w:pStyle w:val="Compact"/>
              <w:suppressAutoHyphens/>
              <w:jc w:val="center"/>
            </w:pPr>
            <w:r>
              <w:rPr>
                <w:sz w:val="18"/>
                <w:szCs w:val="18"/>
              </w:rPr>
              <w:t xml:space="preserve">40.0†</w:t>
            </w:r>
          </w:p>
        </w:tc>
        <w:tc>
          <w:tcPr>
            <w:vAlign w:val="center"/>
          </w:tcPr>
          <w:p>
            <w:pPr>
              <w:pStyle w:val="Compact"/>
              <w:suppressAutoHyphens/>
              <w:jc w:val="center"/>
            </w:pPr>
            <w:r>
              <w:rPr>
                <w:sz w:val="18"/>
                <w:szCs w:val="18"/>
              </w:rPr>
              <w:t xml:space="preserve">38.3</w:t>
            </w:r>
          </w:p>
        </w:tc>
      </w:tr>
      <w:tr>
        <w:tc>
          <w:tcPr>
            <w:vAlign w:val="center"/>
          </w:tcPr>
          <w:p>
            <w:pPr>
              <w:pStyle w:val="Compact"/>
              <w:suppressAutoHyphens/>
              <w:jc w:val="center"/>
            </w:pPr>
            <w:r>
              <w:rPr>
                <w:sz w:val="18"/>
                <w:szCs w:val="18"/>
              </w:rPr>
              <w:t xml:space="preserve">E3</w:t>
            </w:r>
          </w:p>
        </w:tc>
        <w:tc>
          <w:tcPr>
            <w:vAlign w:val="center"/>
          </w:tcPr>
          <w:p>
            <w:pPr>
              <w:pStyle w:val="Compact"/>
              <w:suppressAutoHyphens/>
              <w:jc w:val="center"/>
            </w:pPr>
            <w:r>
              <w:rPr>
                <w:sz w:val="18"/>
                <w:szCs w:val="18"/>
              </w:rPr>
              <w:t xml:space="preserve">1.678</w:t>
            </w:r>
          </w:p>
        </w:tc>
        <w:tc>
          <w:tcPr>
            <w:vAlign w:val="center"/>
          </w:tcPr>
          <w:p>
            <w:pPr>
              <w:pStyle w:val="Compact"/>
              <w:suppressAutoHyphens/>
              <w:jc w:val="center"/>
            </w:pPr>
            <w:r>
              <w:rPr>
                <w:sz w:val="18"/>
                <w:szCs w:val="18"/>
              </w:rPr>
              <w:t xml:space="preserve">1.921</w:t>
            </w:r>
          </w:p>
        </w:tc>
        <w:tc>
          <w:tcPr>
            <w:vAlign w:val="center"/>
          </w:tcPr>
          <w:p>
            <w:pPr>
              <w:pStyle w:val="Compact"/>
              <w:suppressAutoHyphens/>
              <w:jc w:val="center"/>
            </w:pPr>
            <w:r>
              <w:rPr>
                <w:sz w:val="18"/>
                <w:szCs w:val="18"/>
              </w:rPr>
              <w:t xml:space="preserve">214.8</w:t>
            </w:r>
          </w:p>
        </w:tc>
        <w:tc>
          <w:tcPr>
            <w:vAlign w:val="center"/>
          </w:tcPr>
          <w:p>
            <w:pPr>
              <w:pStyle w:val="Compact"/>
              <w:suppressAutoHyphens/>
              <w:jc w:val="center"/>
            </w:pPr>
            <w:r>
              <w:rPr>
                <w:sz w:val="18"/>
                <w:szCs w:val="18"/>
              </w:rPr>
              <w:t xml:space="preserve">8.1</w:t>
            </w:r>
          </w:p>
        </w:tc>
        <w:tc>
          <w:tcPr>
            <w:vAlign w:val="center"/>
          </w:tcPr>
          <w:p>
            <w:pPr>
              <w:pStyle w:val="Compact"/>
              <w:suppressAutoHyphens/>
              <w:jc w:val="center"/>
            </w:pPr>
            <w:r>
              <w:rPr>
                <w:sz w:val="18"/>
                <w:szCs w:val="18"/>
              </w:rPr>
              <w:t xml:space="preserve">7.35</w:t>
            </w:r>
          </w:p>
        </w:tc>
        <w:tc>
          <w:tcPr>
            <w:vAlign w:val="center"/>
          </w:tcPr>
          <w:p>
            <w:pPr>
              <w:pStyle w:val="Compact"/>
              <w:suppressAutoHyphens/>
              <w:jc w:val="center"/>
            </w:pPr>
            <w:r>
              <w:rPr>
                <w:sz w:val="18"/>
                <w:szCs w:val="18"/>
              </w:rPr>
              <w:t xml:space="preserve">24.9</w:t>
            </w:r>
          </w:p>
        </w:tc>
        <w:tc>
          <w:tcPr>
            <w:vAlign w:val="center"/>
          </w:tcPr>
          <w:p>
            <w:pPr>
              <w:pStyle w:val="Compact"/>
              <w:suppressAutoHyphens/>
              <w:jc w:val="center"/>
            </w:pPr>
            <w:r>
              <w:rPr>
                <w:sz w:val="18"/>
                <w:szCs w:val="18"/>
              </w:rPr>
              <w:t xml:space="preserve">38.3</w:t>
            </w:r>
          </w:p>
        </w:tc>
      </w:tr>
      <w:tr>
        <w:tc>
          <w:tcPr>
            <w:vAlign w:val="center"/>
          </w:tcPr>
          <w:p>
            <w:pPr>
              <w:pStyle w:val="Compact"/>
              <w:suppressAutoHyphens/>
              <w:jc w:val="center"/>
            </w:pPr>
            <w:r>
              <w:rPr>
                <w:sz w:val="18"/>
                <w:szCs w:val="18"/>
              </w:rPr>
              <w:t xml:space="preserve">E4</w:t>
            </w:r>
          </w:p>
        </w:tc>
        <w:tc>
          <w:tcPr>
            <w:vAlign w:val="center"/>
          </w:tcPr>
          <w:p>
            <w:pPr>
              <w:pStyle w:val="Compact"/>
              <w:suppressAutoHyphens/>
              <w:jc w:val="center"/>
            </w:pPr>
            <w:r>
              <w:rPr>
                <w:sz w:val="18"/>
                <w:szCs w:val="18"/>
              </w:rPr>
              <w:t xml:space="preserve">1.669</w:t>
            </w:r>
          </w:p>
        </w:tc>
        <w:tc>
          <w:tcPr>
            <w:vAlign w:val="center"/>
          </w:tcPr>
          <w:p>
            <w:pPr>
              <w:pStyle w:val="Compact"/>
              <w:suppressAutoHyphens/>
              <w:jc w:val="center"/>
            </w:pPr>
            <w:r>
              <w:rPr>
                <w:sz w:val="18"/>
                <w:szCs w:val="18"/>
              </w:rPr>
              <w:t xml:space="preserve">1.909</w:t>
            </w:r>
          </w:p>
        </w:tc>
        <w:tc>
          <w:tcPr>
            <w:vAlign w:val="center"/>
          </w:tcPr>
          <w:p>
            <w:pPr>
              <w:pStyle w:val="Compact"/>
              <w:suppressAutoHyphens/>
              <w:jc w:val="center"/>
            </w:pPr>
            <w:r>
              <w:rPr>
                <w:sz w:val="18"/>
                <w:szCs w:val="18"/>
              </w:rPr>
              <w:t xml:space="preserve">332.4</w:t>
            </w:r>
          </w:p>
        </w:tc>
        <w:tc>
          <w:tcPr>
            <w:vAlign w:val="center"/>
          </w:tcPr>
          <w:p>
            <w:pPr>
              <w:pStyle w:val="Compact"/>
              <w:suppressAutoHyphens/>
              <w:jc w:val="center"/>
            </w:pPr>
            <w:r>
              <w:rPr>
                <w:sz w:val="18"/>
                <w:szCs w:val="18"/>
              </w:rPr>
              <w:t xml:space="preserve">125.8</w:t>
            </w:r>
          </w:p>
        </w:tc>
        <w:tc>
          <w:tcPr>
            <w:vAlign w:val="center"/>
          </w:tcPr>
          <w:p>
            <w:pPr>
              <w:pStyle w:val="Compact"/>
              <w:suppressAutoHyphens/>
              <w:jc w:val="center"/>
            </w:pPr>
            <w:r>
              <w:rPr>
                <w:sz w:val="18"/>
                <w:szCs w:val="18"/>
              </w:rPr>
              <w:t xml:space="preserve">7.39</w:t>
            </w:r>
          </w:p>
        </w:tc>
        <w:tc>
          <w:tcPr>
            <w:vAlign w:val="center"/>
          </w:tcPr>
          <w:p>
            <w:pPr>
              <w:pStyle w:val="Compact"/>
              <w:suppressAutoHyphens/>
              <w:jc w:val="center"/>
            </w:pPr>
            <w:r>
              <w:rPr>
                <w:sz w:val="18"/>
                <w:szCs w:val="18"/>
              </w:rPr>
              <w:t xml:space="preserve">25.1</w:t>
            </w:r>
          </w:p>
        </w:tc>
        <w:tc>
          <w:tcPr>
            <w:vAlign w:val="center"/>
          </w:tcPr>
          <w:p>
            <w:pPr>
              <w:pStyle w:val="Compact"/>
              <w:suppressAutoHyphens/>
              <w:jc w:val="center"/>
            </w:pPr>
            <w:r>
              <w:rPr>
                <w:sz w:val="18"/>
                <w:szCs w:val="18"/>
              </w:rPr>
              <w:t xml:space="preserve">38.3</w:t>
            </w:r>
          </w:p>
        </w:tc>
      </w:tr>
      <w:tr>
        <w:tc>
          <w:tcPr>
            <w:vAlign w:val="center"/>
          </w:tcPr>
          <w:p>
            <w:pPr>
              <w:pStyle w:val="Compact"/>
              <w:suppressAutoHyphens/>
              <w:jc w:val="center"/>
            </w:pPr>
            <w:r>
              <w:rPr>
                <w:sz w:val="18"/>
                <w:szCs w:val="18"/>
              </w:rPr>
              <w:t xml:space="preserve">E5</w:t>
            </w:r>
          </w:p>
        </w:tc>
        <w:tc>
          <w:tcPr>
            <w:vAlign w:val="center"/>
          </w:tcPr>
          <w:p>
            <w:pPr>
              <w:pStyle w:val="Compact"/>
              <w:suppressAutoHyphens/>
              <w:jc w:val="center"/>
            </w:pPr>
            <w:r>
              <w:rPr>
                <w:sz w:val="18"/>
                <w:szCs w:val="18"/>
              </w:rPr>
              <w:t xml:space="preserve">1.590</w:t>
            </w:r>
          </w:p>
        </w:tc>
        <w:tc>
          <w:tcPr>
            <w:vAlign w:val="center"/>
          </w:tcPr>
          <w:p>
            <w:pPr>
              <w:pStyle w:val="Compact"/>
              <w:suppressAutoHyphens/>
              <w:jc w:val="center"/>
            </w:pPr>
            <w:r>
              <w:rPr>
                <w:sz w:val="18"/>
                <w:szCs w:val="18"/>
              </w:rPr>
              <w:t xml:space="preserve">1.798</w:t>
            </w:r>
          </w:p>
        </w:tc>
        <w:tc>
          <w:tcPr>
            <w:vAlign w:val="center"/>
          </w:tcPr>
          <w:p>
            <w:pPr>
              <w:pStyle w:val="Compact"/>
              <w:suppressAutoHyphens/>
              <w:jc w:val="center"/>
            </w:pPr>
            <w:r>
              <w:rPr>
                <w:sz w:val="18"/>
                <w:szCs w:val="18"/>
              </w:rPr>
              <w:t xml:space="preserve">195.1</w:t>
            </w:r>
          </w:p>
        </w:tc>
        <w:tc>
          <w:tcPr>
            <w:vAlign w:val="center"/>
          </w:tcPr>
          <w:p>
            <w:pPr>
              <w:pStyle w:val="Compact"/>
              <w:suppressAutoHyphens/>
              <w:jc w:val="center"/>
            </w:pPr>
            <w:r>
              <w:rPr>
                <w:sz w:val="18"/>
                <w:szCs w:val="18"/>
              </w:rPr>
              <w:t xml:space="preserve">−11.6</w:t>
            </w:r>
          </w:p>
        </w:tc>
        <w:tc>
          <w:tcPr>
            <w:vAlign w:val="center"/>
          </w:tcPr>
          <w:p>
            <w:pPr>
              <w:pStyle w:val="Compact"/>
              <w:suppressAutoHyphens/>
              <w:jc w:val="center"/>
            </w:pPr>
            <w:r>
              <w:rPr>
                <w:sz w:val="18"/>
                <w:szCs w:val="18"/>
              </w:rPr>
              <w:t xml:space="preserve">7.19</w:t>
            </w:r>
          </w:p>
        </w:tc>
        <w:tc>
          <w:tcPr>
            <w:vAlign w:val="center"/>
          </w:tcPr>
          <w:p>
            <w:pPr>
              <w:pStyle w:val="Compact"/>
              <w:suppressAutoHyphens/>
              <w:jc w:val="center"/>
            </w:pPr>
            <w:r>
              <w:rPr>
                <w:sz w:val="18"/>
                <w:szCs w:val="18"/>
              </w:rPr>
              <w:t xml:space="preserve">22.9</w:t>
            </w:r>
          </w:p>
        </w:tc>
        <w:tc>
          <w:tcPr>
            <w:vAlign w:val="center"/>
          </w:tcPr>
          <w:p>
            <w:pPr>
              <w:pStyle w:val="Compact"/>
              <w:suppressAutoHyphens/>
              <w:jc w:val="center"/>
            </w:pPr>
            <w:r>
              <w:rPr>
                <w:sz w:val="18"/>
                <w:szCs w:val="18"/>
              </w:rPr>
              <w:t xml:space="preserve">24.8</w:t>
            </w:r>
          </w:p>
        </w:tc>
      </w:tr>
      <w:tr>
        <w:tc>
          <w:tcPr>
            <w:vAlign w:val="center"/>
          </w:tcPr>
          <w:p>
            <w:pPr>
              <w:pStyle w:val="Compact"/>
              <w:suppressAutoHyphens/>
              <w:jc w:val="center"/>
            </w:pPr>
            <w:r>
              <w:rPr>
                <w:sz w:val="18"/>
                <w:szCs w:val="18"/>
              </w:rPr>
              <w:t xml:space="preserve">E6</w:t>
            </w:r>
          </w:p>
        </w:tc>
        <w:tc>
          <w:tcPr>
            <w:vAlign w:val="center"/>
          </w:tcPr>
          <w:p>
            <w:pPr>
              <w:pStyle w:val="Compact"/>
              <w:suppressAutoHyphens/>
              <w:jc w:val="center"/>
            </w:pPr>
            <w:r>
              <w:rPr>
                <w:sz w:val="18"/>
                <w:szCs w:val="18"/>
              </w:rPr>
              <w:t xml:space="preserve">1.576</w:t>
            </w:r>
          </w:p>
        </w:tc>
        <w:tc>
          <w:tcPr>
            <w:vAlign w:val="center"/>
          </w:tcPr>
          <w:p>
            <w:pPr>
              <w:pStyle w:val="Compact"/>
              <w:suppressAutoHyphens/>
              <w:jc w:val="center"/>
            </w:pPr>
            <w:r>
              <w:rPr>
                <w:sz w:val="18"/>
                <w:szCs w:val="18"/>
              </w:rPr>
              <w:t xml:space="preserve">1.779</w:t>
            </w:r>
          </w:p>
        </w:tc>
        <w:tc>
          <w:tcPr>
            <w:vAlign w:val="center"/>
          </w:tcPr>
          <w:p>
            <w:pPr>
              <w:pStyle w:val="Compact"/>
              <w:suppressAutoHyphens/>
              <w:jc w:val="center"/>
            </w:pPr>
            <w:r>
              <w:rPr>
                <w:sz w:val="18"/>
                <w:szCs w:val="18"/>
              </w:rPr>
              <w:t xml:space="preserve">123.5</w:t>
            </w:r>
          </w:p>
        </w:tc>
        <w:tc>
          <w:tcPr>
            <w:vAlign w:val="center"/>
          </w:tcPr>
          <w:p>
            <w:pPr>
              <w:pStyle w:val="Compact"/>
              <w:suppressAutoHyphens/>
              <w:jc w:val="center"/>
            </w:pPr>
            <w:r>
              <w:rPr>
                <w:sz w:val="18"/>
                <w:szCs w:val="18"/>
              </w:rPr>
              <w:t xml:space="preserve">−83.2</w:t>
            </w:r>
          </w:p>
        </w:tc>
        <w:tc>
          <w:tcPr>
            <w:vAlign w:val="center"/>
          </w:tcPr>
          <w:p>
            <w:pPr>
              <w:pStyle w:val="Compact"/>
              <w:suppressAutoHyphens/>
              <w:jc w:val="center"/>
            </w:pPr>
            <w:r>
              <w:rPr>
                <w:sz w:val="18"/>
                <w:szCs w:val="18"/>
              </w:rPr>
              <w:t xml:space="preserve">6.58</w:t>
            </w:r>
          </w:p>
        </w:tc>
        <w:tc>
          <w:tcPr>
            <w:vAlign w:val="center"/>
          </w:tcPr>
          <w:p>
            <w:pPr>
              <w:pStyle w:val="Compact"/>
              <w:suppressAutoHyphens/>
              <w:jc w:val="center"/>
            </w:pPr>
            <w:r>
              <w:rPr>
                <w:sz w:val="18"/>
                <w:szCs w:val="18"/>
              </w:rPr>
              <w:t xml:space="preserve">19.1</w:t>
            </w:r>
          </w:p>
        </w:tc>
        <w:tc>
          <w:tcPr>
            <w:vAlign w:val="center"/>
          </w:tcPr>
          <w:p>
            <w:pPr>
              <w:pStyle w:val="Compact"/>
              <w:suppressAutoHyphens/>
              <w:jc w:val="center"/>
            </w:pPr>
            <w:r>
              <w:rPr>
                <w:sz w:val="18"/>
                <w:szCs w:val="18"/>
              </w:rPr>
              <w:t xml:space="preserve">38.3</w:t>
            </w:r>
          </w:p>
        </w:tc>
      </w:tr>
      <w:tr>
        <w:tc>
          <w:tcPr>
            <w:vAlign w:val="center"/>
          </w:tcPr>
          <w:p>
            <w:pPr>
              <w:pStyle w:val="Compact"/>
              <w:suppressAutoHyphens/>
              <w:jc w:val="center"/>
            </w:pPr>
            <w:r>
              <w:rPr>
                <w:sz w:val="18"/>
                <w:szCs w:val="18"/>
              </w:rPr>
              <w:t xml:space="preserve">E7</w:t>
            </w:r>
          </w:p>
        </w:tc>
        <w:tc>
          <w:tcPr>
            <w:vAlign w:val="center"/>
          </w:tcPr>
          <w:p>
            <w:pPr>
              <w:pStyle w:val="Compact"/>
              <w:suppressAutoHyphens/>
              <w:jc w:val="center"/>
            </w:pPr>
            <w:r>
              <w:rPr>
                <w:sz w:val="18"/>
                <w:szCs w:val="18"/>
              </w:rPr>
              <w:t xml:space="preserve">1.584</w:t>
            </w:r>
          </w:p>
        </w:tc>
        <w:tc>
          <w:tcPr>
            <w:vAlign w:val="center"/>
          </w:tcPr>
          <w:p>
            <w:pPr>
              <w:pStyle w:val="Compact"/>
              <w:suppressAutoHyphens/>
              <w:jc w:val="center"/>
            </w:pPr>
            <w:r>
              <w:rPr>
                <w:sz w:val="18"/>
                <w:szCs w:val="18"/>
              </w:rPr>
              <w:t xml:space="preserve">1.790</w:t>
            </w:r>
          </w:p>
        </w:tc>
        <w:tc>
          <w:tcPr>
            <w:vAlign w:val="center"/>
          </w:tcPr>
          <w:p>
            <w:pPr>
              <w:pStyle w:val="Compact"/>
              <w:suppressAutoHyphens/>
              <w:jc w:val="center"/>
            </w:pPr>
            <w:r>
              <w:rPr>
                <w:sz w:val="18"/>
                <w:szCs w:val="18"/>
              </w:rPr>
              <w:t xml:space="preserve">235.5</w:t>
            </w:r>
          </w:p>
        </w:tc>
        <w:tc>
          <w:tcPr>
            <w:vAlign w:val="center"/>
          </w:tcPr>
          <w:p>
            <w:pPr>
              <w:pStyle w:val="Compact"/>
              <w:suppressAutoHyphens/>
              <w:jc w:val="center"/>
            </w:pPr>
            <w:r>
              <w:rPr>
                <w:sz w:val="18"/>
                <w:szCs w:val="18"/>
              </w:rPr>
              <w:t xml:space="preserve">28.8</w:t>
            </w:r>
          </w:p>
        </w:tc>
        <w:tc>
          <w:tcPr>
            <w:vAlign w:val="center"/>
          </w:tcPr>
          <w:p>
            <w:pPr>
              <w:pStyle w:val="Compact"/>
              <w:suppressAutoHyphens/>
              <w:jc w:val="center"/>
            </w:pPr>
            <w:r>
              <w:rPr>
                <w:sz w:val="18"/>
                <w:szCs w:val="18"/>
              </w:rPr>
              <w:t xml:space="preserve">6.74</w:t>
            </w:r>
          </w:p>
        </w:tc>
        <w:tc>
          <w:tcPr>
            <w:vAlign w:val="center"/>
          </w:tcPr>
          <w:p>
            <w:pPr>
              <w:pStyle w:val="Compact"/>
              <w:suppressAutoHyphens/>
              <w:jc w:val="center"/>
            </w:pPr>
            <w:r>
              <w:rPr>
                <w:sz w:val="18"/>
                <w:szCs w:val="18"/>
              </w:rPr>
              <w:t xml:space="preserve">20.1</w:t>
            </w:r>
          </w:p>
        </w:tc>
        <w:tc>
          <w:tcPr>
            <w:vAlign w:val="center"/>
          </w:tcPr>
          <w:p>
            <w:pPr>
              <w:pStyle w:val="Compact"/>
              <w:suppressAutoHyphens/>
              <w:jc w:val="center"/>
            </w:pPr>
            <w:r>
              <w:rPr>
                <w:sz w:val="18"/>
                <w:szCs w:val="18"/>
              </w:rPr>
              <w:t xml:space="preserve">24.8</w:t>
            </w:r>
          </w:p>
        </w:tc>
      </w:tr>
      <w:tr>
        <w:tc>
          <w:tcPr>
            <w:vAlign w:val="center"/>
          </w:tcPr>
          <w:p>
            <w:pPr>
              <w:pStyle w:val="Compact"/>
              <w:suppressAutoHyphens/>
              <w:jc w:val="center"/>
            </w:pPr>
            <w:r>
              <w:rPr>
                <w:sz w:val="18"/>
                <w:szCs w:val="18"/>
              </w:rPr>
              <w:t xml:space="preserve">E8</w:t>
            </w:r>
          </w:p>
        </w:tc>
        <w:tc>
          <w:tcPr>
            <w:vAlign w:val="center"/>
          </w:tcPr>
          <w:p>
            <w:pPr>
              <w:pStyle w:val="Compact"/>
              <w:suppressAutoHyphens/>
              <w:jc w:val="center"/>
            </w:pPr>
            <w:r>
              <w:rPr>
                <w:sz w:val="18"/>
                <w:szCs w:val="18"/>
              </w:rPr>
              <w:t xml:space="preserve">1.580</w:t>
            </w:r>
          </w:p>
        </w:tc>
        <w:tc>
          <w:tcPr>
            <w:vAlign w:val="center"/>
          </w:tcPr>
          <w:p>
            <w:pPr>
              <w:pStyle w:val="Compact"/>
              <w:suppressAutoHyphens/>
              <w:jc w:val="center"/>
            </w:pPr>
            <w:r>
              <w:rPr>
                <w:sz w:val="18"/>
                <w:szCs w:val="18"/>
              </w:rPr>
              <w:t xml:space="preserve">1.784</w:t>
            </w:r>
          </w:p>
        </w:tc>
        <w:tc>
          <w:tcPr>
            <w:vAlign w:val="center"/>
          </w:tcPr>
          <w:p>
            <w:pPr>
              <w:pStyle w:val="Compact"/>
              <w:suppressAutoHyphens/>
              <w:jc w:val="center"/>
            </w:pPr>
            <w:r>
              <w:rPr>
                <w:sz w:val="18"/>
                <w:szCs w:val="18"/>
              </w:rPr>
              <w:t xml:space="preserve">171.0</w:t>
            </w:r>
          </w:p>
        </w:tc>
        <w:tc>
          <w:tcPr>
            <w:vAlign w:val="center"/>
          </w:tcPr>
          <w:p>
            <w:pPr>
              <w:pStyle w:val="Compact"/>
              <w:suppressAutoHyphens/>
              <w:jc w:val="center"/>
            </w:pPr>
            <w:r>
              <w:rPr>
                <w:sz w:val="18"/>
                <w:szCs w:val="18"/>
              </w:rPr>
              <w:t xml:space="preserve">−35.7</w:t>
            </w:r>
          </w:p>
        </w:tc>
        <w:tc>
          <w:tcPr>
            <w:vAlign w:val="center"/>
          </w:tcPr>
          <w:p>
            <w:pPr>
              <w:pStyle w:val="Compact"/>
              <w:suppressAutoHyphens/>
              <w:jc w:val="center"/>
            </w:pPr>
            <w:r>
              <w:rPr>
                <w:sz w:val="18"/>
                <w:szCs w:val="18"/>
              </w:rPr>
              <w:t xml:space="preserve">6.73</w:t>
            </w:r>
          </w:p>
        </w:tc>
        <w:tc>
          <w:tcPr>
            <w:vAlign w:val="center"/>
          </w:tcPr>
          <w:p>
            <w:pPr>
              <w:pStyle w:val="Compact"/>
              <w:suppressAutoHyphens/>
              <w:jc w:val="center"/>
            </w:pPr>
            <w:r>
              <w:rPr>
                <w:sz w:val="18"/>
                <w:szCs w:val="18"/>
              </w:rPr>
              <w:t xml:space="preserve">20.0</w:t>
            </w:r>
          </w:p>
        </w:tc>
        <w:tc>
          <w:tcPr>
            <w:vAlign w:val="center"/>
          </w:tcPr>
          <w:p>
            <w:pPr>
              <w:pStyle w:val="Compact"/>
              <w:suppressAutoHyphens/>
              <w:jc w:val="center"/>
            </w:pPr>
            <w:r>
              <w:rPr>
                <w:sz w:val="18"/>
                <w:szCs w:val="18"/>
              </w:rPr>
              <w:t xml:space="preserve">44.1</w:t>
            </w:r>
          </w:p>
        </w:tc>
      </w:tr>
      <w:tr>
        <w:tc>
          <w:tcPr>
            <w:vAlign w:val="center"/>
          </w:tcPr>
          <w:p>
            <w:pPr>
              <w:pStyle w:val="Compact"/>
              <w:suppressAutoHyphens/>
              <w:jc w:val="center"/>
            </w:pPr>
            <w:r>
              <w:rPr>
                <w:sz w:val="18"/>
                <w:szCs w:val="18"/>
              </w:rPr>
              <w:t xml:space="preserve">E9</w:t>
            </w:r>
          </w:p>
        </w:tc>
        <w:tc>
          <w:tcPr>
            <w:vAlign w:val="center"/>
          </w:tcPr>
          <w:p>
            <w:pPr>
              <w:pStyle w:val="Compact"/>
              <w:suppressAutoHyphens/>
              <w:jc w:val="center"/>
            </w:pPr>
            <w:r>
              <w:rPr>
                <w:sz w:val="18"/>
                <w:szCs w:val="18"/>
              </w:rPr>
              <w:t xml:space="preserve">1.453</w:t>
            </w:r>
          </w:p>
        </w:tc>
        <w:tc>
          <w:tcPr>
            <w:vAlign w:val="center"/>
          </w:tcPr>
          <w:p>
            <w:pPr>
              <w:pStyle w:val="Compact"/>
              <w:suppressAutoHyphens/>
              <w:jc w:val="center"/>
            </w:pPr>
            <w:r>
              <w:rPr>
                <w:sz w:val="18"/>
                <w:szCs w:val="18"/>
              </w:rPr>
              <w:t xml:space="preserve">1.608</w:t>
            </w:r>
          </w:p>
        </w:tc>
        <w:tc>
          <w:tcPr>
            <w:vAlign w:val="center"/>
          </w:tcPr>
          <w:p>
            <w:pPr>
              <w:pStyle w:val="Compact"/>
              <w:suppressAutoHyphens/>
              <w:jc w:val="center"/>
            </w:pPr>
            <w:r>
              <w:rPr>
                <w:sz w:val="18"/>
                <w:szCs w:val="18"/>
              </w:rPr>
              <w:t xml:space="preserve">506.9</w:t>
            </w:r>
          </w:p>
        </w:tc>
        <w:tc>
          <w:tcPr>
            <w:vAlign w:val="center"/>
          </w:tcPr>
          <w:p>
            <w:pPr>
              <w:pStyle w:val="Compact"/>
              <w:suppressAutoHyphens/>
              <w:jc w:val="center"/>
            </w:pPr>
            <w:r>
              <w:rPr>
                <w:sz w:val="18"/>
                <w:szCs w:val="18"/>
              </w:rPr>
              <w:t xml:space="preserve">300.2</w:t>
            </w:r>
          </w:p>
        </w:tc>
        <w:tc>
          <w:tcPr>
            <w:vAlign w:val="center"/>
          </w:tcPr>
          <w:p>
            <w:pPr>
              <w:pStyle w:val="Compact"/>
              <w:suppressAutoHyphens/>
              <w:jc w:val="center"/>
            </w:pPr>
            <w:r>
              <w:rPr>
                <w:sz w:val="18"/>
                <w:szCs w:val="18"/>
              </w:rPr>
              <w:t xml:space="preserve">n/a</w:t>
            </w:r>
          </w:p>
        </w:tc>
        <w:tc>
          <w:tcPr>
            <w:vAlign w:val="center"/>
          </w:tcPr>
          <w:p>
            <w:pPr>
              <w:pStyle w:val="Compact"/>
              <w:suppressAutoHyphens/>
              <w:jc w:val="center"/>
            </w:pPr>
            <w:r>
              <w:rPr>
                <w:sz w:val="18"/>
                <w:szCs w:val="18"/>
              </w:rPr>
              <w:t xml:space="preserve">n/a</w:t>
            </w:r>
          </w:p>
        </w:tc>
        <w:tc>
          <w:tcPr>
            <w:vAlign w:val="center"/>
          </w:tcPr>
          <w:p>
            <w:pPr>
              <w:pStyle w:val="Compact"/>
              <w:suppressAutoHyphens/>
              <w:jc w:val="center"/>
            </w:pPr>
            <w:r>
              <w:rPr>
                <w:sz w:val="18"/>
                <w:szCs w:val="18"/>
              </w:rPr>
              <w:t xml:space="preserve">53.8</w:t>
            </w:r>
          </w:p>
        </w:tc>
      </w:tr>
      <w:tr>
        <w:tc>
          <w:tcPr>
            <w:vAlign w:val="center"/>
          </w:tcPr>
          <w:p>
            <w:pPr>
              <w:pStyle w:val="Compact"/>
              <w:suppressAutoHyphens/>
              <w:jc w:val="center"/>
            </w:pPr>
            <w:r>
              <w:rPr>
                <w:sz w:val="18"/>
                <w:szCs w:val="18"/>
              </w:rPr>
              <w:t xml:space="preserve">E10</w:t>
            </w:r>
          </w:p>
        </w:tc>
        <w:tc>
          <w:tcPr>
            <w:vAlign w:val="center"/>
          </w:tcPr>
          <w:p>
            <w:pPr>
              <w:pStyle w:val="Compact"/>
              <w:suppressAutoHyphens/>
              <w:jc w:val="center"/>
            </w:pPr>
            <w:r>
              <w:rPr>
                <w:sz w:val="18"/>
                <w:szCs w:val="18"/>
              </w:rPr>
              <w:t xml:space="preserve">1.483</w:t>
            </w:r>
          </w:p>
        </w:tc>
        <w:tc>
          <w:tcPr>
            <w:vAlign w:val="center"/>
          </w:tcPr>
          <w:p>
            <w:pPr>
              <w:pStyle w:val="Compact"/>
              <w:suppressAutoHyphens/>
              <w:jc w:val="center"/>
            </w:pPr>
            <w:r>
              <w:rPr>
                <w:sz w:val="18"/>
                <w:szCs w:val="18"/>
              </w:rPr>
              <w:t xml:space="preserve">1.649</w:t>
            </w:r>
          </w:p>
        </w:tc>
        <w:tc>
          <w:tcPr>
            <w:vAlign w:val="center"/>
          </w:tcPr>
          <w:p>
            <w:pPr>
              <w:pStyle w:val="Compact"/>
              <w:suppressAutoHyphens/>
              <w:jc w:val="center"/>
            </w:pPr>
            <w:r>
              <w:rPr>
                <w:sz w:val="18"/>
                <w:szCs w:val="18"/>
              </w:rPr>
              <w:t xml:space="preserve">249.1</w:t>
            </w:r>
          </w:p>
        </w:tc>
        <w:tc>
          <w:tcPr>
            <w:vAlign w:val="center"/>
          </w:tcPr>
          <w:p>
            <w:pPr>
              <w:pStyle w:val="Compact"/>
              <w:suppressAutoHyphens/>
              <w:jc w:val="center"/>
            </w:pPr>
            <w:r>
              <w:rPr>
                <w:sz w:val="18"/>
                <w:szCs w:val="18"/>
              </w:rPr>
              <w:t xml:space="preserve">42.5</w:t>
            </w:r>
          </w:p>
        </w:tc>
        <w:tc>
          <w:tcPr>
            <w:vAlign w:val="center"/>
          </w:tcPr>
          <w:p>
            <w:pPr>
              <w:pStyle w:val="Compact"/>
              <w:suppressAutoHyphens/>
              <w:jc w:val="center"/>
            </w:pPr>
            <w:r>
              <w:rPr>
                <w:sz w:val="18"/>
                <w:szCs w:val="18"/>
              </w:rPr>
              <w:t xml:space="preserve">5.52</w:t>
            </w:r>
          </w:p>
        </w:tc>
        <w:tc>
          <w:tcPr>
            <w:vAlign w:val="center"/>
          </w:tcPr>
          <w:p>
            <w:pPr>
              <w:pStyle w:val="Compact"/>
              <w:suppressAutoHyphens/>
              <w:jc w:val="center"/>
            </w:pPr>
            <w:r>
              <w:rPr>
                <w:sz w:val="18"/>
                <w:szCs w:val="18"/>
              </w:rPr>
              <w:t xml:space="preserve">12.8</w:t>
            </w:r>
          </w:p>
        </w:tc>
        <w:tc>
          <w:tcPr>
            <w:vAlign w:val="center"/>
          </w:tcPr>
          <w:p>
            <w:pPr>
              <w:pStyle w:val="Compact"/>
              <w:suppressAutoHyphens/>
              <w:jc w:val="center"/>
            </w:pPr>
            <w:r>
              <w:rPr>
                <w:sz w:val="18"/>
                <w:szCs w:val="18"/>
              </w:rPr>
              <w:t xml:space="preserve">53.8</w:t>
            </w:r>
          </w:p>
        </w:tc>
      </w:tr>
    </w:tbl>
    <w:p>
      <w:pPr>
        <w:pStyle w:val="MDPI31text"/>
        <w:ind w:left="2608"/>
      </w:pPr>
      <w:r>
        <w:rPr>
          <w:b/>
          <w:bCs/>
        </w:rPr>
        <w:t xml:space="preserve">E1 oxatriazole: independent recovery of a known structure.</w:t>
      </w:r>
      <w:r>
        <w:t xml:space="preserve"> </w:t>
      </w:r>
      <w:r>
        <w:t xml:space="preserve">E1 (4-nitro-1,2,3,5-oxatriazole) is a</w:t>
      </w:r>
      <w:r>
        <w:t xml:space="preserve"> </w:t>
      </w:r>
      <w:r>
        <w:rPr>
          <w:i/>
          <w:iCs/>
        </w:rPr>
        <w:t xml:space="preserve">known</w:t>
      </w:r>
      <w:r>
        <w:t xml:space="preserve"> </w:t>
      </w:r>
      <w:r>
        <w:t xml:space="preserve">compound (PubChem CID 57438703), not a novel structure; the unguided sampler surfaced it independently, an external check that DGLD reaches genuine energetic chemotypes. Under the same 6-anchor calibration applied to L1, E1 reaches</w:t>
      </w:r>
      <w:r>
        <w:t xml:space="preserve"> </w:t>
      </w:r>
      <m:oMath>
        <m:sSub>
          <m:e>
            <m:r>
              <m:t>ρ</m:t>
            </m:r>
          </m:e>
          <m:sub>
            <m:r>
              <m:rPr>
                <m:nor/>
                <m:sty m:val="p"/>
              </m:rPr>
              <m:t>cal</m:t>
            </m:r>
          </m:sub>
        </m:sSub>
        <m:r>
          <m:rPr>
            <m:sty m:val="p"/>
          </m:rPr>
          <m:t>=</m:t>
        </m:r>
        <m:r>
          <m:t>2.04</m:t>
        </m:r>
      </m:oMath>
      <w:r>
        <w:rPr>
          <w:b/>
          <w:bCs/>
        </w:rPr>
        <w:t xml:space="preserve"> g cm</w:t>
      </w:r>
      <w:r>
        <w:rPr>
          <w:b/>
          <w:bCs/>
          <w:vertAlign w:val="superscript"/>
        </w:rPr>
        <w:t xml:space="preserve">−3</w:t>
      </w:r>
      <w:r>
        <w:rPr>
          <w:b/>
          <w:bCs/>
        </w:rPr>
        <w:t xml:space="preserve">,</w:t>
      </w:r>
      <w:r>
        <w:rPr>
          <w:b/>
          <w:bCs/>
        </w:rPr>
        <w:t xml:space="preserve"> </w:t>
      </w:r>
      <m:oMath>
        <m:sSub>
          <m:e>
            <m:r>
              <m:t>D</m:t>
            </m:r>
          </m:e>
          <m:sub>
            <m:r>
              <m:rPr>
                <m:nor/>
                <m:sty m:val="p"/>
              </m:rPr>
              <m:t>K-J,cal</m:t>
            </m:r>
          </m:sub>
        </m:sSub>
        <m:r>
          <m:rPr>
            <m:sty m:val="p"/>
          </m:rPr>
          <m:t>=</m:t>
        </m:r>
        <m:r>
          <m:t>9.00</m:t>
        </m:r>
      </m:oMath>
      <w:r>
        <w:rPr>
          <w:b/>
          <w:bCs/>
        </w:rPr>
        <w:t xml:space="preserve"> km s</w:t>
      </w:r>
      <w:r>
        <w:rPr>
          <w:b/>
          <w:bCs/>
          <w:vertAlign w:val="superscript"/>
        </w:rPr>
        <w:t xml:space="preserve">−1</w:t>
      </w:r>
      <w:r>
        <w:rPr>
          <w:b/>
          <w:bCs/>
        </w:rPr>
        <w:t xml:space="preserve">,</w:t>
      </w:r>
      <w:r>
        <w:rPr>
          <w:b/>
          <w:bCs/>
        </w:rPr>
        <w:t xml:space="preserve"> </w:t>
      </w:r>
      <m:oMath>
        <m:sSub>
          <m:e>
            <m:r>
              <m:t>P</m:t>
            </m:r>
          </m:e>
          <m:sub>
            <m:r>
              <m:rPr>
                <m:nor/>
                <m:sty m:val="p"/>
              </m:rPr>
              <m:t>K-J,cal</m:t>
            </m:r>
          </m:sub>
        </m:sSub>
        <m:r>
          <m:rPr>
            <m:sty m:val="p"/>
          </m:rPr>
          <m:t>=</m:t>
        </m:r>
        <m:r>
          <m:t>38.6</m:t>
        </m:r>
      </m:oMath>
      <w:r>
        <w:rPr>
          <w:b/>
          <w:bCs/>
        </w:rPr>
        <w:t xml:space="preserve"> GPa</w:t>
      </w:r>
      <w:r>
        <w:t xml:space="preserve">, with a Politzer–Murray BDE-correlated h</w:t>
      </w:r>
      <w:r>
        <w:rPr>
          <w:vertAlign w:val="subscript"/>
        </w:rPr>
        <w:t xml:space="preserve">50</w:t>
      </w:r>
      <w:r>
        <w:t xml:space="preserve"> </w:t>
      </w:r>
      <w:r>
        <w:t xml:space="preserve">of 82.7 cm; E1's calibrated</w:t>
      </w:r>
      <w:r>
        <w:t xml:space="preserve"> </w:t>
      </w:r>
      <m:oMath>
        <m:r>
          <m:t>D</m:t>
        </m:r>
      </m:oMath>
      <w:r>
        <w:t xml:space="preserve"> </w:t>
      </w:r>
      <w:r>
        <w:t xml:space="preserve">exceeds L1's, though its calibrated density is marginally lower (2.04 vs 2.09 g cm</w:t>
      </w:r>
      <w:r>
        <w:rPr>
          <w:vertAlign w:val="superscript"/>
        </w:rPr>
        <w:t xml:space="preserve">−3</w:t>
      </w:r>
      <w:r>
        <w:t xml:space="preserve">). The 1,2,3,5-oxatriazole ring system has known thermal/Lewis-acid ring-opening pathways (Sheremetev 2007; Katritzky 2010); a dedicated BDE and DSC/TGA stability screen is required before E1 is promoted to synthesis priority (Supplementary Section C.5.1). Without an oxatriazole-class anchor, E1's calibrated</w:t>
      </w:r>
      <w:r>
        <w:t xml:space="preserve"> </w:t>
      </w:r>
      <m:oMath>
        <m:r>
          <m:t>D</m:t>
        </m:r>
        <m:r>
          <m:rPr>
            <m:sty m:val="p"/>
          </m:rPr>
          <m:t>=</m:t>
        </m:r>
        <m:r>
          <m:t>9.00</m:t>
        </m:r>
      </m:oMath>
      <w:r>
        <w:t xml:space="preserve"> km s</w:t>
      </w:r>
      <w:r>
        <w:rPr>
          <w:vertAlign w:val="superscript"/>
        </w:rPr>
        <w:t xml:space="preserve">−1</w:t>
      </w:r>
      <w:r>
        <w:t xml:space="preserve"> </w:t>
      </w:r>
      <w:r>
        <w:t xml:space="preserve">is an extrapolation: read as a lower-confidence corroborating datapoint, it marks a second HMX-class-range performance point from a chemotype family disjoint from L1's (for a known structure, an external-validation signal rather than a new lead), or is an upper bound pending an oxatriazole-anchor recompute (a thermochemical-equilibrium CJ on calibrated inputs and an oxatriazole-class anchor extension are scoped as future work in Section 3).</w:t>
      </w:r>
    </w:p>
    <w:p>
      <w:pPr>
        <w:pStyle w:val="MDPI31text"/>
        <w:ind w:left="2608"/>
      </w:pPr>
      <w:r>
        <w:t xml:space="preserve">Of the 10 E-set candidates (Tables 5 and 6),</w:t>
      </w:r>
      <w:r>
        <w:t xml:space="preserve"> </w:t>
      </w:r>
      <w:r>
        <w:rPr>
          <w:b/>
          <w:bCs/>
        </w:rPr>
        <w:t xml:space="preserve">5 of 9 with defined K-J clear</w:t>
      </w:r>
      <w:r>
        <w:rPr>
          <w:b/>
          <w:bCs/>
        </w:rPr>
        <w:t xml:space="preserve"> </w:t>
      </w:r>
      <m:oMath>
        <m:sSub>
          <m:e>
            <m:r>
              <m:t>D</m:t>
            </m:r>
          </m:e>
          <m:sub>
            <m:r>
              <m:rPr>
                <m:nor/>
                <m:sty m:val="p"/>
              </m:rPr>
              <m:t>K-J,cal</m:t>
            </m:r>
          </m:sub>
        </m:sSub>
        <m:r>
          <m:rPr>
            <m:sty m:val="p"/>
          </m:rPr>
          <m:t>≥</m:t>
        </m:r>
        <m:r>
          <m:t>7.0</m:t>
        </m:r>
      </m:oMath>
      <w:r>
        <w:rPr>
          <w:b/>
          <w:bCs/>
        </w:rPr>
        <w:t xml:space="preserve"> km s</w:t>
      </w:r>
      <w:r>
        <w:rPr>
          <w:b/>
          <w:bCs/>
          <w:vertAlign w:val="superscript"/>
        </w:rPr>
        <w:t xml:space="preserve">−1</w:t>
      </w:r>
      <w:r>
        <w:t xml:space="preserve"> </w:t>
      </w:r>
      <w:r>
        <w:t xml:space="preserve">(E1–E5); 8 of 10 have h</w:t>
      </w:r>
      <w:r>
        <w:rPr>
          <w:vertAlign w:val="subscript"/>
        </w:rPr>
        <w:t xml:space="preserve">50BDE</w:t>
      </w:r>
      <w:r>
        <w:t xml:space="preserve"> </w:t>
      </w:r>
      <m:oMath>
        <m:r>
          <m:rPr>
            <m:sty m:val="p"/>
          </m:rPr>
          <m:t>≥</m:t>
        </m:r>
      </m:oMath>
      <w:r>
        <w:t xml:space="preserve"> </w:t>
      </w:r>
      <w:r>
        <w:t xml:space="preserve">30 cm. E9 (bare 1H-tetrazole) is a deliberate filter-check: K-J is undefined at its oxygen balance and Stage 4 correctly leaves</w:t>
      </w:r>
      <w:r>
        <w:t xml:space="preserve"> </w:t>
      </w:r>
      <m:oMath>
        <m:r>
          <m:t>D</m:t>
        </m:r>
      </m:oMath>
      <w:r>
        <w:t xml:space="preserve"> </w:t>
      </w:r>
      <w:r>
        <w:t xml:space="preserve">and</w:t>
      </w:r>
      <w:r>
        <w:t xml:space="preserve"> </w:t>
      </w:r>
      <m:oMath>
        <m:r>
          <m:t>P</m:t>
        </m:r>
      </m:oMath>
      <w:r>
        <w:t xml:space="preserve"> </w:t>
      </w:r>
      <w:r>
        <w:t xml:space="preserve">unreported. E2's K-J</w:t>
      </w:r>
      <w:r>
        <w:t xml:space="preserve"> </w:t>
      </w:r>
      <m:oMath>
        <m:r>
          <m:t>D</m:t>
        </m:r>
      </m:oMath>
      <w:r>
        <w:t xml:space="preserve"> </w:t>
      </w:r>
      <w:r>
        <w:t xml:space="preserve">(9.22 km s</w:t>
      </w:r>
      <w:r>
        <w:rPr>
          <w:vertAlign w:val="superscript"/>
        </w:rPr>
        <w:t xml:space="preserve">−1</w:t>
      </w:r>
      <w:r>
        <w:t xml:space="preserve">) is upper-bound only because its OB = +28.9 % exceeds the +25 % K-J reliability limit (Supplementary Section D.13). The L-set sits at the upper edge of a credible distribution; L1 is the top-ranked novel lead, and the sampler's independent recovery of the known oxatriazole E1 shows its reach spans chemically distinct families.</w:t>
      </w:r>
    </w:p>
    <w:p>
      <w:pPr>
        <w:pStyle w:val="MDPI22heading2"/>
        <w:ind w:left="2608"/>
      </w:pPr>
      <w:r>
        <w:t xml:space="preserve">2.5 Comparison with no-diffusion baselines</w:t>
      </w:r>
    </w:p>
    <w:p>
      <w:pPr>
        <w:pStyle w:val="MDPI32textnoindent"/>
        <w:ind w:left="2608"/>
      </w:pPr>
      <w:r>
        <w:t xml:space="preserve">Four no-diffusion baselines were run through the same downstream pipeline on the same training corpus to isolate the contribution of the diffusion prior and guidance. The Gaussian-latent control and the matched-compute guided-vs-unguided headline are reported in Supplementary Section F.2 and Supplementary Section F.3 respectively. Results are in Table 7 and Figure 6.</w:t>
      </w:r>
    </w:p>
    <w:p>
      <w:pPr>
        <w:pStyle w:val="MDPI41tablecaption"/>
        <w:ind w:left="2608"/>
      </w:pPr>
      <w:r>
        <w:rPr>
          <w:b/>
          <w:bCs/>
        </w:rPr>
        <w:t xml:space="preserve">Table 7.</w:t>
      </w:r>
      <w:r>
        <w:t xml:space="preserve"> </w:t>
      </w:r>
      <w:r>
        <w:t xml:space="preserve">Top-1 comparison: SMILES-LSTM, MolMIM 70 M, SELFIES-GA, and REINVENT 4 no-diffusion baselines vs. unguided and best-novel DGLD conditions (head-to-head in Supplementary Section F.4). Columns: top-1 composite;</w:t>
      </w:r>
      <w:r>
        <w:t xml:space="preserve"> </w:t>
      </w:r>
      <m:oMath>
        <m:r>
          <m:t>D</m:t>
        </m:r>
      </m:oMath>
      <w:r>
        <w:t xml:space="preserve">,</w:t>
      </w:r>
      <w:r>
        <w:t xml:space="preserve"> </w:t>
      </w:r>
      <m:oMath>
        <m:r>
          <m:t>ρ</m:t>
        </m:r>
      </m:oMath>
      <w:r>
        <w:t xml:space="preserve">,</w:t>
      </w:r>
      <w:r>
        <w:t xml:space="preserve"> </w:t>
      </w:r>
      <m:oMath>
        <m:r>
          <m:t>P</m:t>
        </m:r>
      </m:oMath>
      <w:r>
        <w:t xml:space="preserve">; max-Tanimoto to LM; seeds; memorisation rate (fraction of valid unique samples that are exact labelled-master matches).</w:t>
      </w:r>
      <w:r>
        <w:t xml:space="preserve"> </w:t>
      </w:r>
      <w:r>
        <w:rPr>
          <w:vertAlign w:val="superscript"/>
        </w:rPr>
        <w:t xml:space="preserve">†</w:t>
      </w:r>
      <w:r>
        <w:t xml:space="preserve">SELFIES-GA composite is internal-to-the-run (viability fixed at 0.5, novelty assumed 1.0 during search); it is not on the same basis as the DGLD/LSTM pipeline composite and is omitted from direct comparison.</w:t>
      </w:r>
      <w:r>
        <w:t xml:space="preserve"> </w:t>
      </w:r>
      <w:r>
        <w:rPr>
          <w:vertAlign w:val="superscript"/>
        </w:rPr>
        <w:t xml:space="preserve">‡</w:t>
      </w:r>
      <w:r>
        <w:t xml:space="preserve">REINVENT 4 composite is N-fraction proxy (not full DGLD reranker);</w:t>
      </w:r>
      <w:r>
        <w:t xml:space="preserve"> </w:t>
      </w:r>
      <m:oMath>
        <m:r>
          <m:t>D</m:t>
        </m:r>
        <m:r>
          <m:rPr>
            <m:sty m:val="p"/>
          </m:rPr>
          <m:t>/</m:t>
        </m:r>
        <m:r>
          <m:t>ρ</m:t>
        </m:r>
        <m:r>
          <m:rPr>
            <m:sty m:val="p"/>
          </m:rPr>
          <m:t>/</m:t>
        </m:r>
        <m:r>
          <m:t>P</m:t>
        </m:r>
      </m:oMath>
      <w:r>
        <w:t xml:space="preserve"> </w:t>
      </w:r>
      <w:r>
        <w:t xml:space="preserve">are Uni-Mol scores for the seed-42 top-100 by N-fraction, post-hoc (the RL reward was N-fraction, not the DGLD composite); max-Tanimoto for the top-100 is in the [0.15, 0.65] novelty window (not memorisation).</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556"/>
        <w:gridCol w:w="1483"/>
        <w:gridCol w:w="613"/>
        <w:gridCol w:w="692"/>
        <w:gridCol w:w="633"/>
        <w:gridCol w:w="1474"/>
        <w:gridCol w:w="577"/>
        <w:gridCol w:w="830"/>
      </w:tblGrid>
      <w:tr>
        <w:trPr>
          <w:tblHeader w:val="on"/>
        </w:trPr>
        <w:tc>
          <w:tcPr>
            <w:tcBorders>
              <w:bottom w:val="single" w:sz="8" w:space="0" w:color="auto"/>
            </w:tcBorders>
            <w:vAlign w:val="center"/>
          </w:tcPr>
          <w:p>
            <w:pPr>
              <w:pStyle w:val="Compact"/>
              <w:suppressAutoHyphens/>
              <w:jc w:val="center"/>
            </w:pPr>
            <w:r>
              <w:rPr>
                <w:b/>
                <w:sz w:val="18"/>
                <w:szCs w:val="18"/>
              </w:rPr>
              <w:t xml:space="preserve">Method / condition</w:t>
            </w:r>
          </w:p>
        </w:tc>
        <w:tc>
          <w:tcPr>
            <w:tcBorders>
              <w:bottom w:val="single" w:sz="8" w:space="0" w:color="auto"/>
            </w:tcBorders>
            <w:vAlign w:val="center"/>
          </w:tcPr>
          <w:p>
            <w:pPr>
              <w:pStyle w:val="Compact"/>
              <w:suppressAutoHyphens/>
              <w:jc w:val="center"/>
            </w:pPr>
            <w:r>
              <w:rPr>
                <w:b/>
                <w:sz w:val="18"/>
                <w:szCs w:val="18"/>
              </w:rPr>
              <w:t xml:space="preserve">top-1 composite</w:t>
            </w:r>
            <w:r>
              <w:rPr>
                <w:b/>
                <w:sz w:val="18"/>
                <w:szCs w:val="18"/>
              </w:rPr>
              <w:br/>
            </w:r>
            <w:r>
              <w:rPr>
                <w:b/>
                <w:i/>
                <w:iCs/>
                <w:sz w:val="18"/>
                <w:szCs w:val="18"/>
              </w:rPr>
              <w:t xml:space="preserve">(lower = better)</w:t>
            </w:r>
          </w:p>
        </w:tc>
        <w:tc>
          <w:tcPr>
            <w:tcBorders>
              <w:bottom w:val="single" w:sz="8" w:space="0" w:color="auto"/>
            </w:tcBorders>
            <w:vAlign w:val="center"/>
          </w:tcPr>
          <w:p>
            <w:pPr>
              <w:pStyle w:val="Compact"/>
              <w:suppressAutoHyphens/>
              <w:jc w:val="center"/>
            </w:pPr>
            <w:r>
              <w:rPr>
                <w:b/>
                <w:sz w:val="18"/>
                <w:szCs w:val="18"/>
              </w:rPr>
              <w:t xml:space="preserve">top-1</w:t>
            </w:r>
            <w:r>
              <w:rPr>
                <w:b/>
                <w:sz w:val="18"/>
                <w:szCs w:val="18"/>
              </w:rPr>
              <w:t xml:space="preserve"> </w:t>
            </w:r>
            <m:oMath>
              <m:r>
                <w:rPr>
                  <w:sz w:val="18"/>
                  <w:szCs w:val="18"/>
                </w:rPr>
                <m:t>D</m:t>
              </m:r>
            </m:oMath>
            <w:r>
              <w:rPr>
                <w:b/>
                <w:sz w:val="18"/>
                <w:szCs w:val="18"/>
              </w:rPr>
              <w:t xml:space="preserve"> </w:t>
            </w:r>
            <w:r>
              <w:rPr>
                <w:b/>
                <w:sz w:val="18"/>
                <w:szCs w:val="18"/>
              </w:rPr>
              <w:t xml:space="preserve">(km s</w:t>
            </w:r>
            <w:r>
              <w:rPr>
                <w:b/>
                <w:vertAlign w:val="superscript"/>
                <w:sz w:val="18"/>
                <w:szCs w:val="18"/>
              </w:rPr>
              <w:t xml:space="preserve">−1</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top-1</w:t>
            </w:r>
            <w:r>
              <w:rPr>
                <w:b/>
                <w:sz w:val="18"/>
                <w:szCs w:val="18"/>
              </w:rPr>
              <w:t xml:space="preserve"> </w:t>
            </w:r>
            <m:oMath>
              <m:r>
                <w:rPr>
                  <w:sz w:val="18"/>
                  <w:szCs w:val="18"/>
                </w:rPr>
                <m:t>ρ</m:t>
              </m:r>
            </m:oMath>
            <w:r>
              <w:rPr>
                <w:b/>
                <w:sz w:val="18"/>
                <w:szCs w:val="18"/>
              </w:rPr>
              <w:t xml:space="preserve"> </w:t>
            </w:r>
            <w:r>
              <w:rPr>
                <w:b/>
                <w:sz w:val="18"/>
                <w:szCs w:val="18"/>
              </w:rPr>
              <w:t xml:space="preserve">(g cm</w:t>
            </w:r>
            <w:r>
              <w:rPr>
                <w:b/>
                <w:vertAlign w:val="superscript"/>
                <w:sz w:val="18"/>
                <w:szCs w:val="18"/>
              </w:rPr>
              <w:t xml:space="preserve">−3</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top-1</w:t>
            </w:r>
            <w:r>
              <w:rPr>
                <w:b/>
                <w:sz w:val="18"/>
                <w:szCs w:val="18"/>
              </w:rPr>
              <w:t xml:space="preserve"> </w:t>
            </w:r>
            <m:oMath>
              <m:r>
                <w:rPr>
                  <w:sz w:val="18"/>
                  <w:szCs w:val="18"/>
                </w:rPr>
                <m:t>P</m:t>
              </m:r>
            </m:oMath>
            <w:r>
              <w:rPr>
                <w:b/>
                <w:sz w:val="18"/>
                <w:szCs w:val="18"/>
              </w:rPr>
              <w:t xml:space="preserve"> </w:t>
            </w:r>
            <w:r>
              <w:rPr>
                <w:b/>
                <w:sz w:val="18"/>
                <w:szCs w:val="18"/>
              </w:rPr>
              <w:t xml:space="preserve">(GPa)</w:t>
            </w:r>
          </w:p>
        </w:tc>
        <w:tc>
          <w:tcPr>
            <w:tcBorders>
              <w:bottom w:val="single" w:sz="8" w:space="0" w:color="auto"/>
            </w:tcBorders>
            <w:vAlign w:val="center"/>
          </w:tcPr>
          <w:p>
            <w:pPr>
              <w:pStyle w:val="Compact"/>
              <w:suppressAutoHyphens/>
              <w:jc w:val="center"/>
            </w:pPr>
            <w:r>
              <w:rPr>
                <w:b/>
                <w:sz w:val="18"/>
                <w:szCs w:val="18"/>
              </w:rPr>
              <w:t xml:space="preserve">top-1 max-Tani to LM</w:t>
            </w:r>
          </w:p>
        </w:tc>
        <w:tc>
          <w:tcPr>
            <w:tcBorders>
              <w:bottom w:val="single" w:sz="8" w:space="0" w:color="auto"/>
            </w:tcBorders>
            <w:vAlign w:val="center"/>
          </w:tcPr>
          <w:p>
            <w:pPr>
              <w:pStyle w:val="Compact"/>
              <w:suppressAutoHyphens/>
              <w:jc w:val="center"/>
            </w:pPr>
            <w:r>
              <w:rPr>
                <w:b/>
                <w:sz w:val="18"/>
                <w:szCs w:val="18"/>
              </w:rPr>
              <w:t xml:space="preserve">seeds</w:t>
            </w:r>
          </w:p>
        </w:tc>
        <w:tc>
          <w:tcPr>
            <w:tcBorders>
              <w:bottom w:val="single" w:sz="8" w:space="0" w:color="auto"/>
            </w:tcBorders>
            <w:vAlign w:val="center"/>
          </w:tcPr>
          <w:p>
            <w:pPr>
              <w:pStyle w:val="Compact"/>
              <w:suppressAutoHyphens/>
              <w:jc w:val="center"/>
            </w:pPr>
            <w:r>
              <w:rPr>
                <w:b/>
                <w:sz w:val="18"/>
                <w:szCs w:val="18"/>
              </w:rPr>
              <w:t xml:space="preserve">memo rate</w:t>
            </w:r>
          </w:p>
        </w:tc>
      </w:tr>
      <w:tr>
        <w:tc>
          <w:tcPr>
            <w:vAlign w:val="center"/>
          </w:tcPr>
          <w:p>
            <w:pPr>
              <w:pStyle w:val="Compact"/>
              <w:suppressAutoHyphens/>
              <w:jc w:val="center"/>
            </w:pPr>
            <w:r>
              <w:rPr>
                <w:b/>
                <w:bCs/>
                <w:sz w:val="18"/>
                <w:szCs w:val="18"/>
              </w:rPr>
              <w:t xml:space="preserve">SMILES-LSTM</w:t>
            </w:r>
            <w:r>
              <w:rPr>
                <w:sz w:val="18"/>
                <w:szCs w:val="18"/>
              </w:rPr>
              <w:t xml:space="preserve"> </w:t>
            </w:r>
            <w:r>
              <w:rPr>
                <w:sz w:val="18"/>
                <w:szCs w:val="18"/>
              </w:rPr>
              <w:t xml:space="preserve">(no diffusion)</w:t>
            </w:r>
          </w:p>
        </w:tc>
        <w:tc>
          <w:tcPr>
            <w:vAlign w:val="center"/>
          </w:tcPr>
          <w:p>
            <w:pPr>
              <w:pStyle w:val="Compact"/>
              <w:suppressAutoHyphens/>
              <w:jc w:val="center"/>
            </w:pPr>
            <w:r>
              <w:rPr>
                <w:sz w:val="18"/>
                <w:szCs w:val="18"/>
              </w:rPr>
              <w:t xml:space="preserve">0.083</w:t>
            </w:r>
          </w:p>
        </w:tc>
        <w:tc>
          <w:tcPr>
            <w:vAlign w:val="center"/>
          </w:tcPr>
          <w:p>
            <w:pPr>
              <w:pStyle w:val="Compact"/>
              <w:suppressAutoHyphens/>
              <w:jc w:val="center"/>
            </w:pPr>
            <w:r>
              <w:rPr>
                <w:sz w:val="18"/>
                <w:szCs w:val="18"/>
              </w:rPr>
              <w:t xml:space="preserve">9.58</w:t>
            </w:r>
          </w:p>
        </w:tc>
        <w:tc>
          <w:tcPr>
            <w:vAlign w:val="center"/>
          </w:tcPr>
          <w:p>
            <w:pPr>
              <w:pStyle w:val="Compact"/>
              <w:suppressAutoHyphens/>
              <w:jc w:val="center"/>
            </w:pPr>
            <w:r>
              <w:rPr>
                <w:sz w:val="18"/>
                <w:szCs w:val="18"/>
              </w:rPr>
              <w:t xml:space="preserve">1.96</w:t>
            </w:r>
          </w:p>
        </w:tc>
        <w:tc>
          <w:tcPr>
            <w:vAlign w:val="center"/>
          </w:tcPr>
          <w:p>
            <w:pPr>
              <w:pStyle w:val="Compact"/>
              <w:suppressAutoHyphens/>
              <w:jc w:val="center"/>
            </w:pPr>
            <w:r>
              <w:rPr>
                <w:sz w:val="18"/>
                <w:szCs w:val="18"/>
              </w:rPr>
              <w:t xml:space="preserve">40.0</w:t>
            </w:r>
          </w:p>
        </w:tc>
        <w:tc>
          <w:tcPr>
            <w:vAlign w:val="center"/>
          </w:tcPr>
          <w:p>
            <w:pPr>
              <w:pStyle w:val="Compact"/>
              <w:suppressAutoHyphens/>
              <w:jc w:val="center"/>
            </w:pPr>
            <w:r>
              <w:rPr>
                <w:b/>
                <w:bCs/>
                <w:sz w:val="18"/>
                <w:szCs w:val="18"/>
              </w:rPr>
              <w:t xml:space="preserve">1.000</w:t>
            </w:r>
            <w:r>
              <w:rPr>
                <w:sz w:val="18"/>
                <w:szCs w:val="18"/>
              </w:rPr>
              <w:t xml:space="preserve"> </w:t>
            </w:r>
            <w:r>
              <w:rPr>
                <w:sz w:val="18"/>
                <w:szCs w:val="18"/>
              </w:rPr>
              <w:t xml:space="preserve">(exact LM match)</w:t>
            </w:r>
          </w:p>
        </w:tc>
        <w:tc>
          <w:tcPr>
            <w:vAlign w:val="center"/>
          </w:tcPr>
          <w:p>
            <w:pPr>
              <w:pStyle w:val="Compact"/>
              <w:suppressAutoHyphens/>
              <w:jc w:val="center"/>
            </w:pPr>
            <w:r>
              <w:rPr>
                <w:sz w:val="18"/>
                <w:szCs w:val="18"/>
              </w:rPr>
              <w:t xml:space="preserve">3</w:t>
            </w:r>
          </w:p>
        </w:tc>
        <w:tc>
          <w:tcPr>
            <w:vAlign w:val="center"/>
          </w:tcPr>
          <w:p>
            <w:pPr>
              <w:pStyle w:val="Compact"/>
              <w:suppressAutoHyphens/>
              <w:jc w:val="center"/>
            </w:pPr>
            <w:r>
              <w:rPr>
                <w:b/>
                <w:bCs/>
                <w:sz w:val="18"/>
                <w:szCs w:val="18"/>
              </w:rPr>
              <w:t xml:space="preserve">18.3%</w:t>
            </w:r>
            <w:r>
              <w:rPr>
                <w:b/>
                <w:bCs/>
                <w:sz w:val="18"/>
                <w:szCs w:val="18"/>
              </w:rPr>
              <w:t xml:space="preserve"> </w:t>
            </w:r>
            <m:oMath>
              <m:r>
                <w:rPr>
                  <w:sz w:val="18"/>
                  <w:szCs w:val="18"/>
                </w:rPr>
                <m:rPr>
                  <m:sty m:val="p"/>
                </m:rPr>
                <m:t>±</m:t>
              </m:r>
            </m:oMath>
            <w:r>
              <w:rPr>
                <w:b/>
                <w:bCs/>
                <w:sz w:val="18"/>
                <w:szCs w:val="18"/>
              </w:rPr>
              <w:t xml:space="preserve"> </w:t>
            </w:r>
            <w:r>
              <w:rPr>
                <w:b/>
                <w:bCs/>
                <w:sz w:val="18"/>
                <w:szCs w:val="18"/>
              </w:rPr>
              <w:t xml:space="preserve">0.5%</w:t>
            </w:r>
          </w:p>
        </w:tc>
      </w:tr>
      <w:tr>
        <w:tc>
          <w:tcPr>
            <w:vAlign w:val="center"/>
          </w:tcPr>
          <w:p>
            <w:pPr>
              <w:pStyle w:val="Compact"/>
              <w:suppressAutoHyphens/>
              <w:jc w:val="center"/>
            </w:pPr>
            <w:r>
              <w:rPr>
                <w:b/>
                <w:bCs/>
                <w:sz w:val="18"/>
                <w:szCs w:val="18"/>
              </w:rPr>
              <w:t xml:space="preserve">MolMIM 70 M</w:t>
            </w:r>
            <w:r>
              <w:rPr>
                <w:sz w:val="18"/>
                <w:szCs w:val="18"/>
              </w:rPr>
              <w:t xml:space="preserve"> </w:t>
            </w:r>
            <w:r>
              <w:rPr>
                <w:sz w:val="18"/>
                <w:szCs w:val="18"/>
              </w:rPr>
              <w:t xml:space="preserve">(drug-domain pretrain, no diffusion)</w:t>
            </w:r>
          </w:p>
        </w:tc>
        <w:tc>
          <w:tcPr>
            <w:vAlign w:val="center"/>
          </w:tcPr>
          <w:p>
            <w:pPr>
              <w:pStyle w:val="Compact"/>
              <w:suppressAutoHyphens/>
              <w:jc w:val="center"/>
            </w:pPr>
            <w:r>
              <w:rPr>
                <w:sz w:val="18"/>
                <w:szCs w:val="18"/>
              </w:rPr>
              <w:t xml:space="preserve">4.79</w:t>
            </w:r>
          </w:p>
        </w:tc>
        <w:tc>
          <w:tcPr>
            <w:vAlign w:val="center"/>
          </w:tcPr>
          <w:p>
            <w:pPr>
              <w:pStyle w:val="Compact"/>
              <w:suppressAutoHyphens/>
              <w:jc w:val="center"/>
            </w:pPr>
            <w:r>
              <w:rPr>
                <w:sz w:val="18"/>
                <w:szCs w:val="18"/>
              </w:rPr>
              <w:t xml:space="preserve">7.70</w:t>
            </w:r>
          </w:p>
        </w:tc>
        <w:tc>
          <w:tcPr>
            <w:vAlign w:val="center"/>
          </w:tcPr>
          <w:p>
            <w:pPr>
              <w:pStyle w:val="Compact"/>
              <w:suppressAutoHyphens/>
              <w:jc w:val="center"/>
            </w:pPr>
            <w:r>
              <w:rPr>
                <w:sz w:val="18"/>
                <w:szCs w:val="18"/>
              </w:rPr>
              <w:t xml:space="preserve">1.76</w:t>
            </w:r>
          </w:p>
        </w:tc>
        <w:tc>
          <w:tcPr>
            <w:vAlign w:val="center"/>
          </w:tcPr>
          <w:p>
            <w:pPr>
              <w:pStyle w:val="Compact"/>
              <w:suppressAutoHyphens/>
              <w:jc w:val="center"/>
            </w:pPr>
            <w:r>
              <w:rPr>
                <w:sz w:val="18"/>
                <w:szCs w:val="18"/>
              </w:rPr>
              <w:t xml:space="preserve">25.5</w:t>
            </w:r>
          </w:p>
        </w:tc>
        <w:tc>
          <w:tcPr>
            <w:vAlign w:val="center"/>
          </w:tcPr>
          <w:p>
            <w:pPr>
              <w:pStyle w:val="Compact"/>
              <w:suppressAutoHyphens/>
              <w:jc w:val="center"/>
            </w:pPr>
            <w:r>
              <w:rPr>
                <w:sz w:val="18"/>
                <w:szCs w:val="18"/>
              </w:rPr>
              <w:t xml:space="preserve">0.625</w:t>
            </w:r>
          </w:p>
        </w:tc>
        <w:tc>
          <w:tcPr>
            <w:vAlign w:val="center"/>
          </w:tcPr>
          <w:p>
            <w:pPr>
              <w:pStyle w:val="Compact"/>
              <w:suppressAutoHyphens/>
              <w:jc w:val="center"/>
            </w:pPr>
            <w:r>
              <w:rPr>
                <w:sz w:val="18"/>
                <w:szCs w:val="18"/>
              </w:rPr>
              <w:t xml:space="preserve">1</w:t>
            </w:r>
          </w:p>
        </w:tc>
        <w:tc>
          <w:tcPr>
            <w:vAlign w:val="center"/>
          </w:tcPr>
          <w:p>
            <w:pPr>
              <w:pStyle w:val="Compact"/>
              <w:suppressAutoHyphens/>
              <w:jc w:val="center"/>
            </w:pPr>
            <w:r>
              <w:rPr>
                <w:sz w:val="18"/>
                <w:szCs w:val="18"/>
              </w:rPr>
              <w:t xml:space="preserve">n.d.</w:t>
            </w:r>
          </w:p>
        </w:tc>
      </w:tr>
      <w:tr>
        <w:tc>
          <w:tcPr>
            <w:vAlign w:val="center"/>
          </w:tcPr>
          <w:p>
            <w:pPr>
              <w:pStyle w:val="Compact"/>
              <w:suppressAutoHyphens/>
              <w:jc w:val="center"/>
            </w:pPr>
            <w:r>
              <w:rPr>
                <w:b/>
                <w:bCs/>
                <w:sz w:val="18"/>
                <w:szCs w:val="18"/>
              </w:rPr>
              <w:t xml:space="preserve">SELFIES-GA</w:t>
            </w:r>
            <w:r>
              <w:rPr>
                <w:sz w:val="18"/>
                <w:szCs w:val="18"/>
              </w:rPr>
              <w:t xml:space="preserve"> </w:t>
            </w:r>
            <w:r>
              <w:rPr>
                <w:sz w:val="18"/>
                <w:szCs w:val="18"/>
              </w:rPr>
              <w:t xml:space="preserve">(property optimisation, 2 000 pool, 30 gen)</w:t>
            </w:r>
            <w:r>
              <w:rPr>
                <w:vertAlign w:val="superscript"/>
                <w:sz w:val="18"/>
                <w:szCs w:val="18"/>
              </w:rPr>
              <w:t xml:space="preserve">†</w:t>
            </w:r>
          </w:p>
        </w:tc>
        <w:tc>
          <w:tcPr>
            <w:vAlign w:val="center"/>
          </w:tcPr>
          <w:p>
            <w:pPr>
              <w:pStyle w:val="Compact"/>
              <w:suppressAutoHyphens/>
              <w:jc w:val="center"/>
            </w:pPr>
            <w:r>
              <w:rPr>
                <w:sz w:val="18"/>
                <w:szCs w:val="18"/>
              </w:rPr>
              <w:t xml:space="preserve">n.c.</w:t>
            </w:r>
            <w:r>
              <w:rPr>
                <w:vertAlign w:val="superscript"/>
                <w:sz w:val="18"/>
                <w:szCs w:val="18"/>
              </w:rPr>
              <w:t xml:space="preserve">†</w:t>
            </w:r>
          </w:p>
        </w:tc>
        <w:tc>
          <w:tcPr>
            <w:vAlign w:val="center"/>
          </w:tcPr>
          <w:p>
            <w:pPr>
              <w:pStyle w:val="Compact"/>
              <w:suppressAutoHyphens/>
              <w:jc w:val="center"/>
            </w:pPr>
            <w:r>
              <w:rPr>
                <w:sz w:val="18"/>
                <w:szCs w:val="18"/>
              </w:rPr>
              <w:t xml:space="preserve">9.54</w:t>
            </w:r>
          </w:p>
        </w:tc>
        <w:tc>
          <w:tcPr>
            <w:vAlign w:val="center"/>
          </w:tcPr>
          <w:p>
            <w:pPr>
              <w:pStyle w:val="Compact"/>
              <w:suppressAutoHyphens/>
              <w:jc w:val="center"/>
            </w:pPr>
            <w:r>
              <w:rPr>
                <w:sz w:val="18"/>
                <w:szCs w:val="18"/>
              </w:rPr>
              <w:t xml:space="preserve">1.994</w:t>
            </w:r>
          </w:p>
        </w:tc>
        <w:tc>
          <w:tcPr>
            <w:vAlign w:val="center"/>
          </w:tcPr>
          <w:p>
            <w:pPr>
              <w:pStyle w:val="Compact"/>
              <w:suppressAutoHyphens/>
              <w:jc w:val="center"/>
            </w:pPr>
            <w:r>
              <w:rPr>
                <w:sz w:val="18"/>
                <w:szCs w:val="18"/>
              </w:rPr>
              <w:t xml:space="preserve">40.9</w:t>
            </w:r>
          </w:p>
        </w:tc>
        <w:tc>
          <w:tcPr>
            <w:vAlign w:val="center"/>
          </w:tcPr>
          <w:p>
            <w:pPr>
              <w:pStyle w:val="Compact"/>
              <w:suppressAutoHyphens/>
              <w:jc w:val="center"/>
            </w:pPr>
            <w:r>
              <w:rPr>
                <w:b/>
                <w:bCs/>
                <w:sz w:val="18"/>
                <w:szCs w:val="18"/>
              </w:rPr>
              <w:t xml:space="preserve">1.000</w:t>
            </w:r>
            <w:r>
              <w:rPr>
                <w:sz w:val="18"/>
                <w:szCs w:val="18"/>
              </w:rPr>
              <w:t xml:space="preserve"> </w:t>
            </w:r>
            <w:r>
              <w:rPr>
                <w:sz w:val="18"/>
                <w:szCs w:val="18"/>
              </w:rPr>
              <w:t xml:space="preserve">(exact LM match; 75/100 rediscoveries)</w:t>
            </w:r>
          </w:p>
        </w:tc>
        <w:tc>
          <w:tcPr>
            <w:vAlign w:val="center"/>
          </w:tcPr>
          <w:p>
            <w:pPr>
              <w:pStyle w:val="Compact"/>
              <w:suppressAutoHyphens/>
              <w:jc w:val="center"/>
            </w:pPr>
            <w:r>
              <w:rPr>
                <w:sz w:val="18"/>
                <w:szCs w:val="18"/>
              </w:rPr>
              <w:t xml:space="preserve">1</w:t>
            </w:r>
          </w:p>
        </w:tc>
        <w:tc>
          <w:tcPr>
            <w:vAlign w:val="center"/>
          </w:tcPr>
          <w:p>
            <w:pPr>
              <w:pStyle w:val="Compact"/>
              <w:suppressAutoHyphens/>
              <w:jc w:val="center"/>
            </w:pPr>
            <w:r>
              <w:rPr>
                <w:sz w:val="18"/>
                <w:szCs w:val="18"/>
              </w:rPr>
              <w:t xml:space="preserve">75%</w:t>
            </w:r>
          </w:p>
        </w:tc>
      </w:tr>
      <w:tr>
        <w:tc>
          <w:tcPr>
            <w:vAlign w:val="center"/>
          </w:tcPr>
          <w:p>
            <w:pPr>
              <w:pStyle w:val="Compact"/>
              <w:suppressAutoHyphens/>
              <w:jc w:val="center"/>
            </w:pPr>
            <w:r>
              <w:rPr>
                <w:b/>
                <w:bCs/>
                <w:sz w:val="18"/>
                <w:szCs w:val="18"/>
              </w:rPr>
              <w:t xml:space="preserve">REINVENT 4</w:t>
            </w:r>
            <w:r>
              <w:rPr>
                <w:sz w:val="18"/>
                <w:szCs w:val="18"/>
              </w:rPr>
              <w:t xml:space="preserve"> </w:t>
            </w:r>
            <w:r>
              <w:rPr>
                <w:sz w:val="18"/>
                <w:szCs w:val="18"/>
              </w:rPr>
              <w:t xml:space="preserve">(N-frac RL, 40k pool, seed 42)</w:t>
            </w:r>
            <w:r>
              <w:rPr>
                <w:vertAlign w:val="superscript"/>
                <w:sz w:val="18"/>
                <w:szCs w:val="18"/>
              </w:rPr>
              <w:t xml:space="preserve">‡</w:t>
            </w:r>
          </w:p>
        </w:tc>
        <w:tc>
          <w:tcPr>
            <w:vAlign w:val="center"/>
          </w:tcPr>
          <w:p>
            <w:pPr>
              <w:pStyle w:val="Compact"/>
              <w:suppressAutoHyphens/>
              <w:jc w:val="center"/>
            </w:pPr>
            <w:r>
              <w:rPr>
                <w:sz w:val="18"/>
                <w:szCs w:val="18"/>
              </w:rPr>
              <w:t xml:space="preserve">0.42</w:t>
            </w:r>
            <w:r>
              <w:rPr>
                <w:vertAlign w:val="superscript"/>
                <w:sz w:val="18"/>
                <w:szCs w:val="18"/>
              </w:rPr>
              <w:t xml:space="preserve">‡</w:t>
            </w:r>
          </w:p>
        </w:tc>
        <w:tc>
          <w:tcPr>
            <w:vAlign w:val="center"/>
          </w:tcPr>
          <w:p>
            <w:pPr>
              <w:pStyle w:val="Compact"/>
              <w:suppressAutoHyphens/>
              <w:jc w:val="center"/>
            </w:pPr>
            <w:r>
              <w:rPr>
                <w:sz w:val="18"/>
                <w:szCs w:val="18"/>
              </w:rPr>
              <w:t xml:space="preserve">9.02</w:t>
            </w:r>
            <w:r>
              <w:rPr>
                <w:vertAlign w:val="superscript"/>
                <w:sz w:val="18"/>
                <w:szCs w:val="18"/>
              </w:rPr>
              <w:t xml:space="preserve">‡</w:t>
            </w:r>
          </w:p>
        </w:tc>
        <w:tc>
          <w:tcPr>
            <w:vAlign w:val="center"/>
          </w:tcPr>
          <w:p>
            <w:pPr>
              <w:pStyle w:val="Compact"/>
              <w:suppressAutoHyphens/>
              <w:jc w:val="center"/>
            </w:pPr>
            <w:r>
              <w:rPr>
                <w:sz w:val="18"/>
                <w:szCs w:val="18"/>
              </w:rPr>
              <w:t xml:space="preserve">1.85</w:t>
            </w:r>
            <w:r>
              <w:rPr>
                <w:vertAlign w:val="superscript"/>
                <w:sz w:val="18"/>
                <w:szCs w:val="18"/>
              </w:rPr>
              <w:t xml:space="preserve">‡</w:t>
            </w:r>
          </w:p>
        </w:tc>
        <w:tc>
          <w:tcPr>
            <w:vAlign w:val="center"/>
          </w:tcPr>
          <w:p>
            <w:pPr>
              <w:pStyle w:val="Compact"/>
              <w:suppressAutoHyphens/>
              <w:jc w:val="center"/>
            </w:pPr>
            <w:r>
              <w:rPr>
                <w:sz w:val="18"/>
                <w:szCs w:val="18"/>
              </w:rPr>
              <w:t xml:space="preserve">34.5</w:t>
            </w:r>
            <w:r>
              <w:rPr>
                <w:vertAlign w:val="superscript"/>
                <w:sz w:val="18"/>
                <w:szCs w:val="18"/>
              </w:rPr>
              <w:t xml:space="preserve">‡</w:t>
            </w:r>
          </w:p>
        </w:tc>
        <w:tc>
          <w:tcPr>
            <w:vAlign w:val="center"/>
          </w:tcPr>
          <w:p>
            <w:pPr>
              <w:pStyle w:val="Compact"/>
              <w:suppressAutoHyphens/>
              <w:jc w:val="center"/>
            </w:pPr>
            <w:r>
              <w:rPr>
                <w:sz w:val="18"/>
                <w:szCs w:val="18"/>
              </w:rPr>
              <w:t xml:space="preserve">0.57 (aminotetrazine); 0.32–0.38 (seeds 1-2)</w:t>
            </w:r>
          </w:p>
        </w:tc>
        <w:tc>
          <w:tcPr>
            <w:vAlign w:val="center"/>
          </w:tcPr>
          <w:p>
            <w:pPr>
              <w:pStyle w:val="Compact"/>
              <w:suppressAutoHyphens/>
              <w:jc w:val="center"/>
            </w:pPr>
            <w:r>
              <w:rPr>
                <w:sz w:val="18"/>
                <w:szCs w:val="18"/>
              </w:rPr>
              <w:t xml:space="preserve">3</w:t>
            </w:r>
          </w:p>
        </w:tc>
        <w:tc>
          <w:tcPr>
            <w:vAlign w:val="center"/>
          </w:tcPr>
          <w:p>
            <w:pPr>
              <w:pStyle w:val="Compact"/>
              <w:suppressAutoHyphens/>
              <w:jc w:val="center"/>
            </w:pPr>
            <w:r>
              <w:rPr>
                <w:b/>
                <w:bCs/>
                <w:sz w:val="18"/>
                <w:szCs w:val="18"/>
              </w:rPr>
              <w:t xml:space="preserve">near-zero</w:t>
            </w:r>
            <w:r>
              <w:rPr>
                <w:sz w:val="18"/>
                <w:szCs w:val="18"/>
              </w:rPr>
              <w:t xml:space="preserve"> </w:t>
            </w:r>
            <w:r>
              <w:rPr>
                <w:sz w:val="18"/>
                <w:szCs w:val="18"/>
              </w:rPr>
              <w:t xml:space="preserve">&lt;0.1% (0.04% exact match, seeds 1-2; &lt;1% novelty-window, seed 42)</w:t>
            </w:r>
          </w:p>
        </w:tc>
      </w:tr>
      <w:tr>
        <w:tc>
          <w:tcPr>
            <w:vAlign w:val="center"/>
          </w:tcPr>
          <w:p>
            <w:pPr>
              <w:pStyle w:val="Compact"/>
              <w:suppressAutoHyphens/>
              <w:jc w:val="center"/>
            </w:pPr>
            <w:r>
              <w:rPr>
                <w:sz w:val="18"/>
                <w:szCs w:val="18"/>
              </w:rPr>
              <w:t xml:space="preserve">DGLD Hz-C0 = SA-C0 unguided (cfg-only)</w:t>
            </w:r>
          </w:p>
        </w:tc>
        <w:tc>
          <w:tcPr>
            <w:vAlign w:val="center"/>
          </w:tcPr>
          <w:p>
            <w:pPr>
              <w:pStyle w:val="Compact"/>
              <w:suppressAutoHyphens/>
              <w:jc w:val="center"/>
            </w:pPr>
            <w:r>
              <w:rPr>
                <w:sz w:val="18"/>
                <w:szCs w:val="18"/>
              </w:rPr>
              <w:t xml:space="preserve">0.451</w:t>
            </w:r>
            <w:r>
              <w:rPr>
                <w:sz w:val="18"/>
                <w:szCs w:val="18"/>
              </w:rPr>
              <w:t xml:space="preserve"> </w:t>
            </w:r>
            <m:oMath>
              <m:r>
                <w:rPr>
                  <w:sz w:val="18"/>
                  <w:szCs w:val="18"/>
                </w:rPr>
                <m:rPr>
                  <m:sty m:val="p"/>
                </m:rPr>
                <m:t>±</m:t>
              </m:r>
            </m:oMath>
            <w:r>
              <w:rPr>
                <w:sz w:val="18"/>
                <w:szCs w:val="18"/>
              </w:rPr>
              <w:t xml:space="preserve"> </w:t>
            </w:r>
            <w:r>
              <w:rPr>
                <w:sz w:val="18"/>
                <w:szCs w:val="18"/>
              </w:rPr>
              <w:t xml:space="preserve">0.126</w:t>
            </w:r>
          </w:p>
        </w:tc>
        <w:tc>
          <w:tcPr>
            <w:vAlign w:val="center"/>
          </w:tcPr>
          <w:p>
            <w:pPr>
              <w:pStyle w:val="Compact"/>
              <w:suppressAutoHyphens/>
              <w:jc w:val="center"/>
            </w:pPr>
            <w:r>
              <w:rPr>
                <w:sz w:val="18"/>
                <w:szCs w:val="18"/>
              </w:rPr>
              <w:t xml:space="preserve">9.44</w:t>
            </w:r>
            <w:r>
              <w:rPr>
                <w:sz w:val="18"/>
                <w:szCs w:val="18"/>
              </w:rPr>
              <w:t xml:space="preserve"> </w:t>
            </w:r>
            <m:oMath>
              <m:r>
                <w:rPr>
                  <w:sz w:val="18"/>
                  <w:szCs w:val="18"/>
                </w:rPr>
                <m:rPr>
                  <m:sty m:val="p"/>
                </m:rPr>
                <m:t>±</m:t>
              </m:r>
            </m:oMath>
            <w:r>
              <w:rPr>
                <w:sz w:val="18"/>
                <w:szCs w:val="18"/>
              </w:rPr>
              <w:t xml:space="preserve"> </w:t>
            </w:r>
            <w:r>
              <w:rPr>
                <w:sz w:val="18"/>
                <w:szCs w:val="18"/>
              </w:rPr>
              <w:t xml:space="preserve">0.07</w:t>
            </w:r>
          </w:p>
        </w:tc>
        <w:tc>
          <w:tcPr>
            <w:vAlign w:val="center"/>
          </w:tcPr>
          <w:p>
            <w:pPr>
              <w:pStyle w:val="Compact"/>
              <w:suppressAutoHyphens/>
              <w:jc w:val="center"/>
            </w:pPr>
            <w:r>
              <w:rPr>
                <w:sz w:val="18"/>
                <w:szCs w:val="18"/>
              </w:rPr>
              <w:t xml:space="preserve">1.93</w:t>
            </w:r>
            <w:r>
              <w:rPr>
                <w:sz w:val="18"/>
                <w:szCs w:val="18"/>
              </w:rPr>
              <w:t xml:space="preserve"> </w:t>
            </w:r>
            <m:oMath>
              <m:r>
                <w:rPr>
                  <w:sz w:val="18"/>
                  <w:szCs w:val="18"/>
                </w:rPr>
                <m:rPr>
                  <m:sty m:val="p"/>
                </m:rPr>
                <m:t>±</m:t>
              </m:r>
            </m:oMath>
            <w:r>
              <w:rPr>
                <w:sz w:val="18"/>
                <w:szCs w:val="18"/>
              </w:rPr>
              <w:t xml:space="preserve"> </w:t>
            </w:r>
            <w:r>
              <w:rPr>
                <w:sz w:val="18"/>
                <w:szCs w:val="18"/>
              </w:rPr>
              <w:t xml:space="preserve">0.01</w:t>
            </w:r>
          </w:p>
        </w:tc>
        <w:tc>
          <w:tcPr>
            <w:vAlign w:val="center"/>
          </w:tcPr>
          <w:p>
            <w:pPr>
              <w:pStyle w:val="Compact"/>
              <w:suppressAutoHyphens/>
              <w:jc w:val="center"/>
            </w:pPr>
            <w:r>
              <w:rPr>
                <w:sz w:val="18"/>
                <w:szCs w:val="18"/>
              </w:rPr>
              <w:t xml:space="preserve">39.7</w:t>
            </w:r>
            <w:r>
              <w:rPr>
                <w:sz w:val="18"/>
                <w:szCs w:val="18"/>
              </w:rPr>
              <w:t xml:space="preserve"> </w:t>
            </w:r>
            <m:oMath>
              <m:r>
                <w:rPr>
                  <w:sz w:val="18"/>
                  <w:szCs w:val="18"/>
                </w:rPr>
                <m:rPr>
                  <m:sty m:val="p"/>
                </m:rPr>
                <m:t>±</m:t>
              </m:r>
            </m:oMath>
            <w:r>
              <w:rPr>
                <w:sz w:val="18"/>
                <w:szCs w:val="18"/>
              </w:rPr>
              <w:t xml:space="preserve"> </w:t>
            </w:r>
            <w:r>
              <w:rPr>
                <w:sz w:val="18"/>
                <w:szCs w:val="18"/>
              </w:rPr>
              <w:t xml:space="preserve">0.6</w:t>
            </w:r>
          </w:p>
        </w:tc>
        <w:tc>
          <w:tcPr>
            <w:vAlign w:val="center"/>
          </w:tcPr>
          <w:p>
            <w:pPr>
              <w:pStyle w:val="Compact"/>
              <w:suppressAutoHyphens/>
              <w:jc w:val="center"/>
            </w:pPr>
            <w:r>
              <w:rPr>
                <w:sz w:val="18"/>
                <w:szCs w:val="18"/>
              </w:rPr>
              <w:t xml:space="preserve">0.61</w:t>
            </w:r>
            <w:r>
              <w:rPr>
                <w:sz w:val="18"/>
                <w:szCs w:val="18"/>
              </w:rPr>
              <w:t xml:space="preserve"> </w:t>
            </w:r>
            <m:oMath>
              <m:r>
                <w:rPr>
                  <w:sz w:val="18"/>
                  <w:szCs w:val="18"/>
                </w:rPr>
                <m:rPr>
                  <m:sty m:val="p"/>
                </m:rPr>
                <m:t>±</m:t>
              </m:r>
            </m:oMath>
            <w:r>
              <w:rPr>
                <w:sz w:val="18"/>
                <w:szCs w:val="18"/>
              </w:rPr>
              <w:t xml:space="preserve"> </w:t>
            </w:r>
            <w:r>
              <w:rPr>
                <w:sz w:val="18"/>
                <w:szCs w:val="18"/>
              </w:rPr>
              <w:t xml:space="preserve">0.10</w:t>
            </w:r>
          </w:p>
        </w:tc>
        <w:tc>
          <w:tcPr>
            <w:vAlign w:val="center"/>
          </w:tcPr>
          <w:p>
            <w:pPr>
              <w:pStyle w:val="Compact"/>
              <w:suppressAutoHyphens/>
              <w:jc w:val="center"/>
            </w:pPr>
            <w:r>
              <w:rPr>
                <w:sz w:val="18"/>
                <w:szCs w:val="18"/>
              </w:rPr>
              <w:t xml:space="preserve">6</w:t>
            </w:r>
          </w:p>
        </w:tc>
        <w:tc>
          <w:tcPr>
            <w:vAlign w:val="center"/>
          </w:tcPr>
          <w:p>
            <w:pPr>
              <w:pStyle w:val="Compact"/>
              <w:suppressAutoHyphens/>
              <w:jc w:val="center"/>
            </w:pPr>
            <w:r>
              <w:rPr>
                <w:sz w:val="18"/>
                <w:szCs w:val="18"/>
              </w:rPr>
              <w:t xml:space="preserve">0%</w:t>
            </w:r>
          </w:p>
        </w:tc>
      </w:tr>
      <w:tr>
        <w:tc>
          <w:tcPr>
            <w:vAlign w:val="center"/>
          </w:tcPr>
          <w:p>
            <w:pPr>
              <w:pStyle w:val="Compact"/>
              <w:suppressAutoHyphens/>
              <w:jc w:val="center"/>
            </w:pPr>
            <w:r>
              <w:rPr>
                <w:b/>
                <w:bCs/>
                <w:sz w:val="18"/>
                <w:szCs w:val="18"/>
              </w:rPr>
              <w:t xml:space="preserve">DGLD Hz-C2 viab+sens+hazard</w:t>
            </w:r>
          </w:p>
        </w:tc>
        <w:tc>
          <w:tcPr>
            <w:vAlign w:val="center"/>
          </w:tcPr>
          <w:p>
            <w:pPr>
              <w:pStyle w:val="Compact"/>
              <w:suppressAutoHyphens/>
              <w:jc w:val="center"/>
            </w:pPr>
            <w:r>
              <w:rPr>
                <w:sz w:val="18"/>
                <w:szCs w:val="18"/>
              </w:rPr>
              <w:t xml:space="preserve">0.485</w:t>
            </w:r>
            <w:r>
              <w:rPr>
                <w:sz w:val="18"/>
                <w:szCs w:val="18"/>
              </w:rPr>
              <w:t xml:space="preserve"> </w:t>
            </w:r>
            <m:oMath>
              <m:r>
                <w:rPr>
                  <w:sz w:val="18"/>
                  <w:szCs w:val="18"/>
                </w:rPr>
                <m:rPr>
                  <m:sty m:val="p"/>
                </m:rPr>
                <m:t>±</m:t>
              </m:r>
            </m:oMath>
            <w:r>
              <w:rPr>
                <w:sz w:val="18"/>
                <w:szCs w:val="18"/>
              </w:rPr>
              <w:t xml:space="preserve"> </w:t>
            </w:r>
            <w:r>
              <w:rPr>
                <w:sz w:val="18"/>
                <w:szCs w:val="18"/>
              </w:rPr>
              <w:t xml:space="preserve">0.152</w:t>
            </w:r>
          </w:p>
        </w:tc>
        <w:tc>
          <w:tcPr>
            <w:vAlign w:val="center"/>
          </w:tcPr>
          <w:p>
            <w:pPr>
              <w:pStyle w:val="Compact"/>
              <w:suppressAutoHyphens/>
              <w:jc w:val="center"/>
            </w:pPr>
            <w:r>
              <w:rPr>
                <w:sz w:val="18"/>
                <w:szCs w:val="18"/>
              </w:rPr>
              <w:t xml:space="preserve">9.39</w:t>
            </w:r>
            <w:r>
              <w:rPr>
                <w:sz w:val="18"/>
                <w:szCs w:val="18"/>
              </w:rPr>
              <w:t xml:space="preserve"> </w:t>
            </w:r>
            <m:oMath>
              <m:r>
                <w:rPr>
                  <w:sz w:val="18"/>
                  <w:szCs w:val="18"/>
                </w:rPr>
                <m:rPr>
                  <m:sty m:val="p"/>
                </m:rPr>
                <m:t>±</m:t>
              </m:r>
            </m:oMath>
            <w:r>
              <w:rPr>
                <w:sz w:val="18"/>
                <w:szCs w:val="18"/>
              </w:rPr>
              <w:t xml:space="preserve"> </w:t>
            </w:r>
            <w:r>
              <w:rPr>
                <w:sz w:val="18"/>
                <w:szCs w:val="18"/>
              </w:rPr>
              <w:t xml:space="preserve">0.04</w:t>
            </w:r>
          </w:p>
        </w:tc>
        <w:tc>
          <w:tcPr>
            <w:vAlign w:val="center"/>
          </w:tcPr>
          <w:p>
            <w:pPr>
              <w:pStyle w:val="Compact"/>
              <w:suppressAutoHyphens/>
              <w:jc w:val="center"/>
            </w:pPr>
            <w:r>
              <w:rPr>
                <w:sz w:val="18"/>
                <w:szCs w:val="18"/>
              </w:rPr>
              <w:t xml:space="preserve">1.91</w:t>
            </w:r>
            <w:r>
              <w:rPr>
                <w:sz w:val="18"/>
                <w:szCs w:val="18"/>
              </w:rPr>
              <w:t xml:space="preserve"> </w:t>
            </w:r>
            <m:oMath>
              <m:r>
                <w:rPr>
                  <w:sz w:val="18"/>
                  <w:szCs w:val="18"/>
                </w:rPr>
                <m:rPr>
                  <m:sty m:val="p"/>
                </m:rPr>
                <m:t>±</m:t>
              </m:r>
            </m:oMath>
            <w:r>
              <w:rPr>
                <w:sz w:val="18"/>
                <w:szCs w:val="18"/>
              </w:rPr>
              <w:t xml:space="preserve"> </w:t>
            </w:r>
            <w:r>
              <w:rPr>
                <w:sz w:val="18"/>
                <w:szCs w:val="18"/>
              </w:rPr>
              <w:t xml:space="preserve">0.03</w:t>
            </w:r>
          </w:p>
        </w:tc>
        <w:tc>
          <w:tcPr>
            <w:vAlign w:val="center"/>
          </w:tcPr>
          <w:p>
            <w:pPr>
              <w:pStyle w:val="Compact"/>
              <w:suppressAutoHyphens/>
              <w:jc w:val="center"/>
            </w:pPr>
            <w:r>
              <w:rPr>
                <w:sz w:val="18"/>
                <w:szCs w:val="18"/>
              </w:rPr>
              <w:t xml:space="preserve">38.7</w:t>
            </w:r>
            <w:r>
              <w:rPr>
                <w:sz w:val="18"/>
                <w:szCs w:val="18"/>
              </w:rPr>
              <w:t xml:space="preserve"> </w:t>
            </w:r>
            <m:oMath>
              <m:r>
                <w:rPr>
                  <w:sz w:val="18"/>
                  <w:szCs w:val="18"/>
                </w:rPr>
                <m:rPr>
                  <m:sty m:val="p"/>
                </m:rPr>
                <m:t>±</m:t>
              </m:r>
            </m:oMath>
            <w:r>
              <w:rPr>
                <w:sz w:val="18"/>
                <w:szCs w:val="18"/>
              </w:rPr>
              <w:t xml:space="preserve"> </w:t>
            </w:r>
            <w:r>
              <w:rPr>
                <w:sz w:val="18"/>
                <w:szCs w:val="18"/>
              </w:rPr>
              <w:t xml:space="preserve">0.6</w:t>
            </w:r>
          </w:p>
        </w:tc>
        <w:tc>
          <w:tcPr>
            <w:vAlign w:val="center"/>
          </w:tcPr>
          <w:p>
            <w:pPr>
              <w:pStyle w:val="Compact"/>
              <w:suppressAutoHyphens/>
              <w:jc w:val="center"/>
            </w:pPr>
            <w:r>
              <w:rPr>
                <w:b/>
                <w:bCs/>
                <w:sz w:val="18"/>
                <w:szCs w:val="18"/>
              </w:rPr>
              <w:t xml:space="preserve">0.27</w:t>
            </w:r>
            <w:r>
              <w:rPr>
                <w:b/>
                <w:bCs/>
                <w:sz w:val="18"/>
                <w:szCs w:val="18"/>
              </w:rPr>
              <w:t xml:space="preserve"> </w:t>
            </w:r>
            <m:oMath>
              <m:r>
                <w:rPr>
                  <w:sz w:val="18"/>
                  <w:szCs w:val="18"/>
                </w:rPr>
                <m:rPr>
                  <m:sty m:val="p"/>
                </m:rPr>
                <m:t>±</m:t>
              </m:r>
            </m:oMath>
            <w:r>
              <w:rPr>
                <w:b/>
                <w:bCs/>
                <w:sz w:val="18"/>
                <w:szCs w:val="18"/>
              </w:rPr>
              <w:t xml:space="preserve"> </w:t>
            </w:r>
            <w:r>
              <w:rPr>
                <w:b/>
                <w:bCs/>
                <w:sz w:val="18"/>
                <w:szCs w:val="18"/>
              </w:rPr>
              <w:t xml:space="preserve">0.03</w:t>
            </w:r>
          </w:p>
        </w:tc>
        <w:tc>
          <w:tcPr>
            <w:vAlign w:val="center"/>
          </w:tcPr>
          <w:p>
            <w:pPr>
              <w:pStyle w:val="Compact"/>
              <w:suppressAutoHyphens/>
              <w:jc w:val="center"/>
            </w:pPr>
            <w:r>
              <w:rPr>
                <w:sz w:val="18"/>
                <w:szCs w:val="18"/>
              </w:rPr>
              <w:t xml:space="preserve">3</w:t>
            </w:r>
          </w:p>
        </w:tc>
        <w:tc>
          <w:tcPr>
            <w:vAlign w:val="center"/>
          </w:tcPr>
          <w:p>
            <w:pPr>
              <w:pStyle w:val="Compact"/>
              <w:suppressAutoHyphens/>
              <w:jc w:val="center"/>
            </w:pPr>
            <w:r>
              <w:rPr>
                <w:sz w:val="18"/>
                <w:szCs w:val="18"/>
              </w:rPr>
              <w:t xml:space="preserve">0%</w:t>
            </w:r>
          </w:p>
        </w:tc>
      </w:tr>
    </w:tbl>
    <w:p xmlns:a="http://schemas.openxmlformats.org/drawingml/2006/main" xmlns:pic="http://schemas.openxmlformats.org/drawingml/2006/picture">
      <w:pPr>
        <w:pStyle w:val="MDPI52figure"/>
        <w:ind w:left="2608"/>
        <w:jc w:val="center"/>
      </w:pPr>
      <w:r>
        <w:drawing>
          <wp:inline>
            <wp:extent cx="4989830" cy="2747524"/>
            <wp:effectExtent b="0" l="0" r="0" t="0"/>
            <wp:docPr descr="Forest plot of top-1 Pareto-reranker composite penalty" title="" id="45" name="Picture"/>
            <a:graphic>
              <a:graphicData uri="http://schemas.openxmlformats.org/drawingml/2006/picture">
                <pic:pic>
                  <pic:nvPicPr>
                    <pic:cNvPr descr="../figs/fig_baseline_forest.png" id="46" name="Picture"/>
                    <pic:cNvPicPr>
                      <a:picLocks noChangeArrowheads="1" noChangeAspect="1"/>
                    </pic:cNvPicPr>
                  </pic:nvPicPr>
                  <pic:blipFill>
                    <a:blip r:embed="rId23"/>
                    <a:stretch>
                      <a:fillRect/>
                    </a:stretch>
                  </pic:blipFill>
                  <pic:spPr bwMode="auto">
                    <a:xfrm>
                      <a:off x="0" y="0"/>
                      <a:ext cx="4989830" cy="2747524"/>
                    </a:xfrm>
                    <a:prstGeom prst="rect">
                      <a:avLst/>
                    </a:prstGeom>
                    <a:noFill/>
                    <a:ln w="9525">
                      <a:noFill/>
                      <a:headEnd/>
                      <a:tailEnd/>
                    </a:ln>
                  </pic:spPr>
                </pic:pic>
              </a:graphicData>
            </a:graphic>
          </wp:inline>
        </w:drawing>
      </w:r>
    </w:p>
    <w:p>
      <w:pPr>
        <w:pStyle w:val="MDPI51figurecaption"/>
        <w:ind w:left="2608"/>
      </w:pPr>
      <w:r>
        <w:rPr>
          <w:b/>
          <w:bCs/>
        </w:rPr>
        <w:t xml:space="preserve">Figure 6.</w:t>
      </w:r>
      <w:r>
        <w:t xml:space="preserve"> </w:t>
      </w:r>
      <w:r>
        <w:t xml:space="preserve">Forest plot of top-1 Pareto-reranker composite penalty (mean</w:t>
      </w:r>
      <w:r>
        <w:t xml:space="preserve"> </w:t>
      </w:r>
      <m:oMath>
        <m:r>
          <m:rPr>
            <m:sty m:val="p"/>
          </m:rPr>
          <m:t>±</m:t>
        </m:r>
      </m:oMath>
      <w:r>
        <w:t xml:space="preserve"> </w:t>
      </w:r>
      <w:r>
        <w:t xml:space="preserve">s.d., lower is better) for DGLD hazard-axis (Hz-C0…Hz-C3) and SA-axis (SA-C1…SA-C3) conditions, SMILES-LSTM, MolMIM 70 M, REINVENT 4 (N-fraction proxy), and SELFIES-GA 2k (alt-scale composite). MolMIM is a drug-domain reference and its composite is on a different scale (uncalibrated); the bar extends to ~4.79 and is shown for completeness rather than direct comparison. Dashed line marks the SMILES-LSTM reference. SELFIES-GA composite is the 2k-pool internal score; see Table 7 footnotes for cross-method comparability caveats.</w:t>
      </w:r>
    </w:p>
    <w:p>
      <w:pPr>
        <w:pStyle w:val="MDPI31text"/>
        <w:ind w:left="2608"/>
      </w:pPr>
      <w:r>
        <w:rPr>
          <w:b/>
          <w:bCs/>
        </w:rPr>
        <w:t xml:space="preserve">SELFIES-GA collapses under DFT audit.</w:t>
      </w:r>
      <w:r>
        <w:t xml:space="preserve"> </w:t>
      </w:r>
      <w:r>
        <w:rPr>
          <w:b/>
          <w:bCs/>
        </w:rPr>
        <w:t xml:space="preserve">SELFIES-GA</w:t>
      </w:r>
      <w:r>
        <w:t xml:space="preserve"> </w:t>
      </w:r>
      <w:r>
        <w:t xml:space="preserve">(2k-molecule pool, 30 generations) returns 75/100 top candidates as exact corpus rediscoveries (top-1 is a rediscovery); the best novel candidate at 2k is rank 5 (</w:t>
      </w:r>
      <m:oMath>
        <m:r>
          <m:t>D</m:t>
        </m:r>
        <m:r>
          <m:rPr>
            <m:sty m:val="p"/>
          </m:rPr>
          <m:t>=</m:t>
        </m:r>
        <m:r>
          <m:t>9.39</m:t>
        </m:r>
      </m:oMath>
      <w:r>
        <w:t xml:space="preserve"> km s</w:t>
      </w:r>
      <w:r>
        <w:rPr>
          <w:vertAlign w:val="superscript"/>
        </w:rPr>
        <w:t xml:space="preserve">−1</w:t>
      </w:r>
      <w:r>
        <w:t xml:space="preserve">, max-Tanimoto 0.487); at 40k pool,</w:t>
      </w:r>
      <w:r>
        <w:t xml:space="preserve"> </w:t>
      </w:r>
      <w:r>
        <w:rPr>
          <w:b/>
          <w:bCs/>
        </w:rPr>
        <w:t xml:space="preserve">the best novel outlier reaches</w:t>
      </w:r>
      <w:r>
        <w:rPr>
          <w:b/>
          <w:bCs/>
        </w:rPr>
        <w:t xml:space="preserve"> </w:t>
      </w:r>
      <m:oMath>
        <m:sSub>
          <m:e>
            <m:r>
              <m:t>D</m:t>
            </m:r>
          </m:e>
          <m:sub>
            <m:r>
              <m:rPr>
                <m:nor/>
                <m:sty m:val="p"/>
              </m:rPr>
              <m:t>surrogate</m:t>
            </m:r>
          </m:sub>
        </m:sSub>
        <m:r>
          <m:rPr>
            <m:sty m:val="p"/>
          </m:rPr>
          <m:t>=</m:t>
        </m:r>
        <m:r>
          <m:t>9.73</m:t>
        </m:r>
      </m:oMath>
      <w:r>
        <w:rPr>
          <w:b/>
          <w:bCs/>
        </w:rPr>
        <w:t xml:space="preserve"> km s</w:t>
      </w:r>
      <w:r>
        <w:rPr>
          <w:b/>
          <w:bCs/>
          <w:vertAlign w:val="superscript"/>
        </w:rPr>
        <w:t xml:space="preserve">−1</w:t>
      </w:r>
      <w:r>
        <w:rPr>
          <w:b/>
          <w:bCs/>
        </w:rPr>
        <w:t xml:space="preserve"> </w:t>
      </w:r>
      <w:r>
        <w:rPr>
          <w:b/>
          <w:bCs/>
        </w:rPr>
        <w:t xml:space="preserve">but collapses to</w:t>
      </w:r>
      <w:r>
        <w:rPr>
          <w:b/>
          <w:bCs/>
        </w:rPr>
        <w:t xml:space="preserve"> </w:t>
      </w:r>
      <m:oMath>
        <m:sSub>
          <m:e>
            <m:r>
              <m:t>D</m:t>
            </m:r>
          </m:e>
          <m:sub>
            <m:r>
              <m:rPr>
                <m:nor/>
                <m:sty m:val="p"/>
              </m:rPr>
              <m:t>DFT</m:t>
            </m:r>
          </m:sub>
        </m:sSub>
        <m:r>
          <m:rPr>
            <m:sty m:val="p"/>
          </m:rPr>
          <m:t>=</m:t>
        </m:r>
        <m:r>
          <m:t>6.28</m:t>
        </m:r>
      </m:oMath>
      <w:r>
        <w:rPr>
          <w:b/>
          <w:bCs/>
        </w:rPr>
        <w:t xml:space="preserve"> km s</w:t>
      </w:r>
      <w:r>
        <w:rPr>
          <w:b/>
          <w:bCs/>
          <w:vertAlign w:val="superscript"/>
        </w:rPr>
        <w:t xml:space="preserve">−1</w:t>
      </w:r>
      <w:r>
        <w:rPr>
          <w:b/>
          <w:bCs/>
        </w:rPr>
        <w:t xml:space="preserve"> </w:t>
      </w:r>
      <w:r>
        <w:rPr>
          <w:b/>
          <w:bCs/>
        </w:rPr>
        <w:t xml:space="preserve">under the same DFT audit chain applied to DGLD leads (3.5 km s</w:t>
      </w:r>
      <w:r>
        <w:rPr>
          <w:b/>
          <w:bCs/>
          <w:vertAlign w:val="superscript"/>
        </w:rPr>
        <w:t xml:space="preserve">−1</w:t>
      </w:r>
      <w:r>
        <w:rPr>
          <w:b/>
          <w:bCs/>
        </w:rPr>
        <w:t xml:space="preserve"> </w:t>
      </w:r>
      <w:r>
        <w:rPr>
          <w:b/>
          <w:bCs/>
        </w:rPr>
        <w:t xml:space="preserve">surrogate artefact</w:t>
      </w:r>
      <w:r>
        <w:t xml:space="preserve">; the Uni-Mol is not calibrated for nitro-oxadiazole/triazole fused scaffolds).</w:t>
      </w:r>
      <w:r>
        <w:t xml:space="preserve"> </w:t>
      </w:r>
      <w:r>
        <w:rPr>
          <w:b/>
          <w:bCs/>
        </w:rPr>
        <w:t xml:space="preserve">SMILES-LSTM</w:t>
      </w:r>
      <w:r>
        <w:t xml:space="preserve"> </w:t>
      </w:r>
      <w:r>
        <w:t xml:space="preserve">(2-layer, 6 M parameters, trained on the same 326 k SMILES corpus): top-1 is an exact labelled-master rediscovery (max-Tanimoto = 1.000); memorisation rate 18.3% ± 0.5% across 3 seeds, seed-stable. The best novel top-1 is a 5-atom aminotriazole fragment with no Uni-Mol score; the model reproduces training data, not new energetic leads.</w:t>
      </w:r>
      <w:r>
        <w:t xml:space="preserve"> </w:t>
      </w:r>
      <w:r>
        <w:rPr>
          <w:b/>
          <w:bCs/>
        </w:rPr>
        <w:t xml:space="preserve">MolMIM 70 M</w:t>
      </w:r>
      <w:r>
        <w:t xml:space="preserve"> </w:t>
      </w:r>
      <w:r>
        <w:t xml:space="preserve">(drug-domain pretrained): top-1 novel at Tanimoto 0.625 but at</w:t>
      </w:r>
      <w:r>
        <w:t xml:space="preserve"> </w:t>
      </w:r>
      <m:oMath>
        <m:r>
          <m:t>D</m:t>
        </m:r>
        <m:r>
          <m:rPr>
            <m:sty m:val="p"/>
          </m:rPr>
          <m:t>=</m:t>
        </m:r>
        <m:r>
          <m:t>7.70</m:t>
        </m:r>
      </m:oMath>
      <w:r>
        <w:t xml:space="preserve"> km s</w:t>
      </w:r>
      <w:r>
        <w:rPr>
          <w:vertAlign w:val="superscript"/>
        </w:rPr>
        <w:t xml:space="preserve">−1</w:t>
      </w:r>
      <w:r>
        <w:t xml:space="preserve">, far below HMX; uncalibrated for the energetic regime.</w:t>
      </w:r>
      <w:r>
        <w:t xml:space="preserve"> </w:t>
      </w:r>
      <w:r>
        <w:rPr>
          <w:b/>
          <w:bCs/>
        </w:rPr>
        <w:t xml:space="preserve">REINVENT 4</w:t>
      </w:r>
      <w:r>
        <w:t xml:space="preserve"> </w:t>
      </w:r>
      <w:r>
        <w:t xml:space="preserve">(N-fraction RL reward, 3 seeds, 40k pool): generates genuinely novel high-N heterocycles with exact memorisation below 0.1%; seed-42 top-100 Uni-Mol-scored at top-1</w:t>
      </w:r>
      <w:r>
        <w:t xml:space="preserve"> </w:t>
      </w:r>
      <m:oMath>
        <m:r>
          <m:t>D</m:t>
        </m:r>
        <m:r>
          <m:rPr>
            <m:sty m:val="p"/>
          </m:rPr>
          <m:t>=</m:t>
        </m:r>
        <m:r>
          <m:t>9.02</m:t>
        </m:r>
      </m:oMath>
      <w:r>
        <w:t xml:space="preserve"> km s</w:t>
      </w:r>
      <w:r>
        <w:rPr>
          <w:vertAlign w:val="superscript"/>
        </w:rPr>
        <w:t xml:space="preserve">−1</w:t>
      </w:r>
      <w:r>
        <w:t xml:space="preserve">, 0.37 km s</w:t>
      </w:r>
      <w:r>
        <w:rPr>
          <w:vertAlign w:val="superscript"/>
        </w:rPr>
        <w:t xml:space="preserve">−1</w:t>
      </w:r>
      <w:r>
        <w:t xml:space="preserve"> </w:t>
      </w:r>
      <w:r>
        <w:t xml:space="preserve">below DGLD Hz-C2. N-fraction RL is a useful novelty lever but does not optimise directly for the D/ρ/P targets DGLD conditions on.</w:t>
      </w:r>
      <w:r>
        <w:t xml:space="preserve"> </w:t>
      </w:r>
      <w:r>
        <w:rPr>
          <w:b/>
          <w:bCs/>
        </w:rPr>
        <w:t xml:space="preserve">DGLD Hz-C2</w:t>
      </w:r>
      <w:r>
        <w:t xml:space="preserve"> </w:t>
      </w:r>
      <w:r>
        <w:t xml:space="preserve">is the only condition with consistent novel productive-quadrant coverage confirmed at DFT level. Supplementary Section E lists the ten most-novel candidates from each baseline pool.</w:t>
      </w:r>
    </w:p>
    <w:p xmlns:a="http://schemas.openxmlformats.org/drawingml/2006/main" xmlns:pic="http://schemas.openxmlformats.org/drawingml/2006/picture">
      <w:pPr>
        <w:pStyle w:val="MDPI52figure"/>
        <w:ind w:left="2608"/>
        <w:jc w:val="center"/>
      </w:pPr>
      <w:r>
        <w:drawing>
          <wp:inline>
            <wp:extent cx="4989830" cy="4005827"/>
            <wp:effectExtent b="0" l="0" r="0" t="0"/>
            <wp:docPr descr="Productive-quadrant scatter: S vs viability for DFT-confirmed leads" title="" id="49" name="Picture"/>
            <a:graphic>
              <a:graphicData uri="http://schemas.openxmlformats.org/drawingml/2006/picture">
                <pic:pic>
                  <pic:nvPicPr>
                    <pic:cNvPr descr="../figs/fig_quadrant_scatter.png" id="50" name="Picture"/>
                    <pic:cNvPicPr>
                      <a:picLocks noChangeArrowheads="1" noChangeAspect="1"/>
                    </pic:cNvPicPr>
                  </pic:nvPicPr>
                  <pic:blipFill>
                    <a:blip r:embed="rId24"/>
                    <a:stretch>
                      <a:fillRect/>
                    </a:stretch>
                  </pic:blipFill>
                  <pic:spPr bwMode="auto">
                    <a:xfrm>
                      <a:off x="0" y="0"/>
                      <a:ext cx="4989830" cy="4005827"/>
                    </a:xfrm>
                    <a:prstGeom prst="rect">
                      <a:avLst/>
                    </a:prstGeom>
                    <a:noFill/>
                    <a:ln w="9525">
                      <a:noFill/>
                      <a:headEnd/>
                      <a:tailEnd/>
                    </a:ln>
                  </pic:spPr>
                </pic:pic>
              </a:graphicData>
            </a:graphic>
          </wp:inline>
        </w:drawing>
      </w:r>
    </w:p>
    <w:p>
      <w:pPr>
        <w:pStyle w:val="MDPI51figurecaption"/>
        <w:ind w:left="2608"/>
      </w:pPr>
      <w:r>
        <w:rPr>
          <w:b/>
          <w:bCs/>
        </w:rPr>
        <w:t xml:space="preserve">Figure 7.</w:t>
      </w:r>
      <w:r>
        <w:t xml:space="preserve"> </w:t>
      </w:r>
      <w:r>
        <w:t xml:space="preserve">Productive-quadrant scatter for the 11 DFT-confirmed lead cards (10 unique) with the four no-diffusion baselines as reference markers.</w:t>
      </w:r>
      <w:r>
        <w:t xml:space="preserve"> </w:t>
      </w:r>
      <m:oMath>
        <m:r>
          <m:t>x</m:t>
        </m:r>
      </m:oMath>
      <w:r>
        <w:t xml:space="preserve">-axis: viability probability (RF classifier, energetic vs ZINC);</w:t>
      </w:r>
      <w:r>
        <w:t xml:space="preserve"> </w:t>
      </w:r>
      <m:oMath>
        <m:r>
          <m:t>y</m:t>
        </m:r>
      </m:oMath>
      <w:r>
        <w:t xml:space="preserve">-axis: composite score</w:t>
      </w:r>
      <w:r>
        <w:t xml:space="preserve"> </w:t>
      </w:r>
      <m:oMath>
        <m:r>
          <m:t>S</m:t>
        </m:r>
      </m:oMath>
      <w:r>
        <w:t xml:space="preserve"> </w:t>
      </w:r>
      <w:r>
        <w:t xml:space="preserve">(higher = better). Dashed lines mark the top-5 thresholds (</w:t>
      </w:r>
      <m:oMath>
        <m:r>
          <m:t>S</m:t>
        </m:r>
        <m:r>
          <m:rPr>
            <m:sty m:val="p"/>
          </m:rPr>
          <m:t>=</m:t>
        </m:r>
        <m:r>
          <m:t>0.65</m:t>
        </m:r>
      </m:oMath>
      <w:r>
        <w:t xml:space="preserve">, viab</w:t>
      </w:r>
      <w:r>
        <w:t xml:space="preserve"> </w:t>
      </w:r>
      <m:oMath>
        <m:r>
          <m:rPr>
            <m:sty m:val="p"/>
          </m:rPr>
          <m:t>=</m:t>
        </m:r>
        <m:r>
          <m:t>0.83</m:t>
        </m:r>
      </m:oMath>
      <w:r>
        <w:t xml:space="preserve">); the green-tinted upper-right quadrant is the productive zone (novel + HMX-class). Marker area is proportional to drop-weight impact sensitivity</w:t>
      </w:r>
      <w:r>
        <w:t xml:space="preserve"> </w:t>
      </w:r>
      <m:oMath>
        <m:sSub>
          <m:e>
            <m:r>
              <m:t>h</m:t>
            </m:r>
          </m:e>
          <m:sub>
            <m:r>
              <m:t>50</m:t>
            </m:r>
          </m:sub>
        </m:sSub>
      </m:oMath>
      <w:r>
        <w:t xml:space="preserve"> </w:t>
      </w:r>
      <w:r>
        <w:t xml:space="preserve">(cm; larger = safer). L1 (guided Hz-C2, red) sits at the top of the productive quadrant; L3–L5 (filled blue, unguided C0) cluster near the threshold boundary; L9–L20 (hollow blue) carry real</w:t>
      </w:r>
      <w:r>
        <w:t xml:space="preserve"> </w:t>
      </w:r>
      <m:oMath>
        <m:sSub>
          <m:e>
            <m:r>
              <m:t>h</m:t>
            </m:r>
          </m:e>
          <m:sub>
            <m:r>
              <m:t>50</m:t>
            </m:r>
          </m:sub>
        </m:sSub>
      </m:oMath>
      <w:r>
        <w:t xml:space="preserve"> </w:t>
      </w:r>
      <w:r>
        <w:t xml:space="preserve">but</w:t>
      </w:r>
      <w:r>
        <w:t xml:space="preserve"> </w:t>
      </w:r>
      <m:oMath>
        <m:r>
          <m:t>S</m:t>
        </m:r>
      </m:oMath>
      <w:r>
        <w:t xml:space="preserve"> </w:t>
      </w:r>
      <w:r>
        <w:t xml:space="preserve">and viability are not tabulated and are placed along the Pareto-floor strip. Baseline markers (</w:t>
      </w:r>
      <m:oMath>
        <m:r>
          <m:t>S</m:t>
        </m:r>
      </m:oMath>
      <w:r>
        <w:t xml:space="preserve"> </w:t>
      </w:r>
      <w:r>
        <w:t xml:space="preserve">not on the DGLD composite scale; placed as reference): SMILES-LSTM (red X, memorised; Tanimoto 1.0), MolMIM 70 M (orange diamond, drug-domain;</w:t>
      </w:r>
      <w:r>
        <w:t xml:space="preserve"> </w:t>
      </w:r>
      <m:oMath>
        <m:r>
          <m:t>D</m:t>
        </m:r>
        <m:r>
          <m:rPr>
            <m:sty m:val="p"/>
          </m:rPr>
          <m:t>=</m:t>
        </m:r>
        <m:r>
          <m:t>7.70</m:t>
        </m:r>
      </m:oMath>
      <w:r>
        <w:t xml:space="preserve"> km s</w:t>
      </w:r>
      <w:r>
        <w:rPr>
          <w:vertAlign w:val="superscript"/>
        </w:rPr>
        <w:t xml:space="preserve">−1</w:t>
      </w:r>
      <w:r>
        <w:t xml:space="preserve">), REINVENT 4 (green square, N-fraction RL; top-1</w:t>
      </w:r>
      <w:r>
        <w:t xml:space="preserve"> </w:t>
      </w:r>
      <m:oMath>
        <m:r>
          <m:t>D</m:t>
        </m:r>
        <m:r>
          <m:rPr>
            <m:sty m:val="p"/>
          </m:rPr>
          <m:t>=</m:t>
        </m:r>
        <m:r>
          <m:t>9.02</m:t>
        </m:r>
      </m:oMath>
      <w:r>
        <w:t xml:space="preserve"> km s</w:t>
      </w:r>
      <w:r>
        <w:rPr>
          <w:vertAlign w:val="superscript"/>
        </w:rPr>
        <w:t xml:space="preserve">−1</w:t>
      </w:r>
      <w:r>
        <w:t xml:space="preserve">, novel), SELFIES-GA (purple, surrogate</w:t>
      </w:r>
      <w:r>
        <w:t xml:space="preserve"> </w:t>
      </w:r>
      <m:oMath>
        <m:r>
          <m:rPr>
            <m:sty m:val="p"/>
          </m:rPr>
          <m:t>→</m:t>
        </m:r>
      </m:oMath>
      <w:r>
        <w:t xml:space="preserve"> </w:t>
      </w:r>
      <w:r>
        <w:t xml:space="preserve">DFT collapse: top-1 falls from</w:t>
      </w:r>
      <w:r>
        <w:t xml:space="preserve"> </w:t>
      </w:r>
      <m:oMath>
        <m:r>
          <m:t>D</m:t>
        </m:r>
        <m:r>
          <m:rPr>
            <m:sty m:val="p"/>
          </m:rPr>
          <m:t>=</m:t>
        </m:r>
        <m:r>
          <m:t>9.73</m:t>
        </m:r>
      </m:oMath>
      <w:r>
        <w:t xml:space="preserve"> </w:t>
      </w:r>
      <w:r>
        <w:t xml:space="preserve">to</w:t>
      </w:r>
      <w:r>
        <w:t xml:space="preserve"> </w:t>
      </w:r>
      <m:oMath>
        <m:r>
          <m:t>6.28</m:t>
        </m:r>
      </m:oMath>
      <w:r>
        <w:t xml:space="preserve"> km s</w:t>
      </w:r>
      <w:r>
        <w:rPr>
          <w:vertAlign w:val="superscript"/>
        </w:rPr>
        <w:t xml:space="preserve">−1</w:t>
      </w:r>
      <w:r>
        <w:t xml:space="preserve"> </w:t>
      </w:r>
      <w:r>
        <w:t xml:space="preserve">under DFT audit). Source:</w:t>
      </w:r>
      <w:r>
        <w:t xml:space="preserve"> </w:t>
      </w:r>
      <m:oMath>
        <m:r>
          <m:t>S</m:t>
        </m:r>
      </m:oMath>
      <w:r>
        <w:t xml:space="preserve">/viab for L1, L3–L5 from Section 2.2 prose;</w:t>
      </w:r>
      <w:r>
        <w:t xml:space="preserve"> </w:t>
      </w:r>
      <m:oMath>
        <m:sSub>
          <m:e>
            <m:r>
              <m:t>h</m:t>
            </m:r>
          </m:e>
          <m:sub>
            <m:r>
              <m:t>50</m:t>
            </m:r>
          </m:sub>
        </m:sSub>
      </m:oMath>
      <w:r>
        <w:t xml:space="preserve"> </w:t>
      </w:r>
      <w:r>
        <w:t xml:space="preserve">from Table S7; baselines from Table 7.</w:t>
      </w:r>
    </w:p>
    <w:p>
      <w:pPr>
        <w:pStyle w:val="MDPI31text"/>
        <w:ind w:left="2608"/>
      </w:pPr>
      <w:r>
        <w:rPr>
          <w:b/>
          <w:bCs/>
        </w:rPr>
        <w:t xml:space="preserve">Note on Figure 7 score conventions.</w:t>
      </w:r>
      <w:r>
        <w:t xml:space="preserve"> </w:t>
      </w:r>
      <w:r>
        <w:t xml:space="preserve">The composite score</w:t>
      </w:r>
      <w:r>
        <w:t xml:space="preserve"> </w:t>
      </w:r>
      <m:oMath>
        <m:r>
          <m:t>S</m:t>
        </m:r>
      </m:oMath>
      <w:r>
        <w:t xml:space="preserve"> </w:t>
      </w:r>
      <w:r>
        <w:t xml:space="preserve">on the</w:t>
      </w:r>
      <w:r>
        <w:t xml:space="preserve"> </w:t>
      </w:r>
      <m:oMath>
        <m:r>
          <m:t>y</m:t>
        </m:r>
      </m:oMath>
      <w:r>
        <w:t xml:space="preserve">-axis is the higher-is-better Stage-1+2 reranker success score (range 0–1), not the lower-is-better Pareto-reranker penalty tabulated in Table 7, Figure 6, and Table S27. Cross-figure ranking is consistent (DGLD Hz-C2 best on both) but absolute values are not comparable.</w:t>
      </w:r>
    </w:p>
    <w:p>
      <w:pPr>
        <w:pStyle w:val="MDPI31text"/>
        <w:ind w:left="2608"/>
      </w:pPr>
      <w:r>
        <w:rPr>
          <w:b/>
          <w:bCs/>
        </w:rPr>
        <w:t xml:space="preserve">Distribution-learning metrics.</w:t>
      </w:r>
      <w:r>
        <w:t xml:space="preserve"> </w:t>
      </w:r>
      <w:r>
        <w:t xml:space="preserve">SMILES-LSTM has FCD = 0.52 against a 5 000-row labelled master sample (distributionally indistinguishable because it reproduces labelled rows); DGLD has FCD = 24–26 across guidance conditions: the diffusion sampler performs a</w:t>
      </w:r>
      <w:r>
        <w:t xml:space="preserve"> </w:t>
      </w:r>
      <w:r>
        <w:rPr>
          <w:i/>
          <w:iCs/>
        </w:rPr>
        <w:t xml:space="preserve">targeted search off the prior</w:t>
      </w:r>
      <w:r>
        <w:t xml:space="preserve">, not corpus mimicry, with anti-correlation between FCD and Pareto-reranker composite within DGLD confirming the design intent. Full small-multiples (validity, scaffold uniqueness 659–1262, IntDiv1 0.818–0.838) are shown in Figure 8, with per-condition values in Supplementary Section D.11.</w:t>
      </w:r>
    </w:p>
    <w:p xmlns:a="http://schemas.openxmlformats.org/drawingml/2006/main" xmlns:pic="http://schemas.openxmlformats.org/drawingml/2006/picture">
      <w:pPr>
        <w:pStyle w:val="MDPI52figure"/>
        <w:ind w:left="2608"/>
        <w:jc w:val="center"/>
      </w:pPr>
      <w:r>
        <w:drawing>
          <wp:inline>
            <wp:extent cx="4989830" cy="2800541"/>
            <wp:effectExtent b="0" l="0" r="0" t="0"/>
            <wp:docPr descr="MOSES-style distribution-learning small multiples" title="" id="53" name="Picture"/>
            <a:graphic>
              <a:graphicData uri="http://schemas.openxmlformats.org/drawingml/2006/picture">
                <pic:pic>
                  <pic:nvPicPr>
                    <pic:cNvPr descr="../figs/fig_moses_small_multiples.png" id="54" name="Picture"/>
                    <pic:cNvPicPr>
                      <a:picLocks noChangeArrowheads="1" noChangeAspect="1"/>
                    </pic:cNvPicPr>
                  </pic:nvPicPr>
                  <pic:blipFill>
                    <a:blip r:embed="rId25"/>
                    <a:stretch>
                      <a:fillRect/>
                    </a:stretch>
                  </pic:blipFill>
                  <pic:spPr bwMode="auto">
                    <a:xfrm>
                      <a:off x="0" y="0"/>
                      <a:ext cx="4989830" cy="2800541"/>
                    </a:xfrm>
                    <a:prstGeom prst="rect">
                      <a:avLst/>
                    </a:prstGeom>
                    <a:noFill/>
                    <a:ln w="9525">
                      <a:noFill/>
                      <a:headEnd/>
                      <a:tailEnd/>
                    </a:ln>
                  </pic:spPr>
                </pic:pic>
              </a:graphicData>
            </a:graphic>
          </wp:inline>
        </w:drawing>
      </w:r>
    </w:p>
    <w:p>
      <w:pPr>
        <w:pStyle w:val="MDPI51figurecaption"/>
        <w:ind w:left="2608"/>
      </w:pPr>
      <w:r>
        <w:rPr>
          <w:b/>
          <w:bCs/>
        </w:rPr>
        <w:t xml:space="preserve">Figure 8.</w:t>
      </w:r>
      <w:r>
        <w:t xml:space="preserve"> </w:t>
      </w:r>
      <w:r>
        <w:t xml:space="preserve">Distribution-learning small-multiples comparing SMILES-LSTM (red) against seven DGLD conditions (blue) on validity proxy, top-100 scaffold uniqueness, internal diversity, and FCD vs the labelled master.</w:t>
      </w:r>
    </w:p>
    <w:p>
      <w:pPr>
        <w:pStyle w:val="MDPI22heading2"/>
        <w:ind w:left="2608"/>
      </w:pPr>
      <w:r>
        <w:t xml:space="preserve">2.6 Ablation summary</w:t>
      </w:r>
    </w:p>
    <w:p>
      <w:pPr>
        <w:pStyle w:val="MDPI32textnoindent"/>
        <w:ind w:left="2608"/>
      </w:pPr>
      <w:r>
        <w:t xml:space="preserve">Seven ablations measure the contribution of each system component to the headline. Table 8 lists the headline result of each; full prose, sub-tables, and figures are in Supplementary Section F. The forest plot of effect sizes (Figure 9) summarises the guidance-axis ablations visually.</w:t>
      </w:r>
    </w:p>
    <w:p>
      <w:pPr>
        <w:pStyle w:val="MDPI41tablecaption"/>
        <w:ind w:left="2608"/>
      </w:pPr>
      <w:r>
        <w:rPr>
          <w:b/>
          <w:bCs/>
        </w:rPr>
        <w:t xml:space="preserve">Table 8.</w:t>
      </w:r>
      <w:r>
        <w:t xml:space="preserve"> </w:t>
      </w:r>
      <w:r>
        <w:t xml:space="preserve">Ablation summary. Each row reports the single headline number from a self-contained ablation; the right column points to the appendix subsection with full prose, sub-tables, and figures.</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490"/>
        <w:gridCol w:w="1806"/>
        <w:gridCol w:w="3532"/>
        <w:gridCol w:w="1030"/>
      </w:tblGrid>
      <w:tr>
        <w:trPr>
          <w:tblHeader w:val="on"/>
        </w:trPr>
        <w:tc>
          <w:tcPr>
            <w:tcBorders>
              <w:bottom w:val="single" w:sz="8" w:space="0" w:color="auto"/>
            </w:tcBorders>
            <w:vAlign w:val="center"/>
          </w:tcPr>
          <w:p>
            <w:pPr>
              <w:pStyle w:val="Compact"/>
              <w:suppressAutoHyphens/>
              <w:jc w:val="center"/>
            </w:pPr>
            <w:r>
              <w:rPr>
                <w:b/>
                <w:sz w:val="18"/>
                <w:szCs w:val="18"/>
              </w:rPr>
              <w:t xml:space="preserve">Ablation</w:t>
            </w:r>
          </w:p>
        </w:tc>
        <w:tc>
          <w:tcPr>
            <w:tcBorders>
              <w:bottom w:val="single" w:sz="8" w:space="0" w:color="auto"/>
            </w:tcBorders>
            <w:vAlign w:val="center"/>
          </w:tcPr>
          <w:p>
            <w:pPr>
              <w:pStyle w:val="Compact"/>
              <w:suppressAutoHyphens/>
              <w:jc w:val="center"/>
            </w:pPr>
            <w:r>
              <w:rPr>
                <w:b/>
                <w:sz w:val="18"/>
                <w:szCs w:val="18"/>
              </w:rPr>
              <w:t xml:space="preserve">What is varied</w:t>
            </w:r>
          </w:p>
        </w:tc>
        <w:tc>
          <w:tcPr>
            <w:tcBorders>
              <w:bottom w:val="single" w:sz="8" w:space="0" w:color="auto"/>
            </w:tcBorders>
            <w:vAlign w:val="center"/>
          </w:tcPr>
          <w:p>
            <w:pPr>
              <w:pStyle w:val="Compact"/>
              <w:suppressAutoHyphens/>
              <w:jc w:val="center"/>
            </w:pPr>
            <w:r>
              <w:rPr>
                <w:b/>
                <w:sz w:val="18"/>
                <w:szCs w:val="18"/>
              </w:rPr>
              <w:t xml:space="preserve">Headline result</w:t>
            </w:r>
          </w:p>
        </w:tc>
        <w:tc>
          <w:tcPr>
            <w:tcBorders>
              <w:bottom w:val="single" w:sz="8" w:space="0" w:color="auto"/>
            </w:tcBorders>
            <w:vAlign w:val="center"/>
          </w:tcPr>
          <w:p>
            <w:pPr>
              <w:pStyle w:val="Compact"/>
              <w:suppressAutoHyphens/>
              <w:jc w:val="center"/>
            </w:pPr>
            <w:r>
              <w:rPr>
                <w:b/>
                <w:sz w:val="18"/>
                <w:szCs w:val="18"/>
              </w:rPr>
              <w:t xml:space="preserve">Detail</w:t>
            </w:r>
          </w:p>
        </w:tc>
      </w:tr>
      <w:tr>
        <w:tc>
          <w:tcPr>
            <w:vAlign w:val="center"/>
          </w:tcPr>
          <w:p>
            <w:pPr>
              <w:pStyle w:val="Compact"/>
              <w:suppressAutoHyphens/>
              <w:jc w:val="center"/>
            </w:pPr>
            <w:r>
              <w:rPr>
                <w:b/>
                <w:bCs/>
                <w:sz w:val="18"/>
                <w:szCs w:val="18"/>
              </w:rPr>
              <w:t xml:space="preserve">Tier-gate</w:t>
            </w:r>
          </w:p>
        </w:tc>
        <w:tc>
          <w:tcPr>
            <w:vAlign w:val="center"/>
          </w:tcPr>
          <w:p>
            <w:pPr>
              <w:pStyle w:val="Compact"/>
              <w:suppressAutoHyphens/>
              <w:jc w:val="center"/>
            </w:pPr>
            <w:r>
              <w:rPr>
                <w:sz w:val="18"/>
                <w:szCs w:val="18"/>
              </w:rPr>
              <w:t xml:space="preserve">label-trust mask on / off</w:t>
            </w:r>
          </w:p>
        </w:tc>
        <w:tc>
          <w:tcPr>
            <w:vAlign w:val="center"/>
          </w:tcPr>
          <w:p>
            <w:pPr>
              <w:pStyle w:val="Compact"/>
              <w:suppressAutoHyphens/>
              <w:jc w:val="center"/>
            </w:pPr>
            <w:r>
              <w:rPr>
                <w:sz w:val="18"/>
                <w:szCs w:val="18"/>
              </w:rPr>
              <w:t xml:space="preserve">Stage-1+2 keep-rate 4.6 % → 53.9 % when off; sampler collapses to poly-N open chains; val loss +0.089.</w:t>
            </w:r>
          </w:p>
        </w:tc>
        <w:tc>
          <w:tcPr>
            <w:vAlign w:val="center"/>
          </w:tcPr>
          <w:p>
            <w:pPr>
              <w:pStyle w:val="Compact"/>
              <w:suppressAutoHyphens/>
              <w:jc w:val="center"/>
            </w:pPr>
            <w:r>
              <w:rPr>
                <w:sz w:val="18"/>
                <w:szCs w:val="18"/>
              </w:rPr>
              <w:t xml:space="preserve">F.6</w:t>
            </w:r>
          </w:p>
        </w:tc>
      </w:tr>
      <w:tr>
        <w:tc>
          <w:tcPr>
            <w:vAlign w:val="center"/>
          </w:tcPr>
          <w:p>
            <w:pPr>
              <w:pStyle w:val="Compact"/>
              <w:suppressAutoHyphens/>
              <w:jc w:val="center"/>
            </w:pPr>
            <w:r>
              <w:rPr>
                <w:b/>
                <w:bCs/>
                <w:sz w:val="18"/>
                <w:szCs w:val="18"/>
              </w:rPr>
              <w:t xml:space="preserve">Diffusion vs Gaussian prior</w:t>
            </w:r>
          </w:p>
        </w:tc>
        <w:tc>
          <w:tcPr>
            <w:vAlign w:val="center"/>
          </w:tcPr>
          <w:p>
            <w:pPr>
              <w:pStyle w:val="Compact"/>
              <w:suppressAutoHyphens/>
              <w:jc w:val="center"/>
            </w:pPr>
            <w:r>
              <w:rPr>
                <w:sz w:val="18"/>
                <w:szCs w:val="18"/>
              </w:rPr>
              <w:t xml:space="preserve">conditional latent vs</w:t>
            </w:r>
            <w:r>
              <w:rPr>
                <w:sz w:val="18"/>
                <w:szCs w:val="18"/>
              </w:rPr>
              <w:t xml:space="preserve"> </w:t>
            </w:r>
            <m:oMath>
              <m:r>
                <w:rPr>
                  <w:sz w:val="18"/>
                  <w:szCs w:val="18"/>
                </w:rPr>
                <m:rPr>
                  <m:scr m:val="script"/>
                  <m:sty m:val="p"/>
                </m:rPr>
                <m:t>N</m:t>
              </m:r>
              <m:r>
                <w:rPr>
                  <w:sz w:val="18"/>
                  <w:szCs w:val="18"/>
                </w:rPr>
                <m:rPr>
                  <m:sty m:val="p"/>
                </m:rPr>
                <m:t>(</m:t>
              </m:r>
              <m:r>
                <w:rPr>
                  <w:sz w:val="18"/>
                  <w:szCs w:val="18"/>
                </w:rPr>
                <m:t>0</m:t>
              </m:r>
              <m:r>
                <w:rPr>
                  <w:sz w:val="18"/>
                  <w:szCs w:val="18"/>
                </w:rPr>
                <m:rPr>
                  <m:sty m:val="p"/>
                </m:rPr>
                <m:t>,</m:t>
              </m:r>
              <m:r>
                <w:rPr>
                  <w:sz w:val="18"/>
                  <w:szCs w:val="18"/>
                </w:rPr>
                <m:t>I</m:t>
              </m:r>
              <m:r>
                <w:rPr>
                  <w:sz w:val="18"/>
                  <w:szCs w:val="18"/>
                </w:rPr>
                <m:rPr>
                  <m:sty m:val="p"/>
                </m:rPr>
                <m:t>)</m:t>
              </m:r>
            </m:oMath>
          </w:p>
        </w:tc>
        <w:tc>
          <w:tcPr>
            <w:vAlign w:val="center"/>
          </w:tcPr>
          <w:p>
            <w:pPr>
              <w:pStyle w:val="Compact"/>
              <w:suppressAutoHyphens/>
              <w:jc w:val="center"/>
            </w:pPr>
            <w:r>
              <w:rPr>
                <w:sz w:val="18"/>
                <w:szCs w:val="18"/>
              </w:rPr>
              <w:t xml:space="preserve">Top-1</w:t>
            </w:r>
            <w:r>
              <w:rPr>
                <w:sz w:val="18"/>
                <w:szCs w:val="18"/>
              </w:rPr>
              <w:t xml:space="preserve"> </w:t>
            </w:r>
            <m:oMath>
              <m:r>
                <w:rPr>
                  <w:sz w:val="18"/>
                  <w:szCs w:val="18"/>
                </w:rPr>
                <m:t>D</m:t>
              </m:r>
              <m:r>
                <w:rPr>
                  <w:sz w:val="18"/>
                  <w:szCs w:val="18"/>
                </w:rPr>
                <m:rPr>
                  <m:sty m:val="p"/>
                </m:rPr>
                <m:t>=</m:t>
              </m:r>
              <m:r>
                <w:rPr>
                  <w:sz w:val="18"/>
                  <w:szCs w:val="18"/>
                </w:rPr>
                <m:t>9.47</m:t>
              </m:r>
            </m:oMath>
            <w:r>
              <w:rPr>
                <w:sz w:val="18"/>
                <w:szCs w:val="18"/>
              </w:rPr>
              <w:t xml:space="preserve"> </w:t>
            </w:r>
            <w:r>
              <w:rPr>
                <w:sz w:val="18"/>
                <w:szCs w:val="18"/>
              </w:rPr>
              <w:t xml:space="preserve">vs</w:t>
            </w:r>
            <w:r>
              <w:rPr>
                <w:sz w:val="18"/>
                <w:szCs w:val="18"/>
              </w:rPr>
              <w:t xml:space="preserve"> </w:t>
            </w:r>
            <m:oMath>
              <m:r>
                <w:rPr>
                  <w:sz w:val="18"/>
                  <w:szCs w:val="18"/>
                </w:rPr>
                <m:t>9.02</m:t>
              </m:r>
            </m:oMath>
            <w:r>
              <w:rPr>
                <w:sz w:val="18"/>
                <w:szCs w:val="18"/>
              </w:rPr>
              <w:t xml:space="preserve"> km s</w:t>
            </w:r>
            <w:r>
              <w:rPr>
                <w:vertAlign w:val="superscript"/>
                <w:sz w:val="18"/>
                <w:szCs w:val="18"/>
              </w:rPr>
              <w:t xml:space="preserve">−1</w:t>
            </w:r>
            <w:r>
              <w:rPr>
                <w:sz w:val="18"/>
                <w:szCs w:val="18"/>
              </w:rPr>
              <w:t xml:space="preserve"> </w:t>
            </w:r>
            <w:r>
              <w:rPr>
                <w:sz w:val="18"/>
                <w:szCs w:val="18"/>
              </w:rPr>
              <w:t xml:space="preserve">(+0.45); 4.6 % vs 48 % Stage-1+2 keep-rate reversal shows the prior concentrates on the high-</w:t>
            </w:r>
            <m:oMath>
              <m:r>
                <w:rPr>
                  <w:sz w:val="18"/>
                  <w:szCs w:val="18"/>
                </w:rPr>
                <m:t>D</m:t>
              </m:r>
            </m:oMath>
            <w:r>
              <w:rPr>
                <w:sz w:val="18"/>
                <w:szCs w:val="18"/>
              </w:rPr>
              <w:t xml:space="preserve"> </w:t>
            </w:r>
            <w:r>
              <w:rPr>
                <w:sz w:val="18"/>
                <w:szCs w:val="18"/>
              </w:rPr>
              <w:t xml:space="preserve">tail.</w:t>
            </w:r>
          </w:p>
        </w:tc>
        <w:tc>
          <w:tcPr>
            <w:vAlign w:val="center"/>
          </w:tcPr>
          <w:p>
            <w:pPr>
              <w:pStyle w:val="Compact"/>
              <w:suppressAutoHyphens/>
              <w:jc w:val="center"/>
            </w:pPr>
            <w:r>
              <w:rPr>
                <w:sz w:val="18"/>
                <w:szCs w:val="18"/>
              </w:rPr>
              <w:t xml:space="preserve">F.2</w:t>
            </w:r>
          </w:p>
        </w:tc>
      </w:tr>
      <w:tr>
        <w:tc>
          <w:tcPr>
            <w:vAlign w:val="center"/>
          </w:tcPr>
          <w:p>
            <w:pPr>
              <w:pStyle w:val="Compact"/>
              <w:suppressAutoHyphens/>
              <w:jc w:val="center"/>
            </w:pPr>
            <w:r>
              <w:rPr>
                <w:b/>
                <w:bCs/>
                <w:sz w:val="18"/>
                <w:szCs w:val="18"/>
              </w:rPr>
              <w:t xml:space="preserve">Multi-head guidance</w:t>
            </w:r>
          </w:p>
        </w:tc>
        <w:tc>
          <w:tcPr>
            <w:vAlign w:val="center"/>
          </w:tcPr>
          <w:p>
            <w:pPr>
              <w:pStyle w:val="Compact"/>
              <w:suppressAutoHyphens/>
              <w:jc w:val="center"/>
            </w:pPr>
            <w:r>
              <w:rPr>
                <w:sz w:val="18"/>
                <w:szCs w:val="18"/>
              </w:rPr>
              <w:t xml:space="preserve">C0 / C1 / C2 / C3 head combinations</w:t>
            </w:r>
          </w:p>
        </w:tc>
        <w:tc>
          <w:tcPr>
            <w:vAlign w:val="center"/>
          </w:tcPr>
          <w:p>
            <w:pPr>
              <w:pStyle w:val="Compact"/>
              <w:suppressAutoHyphens/>
              <w:jc w:val="center"/>
            </w:pPr>
            <w:r>
              <w:rPr>
                <w:sz w:val="18"/>
                <w:szCs w:val="18"/>
              </w:rPr>
              <w:t xml:space="preserve">Top-1</w:t>
            </w:r>
            <w:r>
              <w:rPr>
                <w:sz w:val="18"/>
                <w:szCs w:val="18"/>
              </w:rPr>
              <w:t xml:space="preserve"> </w:t>
            </w:r>
            <m:oMath>
              <m:r>
                <w:rPr>
                  <w:sz w:val="18"/>
                  <w:szCs w:val="18"/>
                </w:rPr>
                <m:t>D</m:t>
              </m:r>
            </m:oMath>
            <w:r>
              <w:rPr>
                <w:sz w:val="18"/>
                <w:szCs w:val="18"/>
              </w:rPr>
              <w:t xml:space="preserve"> </w:t>
            </w:r>
            <w:r>
              <w:rPr>
                <w:sz w:val="18"/>
                <w:szCs w:val="18"/>
              </w:rPr>
              <w:t xml:space="preserve">nearly invariant (9.44–9.53 km s</w:t>
            </w:r>
            <w:r>
              <w:rPr>
                <w:vertAlign w:val="superscript"/>
                <w:sz w:val="18"/>
                <w:szCs w:val="18"/>
              </w:rPr>
              <w:t xml:space="preserve">−1</w:t>
            </w:r>
            <w:r>
              <w:rPr>
                <w:sz w:val="18"/>
                <w:szCs w:val="18"/>
              </w:rPr>
              <w:t xml:space="preserve">, pool 40k); guidance reduces scaffold count from 12 to 5 (production C2 default).</w:t>
            </w:r>
          </w:p>
        </w:tc>
        <w:tc>
          <w:tcPr>
            <w:vAlign w:val="center"/>
          </w:tcPr>
          <w:p>
            <w:pPr>
              <w:pStyle w:val="Compact"/>
              <w:suppressAutoHyphens/>
              <w:jc w:val="center"/>
            </w:pPr>
            <w:r>
              <w:rPr>
                <w:sz w:val="18"/>
                <w:szCs w:val="18"/>
              </w:rPr>
              <w:t xml:space="preserve">F.3</w:t>
            </w:r>
          </w:p>
        </w:tc>
      </w:tr>
      <w:tr>
        <w:tc>
          <w:tcPr>
            <w:vAlign w:val="center"/>
          </w:tcPr>
          <w:p>
            <w:pPr>
              <w:pStyle w:val="Compact"/>
              <w:suppressAutoHyphens/>
              <w:jc w:val="center"/>
            </w:pPr>
            <w:r>
              <w:rPr>
                <w:b/>
                <w:bCs/>
                <w:sz w:val="18"/>
                <w:szCs w:val="18"/>
              </w:rPr>
              <w:t xml:space="preserve">Hazard / SA axis (multi-seed)</w:t>
            </w:r>
          </w:p>
        </w:tc>
        <w:tc>
          <w:tcPr>
            <w:vAlign w:val="center"/>
          </w:tcPr>
          <w:p>
            <w:pPr>
              <w:pStyle w:val="Compact"/>
              <w:suppressAutoHyphens/>
              <w:jc w:val="center"/>
            </w:pPr>
            <w:r>
              <w:rPr>
                <w:sz w:val="18"/>
                <w:szCs w:val="18"/>
              </w:rPr>
              <w:t xml:space="preserve">per-head scale grid × 3 seeds</w:t>
            </w:r>
          </w:p>
        </w:tc>
        <w:tc>
          <w:tcPr>
            <w:vAlign w:val="center"/>
          </w:tcPr>
          <w:p>
            <w:pPr>
              <w:pStyle w:val="Compact"/>
              <w:suppressAutoHyphens/>
              <w:jc w:val="center"/>
            </w:pPr>
            <w:r>
              <w:rPr>
                <w:sz w:val="18"/>
                <w:szCs w:val="18"/>
              </w:rPr>
              <w:t xml:space="preserve">Hz-C2 most novel (max-Tani 0.27 ± 0.03); SA-C3 worsens composite by 13 % (production</w:t>
            </w:r>
            <w:r>
              <w:rPr>
                <w:sz w:val="18"/>
                <w:szCs w:val="18"/>
              </w:rPr>
              <w:t xml:space="preserve"> </w:t>
            </w:r>
            <m:oMath>
              <m:sSub>
                <m:e>
                  <m:r>
                    <w:rPr>
                      <w:sz w:val="18"/>
                      <w:szCs w:val="18"/>
                    </w:rPr>
                    <m:t>s</m:t>
                  </m:r>
                </m:e>
                <m:sub>
                  <m:r>
                    <w:rPr>
                      <w:sz w:val="18"/>
                      <w:szCs w:val="18"/>
                    </w:rPr>
                    <m:rPr>
                      <m:nor/>
                      <m:sty m:val="p"/>
                    </m:rPr>
                    <m:t>SA</m:t>
                  </m:r>
                </m:sub>
              </m:sSub>
              <m:r>
                <w:rPr>
                  <w:sz w:val="18"/>
                  <w:szCs w:val="18"/>
                </w:rPr>
                <m:rPr>
                  <m:sty m:val="p"/>
                </m:rPr>
                <m:t>=</m:t>
              </m:r>
              <m:r>
                <w:rPr>
                  <w:sz w:val="18"/>
                  <w:szCs w:val="18"/>
                </w:rPr>
                <m:t>0</m:t>
              </m:r>
            </m:oMath>
            <w:r>
              <w:rPr>
                <w:sz w:val="18"/>
                <w:szCs w:val="18"/>
              </w:rPr>
              <w:t xml:space="preserve">).</w:t>
            </w:r>
          </w:p>
        </w:tc>
        <w:tc>
          <w:tcPr>
            <w:vAlign w:val="center"/>
          </w:tcPr>
          <w:p>
            <w:pPr>
              <w:pStyle w:val="Compact"/>
              <w:suppressAutoHyphens/>
              <w:jc w:val="center"/>
            </w:pPr>
            <w:r>
              <w:rPr>
                <w:sz w:val="18"/>
                <w:szCs w:val="18"/>
              </w:rPr>
              <w:t xml:space="preserve">F.4</w:t>
            </w:r>
          </w:p>
        </w:tc>
      </w:tr>
      <w:tr>
        <w:tc>
          <w:tcPr>
            <w:vAlign w:val="center"/>
          </w:tcPr>
          <w:p>
            <w:pPr>
              <w:pStyle w:val="Compact"/>
              <w:suppressAutoHyphens/>
              <w:jc w:val="center"/>
            </w:pPr>
            <w:r>
              <w:rPr>
                <w:b/>
                <w:bCs/>
                <w:sz w:val="18"/>
                <w:szCs w:val="18"/>
              </w:rPr>
              <w:t xml:space="preserve">Self-distillation budget</w:t>
            </w:r>
          </w:p>
        </w:tc>
        <w:tc>
          <w:tcPr>
            <w:vAlign w:val="center"/>
          </w:tcPr>
          <w:p>
            <w:pPr>
              <w:pStyle w:val="Compact"/>
              <w:suppressAutoHyphens/>
              <w:jc w:val="center"/>
            </w:pPr>
            <w:r>
              <w:rPr>
                <w:sz w:val="18"/>
                <w:szCs w:val="18"/>
              </w:rPr>
              <w:t xml:space="preserve">137 vs 918 hard negatives</w:t>
            </w:r>
          </w:p>
        </w:tc>
        <w:tc>
          <w:tcPr>
            <w:vAlign w:val="center"/>
          </w:tcPr>
          <w:p>
            <w:pPr>
              <w:pStyle w:val="Compact"/>
              <w:suppressAutoHyphens/>
              <w:jc w:val="center"/>
            </w:pPr>
            <w:r>
              <w:rPr>
                <w:sz w:val="18"/>
                <w:szCs w:val="18"/>
              </w:rPr>
              <w:t xml:space="preserve">Worst-offender gaming molecule (gem-tetranitro) demoted by −0.10 absolute at 918; required for steer-off.</w:t>
            </w:r>
          </w:p>
        </w:tc>
        <w:tc>
          <w:tcPr>
            <w:vAlign w:val="center"/>
          </w:tcPr>
          <w:p>
            <w:pPr>
              <w:pStyle w:val="Compact"/>
              <w:suppressAutoHyphens/>
              <w:jc w:val="center"/>
            </w:pPr>
            <w:r>
              <w:rPr>
                <w:sz w:val="18"/>
                <w:szCs w:val="18"/>
              </w:rPr>
              <w:t xml:space="preserve">F.1, D.9</w:t>
            </w:r>
          </w:p>
        </w:tc>
      </w:tr>
      <w:tr>
        <w:tc>
          <w:tcPr>
            <w:vAlign w:val="center"/>
          </w:tcPr>
          <w:p>
            <w:pPr>
              <w:pStyle w:val="Compact"/>
              <w:suppressAutoHyphens/>
              <w:jc w:val="center"/>
            </w:pPr>
            <w:r>
              <w:rPr>
                <w:b/>
                <w:bCs/>
                <w:sz w:val="18"/>
                <w:szCs w:val="18"/>
              </w:rPr>
              <w:t xml:space="preserve">Pool fusion</w:t>
            </w:r>
          </w:p>
        </w:tc>
        <w:tc>
          <w:tcPr>
            <w:vAlign w:val="center"/>
          </w:tcPr>
          <w:p>
            <w:pPr>
              <w:pStyle w:val="Compact"/>
              <w:suppressAutoHyphens/>
              <w:jc w:val="center"/>
            </w:pPr>
            <w:r>
              <w:rPr>
                <w:sz w:val="18"/>
                <w:szCs w:val="18"/>
              </w:rPr>
              <w:t xml:space="preserve">1 lane × 40k vs 5 lanes × 100k</w:t>
            </w:r>
          </w:p>
        </w:tc>
        <w:tc>
          <w:tcPr>
            <w:vAlign w:val="center"/>
          </w:tcPr>
          <w:p>
            <w:pPr>
              <w:pStyle w:val="Compact"/>
              <w:suppressAutoHyphens/>
              <w:jc w:val="center"/>
            </w:pPr>
            <w:r>
              <w:rPr>
                <w:sz w:val="18"/>
                <w:szCs w:val="18"/>
              </w:rPr>
              <w:t xml:space="preserve">Post-filter yield 966 → 4 639 (4.8×); scaffolds 7 → 24; max</w:t>
            </w:r>
            <w:r>
              <w:rPr>
                <w:sz w:val="18"/>
                <w:szCs w:val="18"/>
              </w:rPr>
              <w:t xml:space="preserve"> </w:t>
            </w:r>
            <m:oMath>
              <m:r>
                <w:rPr>
                  <w:sz w:val="18"/>
                  <w:szCs w:val="18"/>
                </w:rPr>
                <m:t>D</m:t>
              </m:r>
            </m:oMath>
            <w:r>
              <w:rPr>
                <w:sz w:val="18"/>
                <w:szCs w:val="18"/>
              </w:rPr>
              <w:t xml:space="preserve"> </w:t>
            </w:r>
            <w:r>
              <w:rPr>
                <w:sz w:val="18"/>
                <w:szCs w:val="18"/>
              </w:rPr>
              <w:t xml:space="preserve">9.51 → 9.79 km s</w:t>
            </w:r>
            <w:r>
              <w:rPr>
                <w:vertAlign w:val="superscript"/>
                <w:sz w:val="18"/>
                <w:szCs w:val="18"/>
              </w:rPr>
              <w:t xml:space="preserve">−1</w:t>
            </w:r>
            <w:r>
              <w:rPr>
                <w:sz w:val="18"/>
                <w:szCs w:val="18"/>
              </w:rPr>
              <w:t xml:space="preserve">.</w:t>
            </w:r>
          </w:p>
        </w:tc>
        <w:tc>
          <w:tcPr>
            <w:vAlign w:val="center"/>
          </w:tcPr>
          <w:p>
            <w:pPr>
              <w:pStyle w:val="Compact"/>
              <w:suppressAutoHyphens/>
              <w:jc w:val="center"/>
            </w:pPr>
            <w:r>
              <w:rPr>
                <w:sz w:val="18"/>
                <w:szCs w:val="18"/>
              </w:rPr>
              <w:t xml:space="preserve">F.5</w:t>
            </w:r>
          </w:p>
        </w:tc>
      </w:tr>
      <w:tr>
        <w:tc>
          <w:tcPr>
            <w:vAlign w:val="center"/>
          </w:tcPr>
          <w:p>
            <w:pPr>
              <w:pStyle w:val="Compact"/>
              <w:suppressAutoHyphens/>
              <w:jc w:val="center"/>
            </w:pPr>
            <w:r>
              <w:rPr>
                <w:b/>
                <w:bCs/>
                <w:sz w:val="18"/>
                <w:szCs w:val="18"/>
              </w:rPr>
              <w:t xml:space="preserve">CFG scale</w:t>
            </w:r>
          </w:p>
        </w:tc>
        <w:tc>
          <w:tcPr>
            <w:vAlign w:val="center"/>
          </w:tcPr>
          <w:p>
            <w:pPr>
              <w:pStyle w:val="Compact"/>
              <w:suppressAutoHyphens/>
              <w:jc w:val="center"/>
            </w:pPr>
            <m:oMath>
              <m:r>
                <w:rPr>
                  <w:sz w:val="18"/>
                  <w:szCs w:val="18"/>
                </w:rPr>
                <m:t>w</m:t>
              </m:r>
              <m:r>
                <w:rPr>
                  <w:sz w:val="18"/>
                  <w:szCs w:val="18"/>
                </w:rPr>
                <m:rPr>
                  <m:sty m:val="p"/>
                </m:rPr>
                <m:t>∈</m:t>
              </m:r>
              <m:r>
                <w:rPr>
                  <w:sz w:val="18"/>
                  <w:szCs w:val="18"/>
                </w:rPr>
                <m:rPr>
                  <m:sty m:val="p"/>
                </m:rPr>
                <m:t>{</m:t>
              </m:r>
              <m:r>
                <w:rPr>
                  <w:sz w:val="18"/>
                  <w:szCs w:val="18"/>
                </w:rPr>
                <m:t>5</m:t>
              </m:r>
              <m:r>
                <w:rPr>
                  <w:sz w:val="18"/>
                  <w:szCs w:val="18"/>
                </w:rPr>
                <m:rPr>
                  <m:sty m:val="p"/>
                </m:rPr>
                <m:t>,</m:t>
              </m:r>
              <m:r>
                <w:rPr>
                  <w:sz w:val="18"/>
                  <w:szCs w:val="18"/>
                </w:rPr>
                <m:t>7</m:t>
              </m:r>
              <m:r>
                <w:rPr>
                  <w:sz w:val="18"/>
                  <w:szCs w:val="18"/>
                </w:rPr>
                <m:rPr>
                  <m:sty m:val="p"/>
                </m:rPr>
                <m:t>,</m:t>
              </m:r>
              <m:r>
                <w:rPr>
                  <w:sz w:val="18"/>
                  <w:szCs w:val="18"/>
                </w:rPr>
                <m:t>9</m:t>
              </m:r>
              <m:r>
                <w:rPr>
                  <w:sz w:val="18"/>
                  <w:szCs w:val="18"/>
                </w:rPr>
                <m:rPr>
                  <m:sty m:val="p"/>
                </m:rPr>
                <m:t>}</m:t>
              </m:r>
            </m:oMath>
          </w:p>
        </w:tc>
        <w:tc>
          <w:tcPr>
            <w:vAlign w:val="center"/>
          </w:tcPr>
          <w:p>
            <w:pPr>
              <w:pStyle w:val="Compact"/>
              <w:suppressAutoHyphens/>
              <w:jc w:val="center"/>
            </w:pPr>
            <m:oMath>
              <m:r>
                <w:rPr>
                  <w:sz w:val="18"/>
                  <w:szCs w:val="18"/>
                </w:rPr>
                <m:t>w</m:t>
              </m:r>
              <m:r>
                <w:rPr>
                  <w:sz w:val="18"/>
                  <w:szCs w:val="18"/>
                </w:rPr>
                <m:rPr>
                  <m:sty m:val="p"/>
                </m:rPr>
                <m:t>=</m:t>
              </m:r>
              <m:r>
                <w:rPr>
                  <w:sz w:val="18"/>
                  <w:szCs w:val="18"/>
                </w:rPr>
                <m:t>7</m:t>
              </m:r>
            </m:oMath>
            <w:r>
              <w:rPr>
                <w:sz w:val="18"/>
                <w:szCs w:val="18"/>
              </w:rPr>
              <w:t xml:space="preserve"> </w:t>
            </w:r>
            <w:r>
              <w:rPr>
                <w:sz w:val="18"/>
                <w:szCs w:val="18"/>
              </w:rPr>
              <w:t xml:space="preserve">is the empirical optimum (983 final candidates vs 528 at</w:t>
            </w:r>
            <w:r>
              <w:rPr>
                <w:sz w:val="18"/>
                <w:szCs w:val="18"/>
              </w:rPr>
              <w:t xml:space="preserve"> </w:t>
            </w:r>
            <m:oMath>
              <m:r>
                <w:rPr>
                  <w:sz w:val="18"/>
                  <w:szCs w:val="18"/>
                </w:rPr>
                <m:t>w</m:t>
              </m:r>
              <m:r>
                <w:rPr>
                  <w:sz w:val="18"/>
                  <w:szCs w:val="18"/>
                </w:rPr>
                <m:rPr>
                  <m:sty m:val="p"/>
                </m:rPr>
                <m:t>=</m:t>
              </m:r>
              <m:r>
                <w:rPr>
                  <w:sz w:val="18"/>
                  <w:szCs w:val="18"/>
                </w:rPr>
                <m:t>5</m:t>
              </m:r>
            </m:oMath>
            <w:r>
              <w:rPr>
                <w:sz w:val="18"/>
                <w:szCs w:val="18"/>
              </w:rPr>
              <w:t xml:space="preserve">, 427 at</w:t>
            </w:r>
            <w:r>
              <w:rPr>
                <w:sz w:val="18"/>
                <w:szCs w:val="18"/>
              </w:rPr>
              <w:t xml:space="preserve"> </w:t>
            </w:r>
            <m:oMath>
              <m:r>
                <w:rPr>
                  <w:sz w:val="18"/>
                  <w:szCs w:val="18"/>
                </w:rPr>
                <m:t>w</m:t>
              </m:r>
              <m:r>
                <w:rPr>
                  <w:sz w:val="18"/>
                  <w:szCs w:val="18"/>
                </w:rPr>
                <m:rPr>
                  <m:sty m:val="p"/>
                </m:rPr>
                <m:t>=</m:t>
              </m:r>
              <m:r>
                <w:rPr>
                  <w:sz w:val="18"/>
                  <w:szCs w:val="18"/>
                </w:rPr>
                <m:t>9</m:t>
              </m:r>
            </m:oMath>
            <w:r>
              <w:rPr>
                <w:sz w:val="18"/>
                <w:szCs w:val="18"/>
              </w:rPr>
              <w:t xml:space="preserve">).</w:t>
            </w:r>
          </w:p>
        </w:tc>
        <w:tc>
          <w:tcPr>
            <w:vAlign w:val="center"/>
          </w:tcPr>
          <w:p>
            <w:pPr>
              <w:pStyle w:val="Compact"/>
              <w:suppressAutoHyphens/>
              <w:jc w:val="center"/>
            </w:pPr>
            <w:r>
              <w:rPr>
                <w:sz w:val="18"/>
                <w:szCs w:val="18"/>
              </w:rPr>
              <w:t xml:space="preserve">Section 4.15, D.8</w:t>
            </w:r>
          </w:p>
        </w:tc>
      </w:tr>
    </w:tbl>
    <w:p xmlns:a="http://schemas.openxmlformats.org/drawingml/2006/main" xmlns:pic="http://schemas.openxmlformats.org/drawingml/2006/picture">
      <w:pPr>
        <w:pStyle w:val="MDPI52figure"/>
        <w:ind w:left="2608"/>
        <w:jc w:val="center"/>
      </w:pPr>
      <w:r>
        <w:drawing>
          <wp:inline>
            <wp:extent cx="4989830" cy="1759125"/>
            <wp:effectExtent b="0" l="0" r="0" t="0"/>
            <wp:docPr descr="Forest plot of guidance ablation effect sizes vs unguided baseline" title="" id="58" name="Picture"/>
            <a:graphic>
              <a:graphicData uri="http://schemas.openxmlformats.org/drawingml/2006/picture">
                <pic:pic>
                  <pic:nvPicPr>
                    <pic:cNvPr descr="../figs/fig_forest_ablation.png" id="59" name="Picture"/>
                    <pic:cNvPicPr>
                      <a:picLocks noChangeArrowheads="1" noChangeAspect="1"/>
                    </pic:cNvPicPr>
                  </pic:nvPicPr>
                  <pic:blipFill>
                    <a:blip r:embed="rId26"/>
                    <a:stretch>
                      <a:fillRect/>
                    </a:stretch>
                  </pic:blipFill>
                  <pic:spPr bwMode="auto">
                    <a:xfrm>
                      <a:off x="0" y="0"/>
                      <a:ext cx="4989830" cy="1759125"/>
                    </a:xfrm>
                    <a:prstGeom prst="rect">
                      <a:avLst/>
                    </a:prstGeom>
                    <a:noFill/>
                    <a:ln w="9525">
                      <a:noFill/>
                      <a:headEnd/>
                      <a:tailEnd/>
                    </a:ln>
                  </pic:spPr>
                </pic:pic>
              </a:graphicData>
            </a:graphic>
          </wp:inline>
        </w:drawing>
      </w:r>
    </w:p>
    <w:p>
      <w:pPr>
        <w:pStyle w:val="MDPI51figurecaption"/>
        <w:ind w:left="2608"/>
      </w:pPr>
      <w:r>
        <w:rPr>
          <w:b/>
          <w:bCs/>
        </w:rPr>
        <w:t xml:space="preserve">Figure 9.</w:t>
      </w:r>
      <w:r>
        <w:t xml:space="preserve"> </w:t>
      </w:r>
      <w:r>
        <w:t xml:space="preserve">Guidance-ablation forest plot. Each panel shows the effect size (delta vs unguided Hz-C0 = SA-C0 baseline) for one metric across the six guided conditions. Error bars are propagated standard errors. Composite and max-Tanimoto: negative delta is improvement;</w:t>
      </w:r>
      <w:r>
        <w:t xml:space="preserve"> </w:t>
      </w:r>
      <m:oMath>
        <m:r>
          <m:t>D</m:t>
        </m:r>
      </m:oMath>
      <w:r>
        <w:t xml:space="preserve"> </w:t>
      </w:r>
      <w:r>
        <w:t xml:space="preserve">and</w:t>
      </w:r>
      <w:r>
        <w:t xml:space="preserve"> </w:t>
      </w:r>
      <m:oMath>
        <m:r>
          <m:t>P</m:t>
        </m:r>
      </m:oMath>
      <w:r>
        <w:t xml:space="preserve">: positive delta is improvement. Hz-C2 is the best joint novelty condition; SA-axis conditions consistently trade novelty for composite improvement (production sets</w:t>
      </w:r>
      <w:r>
        <w:t xml:space="preserve"> </w:t>
      </w:r>
      <m:oMath>
        <m:sSub>
          <m:e>
            <m:r>
              <m:t>s</m:t>
            </m:r>
          </m:e>
          <m:sub>
            <m:r>
              <m:rPr>
                <m:nor/>
                <m:sty m:val="p"/>
              </m:rPr>
              <m:t>SA</m:t>
            </m:r>
          </m:sub>
        </m:sSub>
        <m:r>
          <m:rPr>
            <m:sty m:val="p"/>
          </m:rPr>
          <m:t>=</m:t>
        </m:r>
        <m:r>
          <m:t>0</m:t>
        </m:r>
      </m:oMath>
      <w:r>
        <w:t xml:space="preserve">).</w:t>
      </w:r>
    </w:p>
    <w:p>
      <w:pPr>
        <w:pStyle w:val="MDPI31text"/>
        <w:ind w:left="2608"/>
      </w:pPr>
      <w:r>
        <w:rPr>
          <w:b/>
          <w:bCs/>
        </w:rPr>
        <w:t xml:space="preserve">What each component contributes.</w:t>
      </w:r>
      <w:r>
        <w:t xml:space="preserve"> </w:t>
      </w:r>
      <w:r>
        <w:t xml:space="preserve">The tier-gate is the single largest contributor: removing it collapses the sampler to high-N degenerate open chains (53.9 % keep-rate, no ring chemistry) rather than the ring-bearing high-density manifold the production model occupies. The diffusion prior contributes a +0.45 km s</w:t>
      </w:r>
      <w:r>
        <w:rPr>
          <w:vertAlign w:val="superscript"/>
        </w:rPr>
        <w:t xml:space="preserve">−1</w:t>
      </w:r>
      <w:r>
        <w:t xml:space="preserve"> </w:t>
      </w:r>
      <m:oMath>
        <m:r>
          <m:t>D</m:t>
        </m:r>
      </m:oMath>
      <w:r>
        <w:t xml:space="preserve">-lift over a compute-matched Gaussian-latent control, whose 48 % vs 4.6 % Stage-1+2 keep-rate reversal confirms that the diffusion prior's role is not chemical-plausibility filtering (a Gaussian decode through frozen LIMO does that easily) but distribution concentration on the high-</w:t>
      </w:r>
      <m:oMath>
        <m:r>
          <m:t>D</m:t>
        </m:r>
      </m:oMath>
      <w:r>
        <w:t xml:space="preserve"> </w:t>
      </w:r>
      <w:r>
        <w:t xml:space="preserve">tail. Multi-head guidance trades scaffold diversity for novelty: hazard-axis C2 reaches max-Tanimoto 0.27 (the most novel condition) at the cost of scaffold count 5 vs 12. Pool fusion across 5 lanes lifts post-filter yield nearly five-fold (4 639 vs 966 candidates, +5</w:t>
      </w:r>
      <m:oMath>
        <m:r>
          <m:rPr>
            <m:sty m:val="p"/>
          </m:rPr>
          <m:t>×</m:t>
        </m:r>
      </m:oMath>
      <w:r>
        <w:t xml:space="preserve">) without lifting top-1, surfacing 24 Bemis–Murcko scaffolds vs 7.</w:t>
      </w:r>
    </w:p>
    <w:p>
      <w:pPr>
        <w:pStyle w:val="MDPI31text"/>
        <w:ind w:left="2608"/>
      </w:pPr>
      <w:r>
        <w:rPr>
          <w:b/>
          <w:bCs/>
        </w:rPr>
        <w:t xml:space="preserve">Seed-variance context for the headline.</w:t>
      </w:r>
      <w:r>
        <w:t xml:space="preserve"> </w:t>
      </w:r>
      <w:r>
        <w:t xml:space="preserve">Per-condition seed variance (3-seed s.d. on top-1 composite, range 0.106–0.184) is comparable to the across-condition mean differences, so the production C2 default is justified by the most-novel result, with top-1</w:t>
      </w:r>
      <w:r>
        <w:t xml:space="preserve"> </w:t>
      </w:r>
      <m:oMath>
        <m:r>
          <m:t>D</m:t>
        </m:r>
      </m:oMath>
      <w:r>
        <w:t xml:space="preserve"> </w:t>
      </w:r>
      <w:r>
        <w:t xml:space="preserve">invariant across conditions; the qualitative ablation conclusions are robust to seed across all six guidance axes (Table S27, full multi-seed table). The 6-seed unguided baseline gives the tightest mean (top-1 composite 0.451 ± 0.126); the SA-axis SA-C3 (viab+sens+SA) is the worst at 0.698 ± 0.015.</w:t>
      </w:r>
    </w:p>
    <w:p>
      <w:pPr>
        <w:pStyle w:val="MDPI31text"/>
        <w:ind w:left="2608"/>
      </w:pPr>
      <w:r>
        <w:rPr>
          <w:b/>
          <w:bCs/>
        </w:rPr>
        <w:t xml:space="preserve">What is ruled out.</w:t>
      </w:r>
      <w:r>
        <w:t xml:space="preserve"> </w:t>
      </w:r>
      <w:r>
        <w:t xml:space="preserve">A drug-domain SA-gradient head (RDKit SAScorer, calibrated on Reaxys/pharma reaction corpora) worsens the composite by 13 % in our energetic-materials regime; production therefore uses</w:t>
      </w:r>
      <w:r>
        <w:t xml:space="preserve"> </w:t>
      </w:r>
      <m:oMath>
        <m:sSub>
          <m:e>
            <m:r>
              <m:t>s</m:t>
            </m:r>
          </m:e>
          <m:sub>
            <m:r>
              <m:rPr>
                <m:nor/>
                <m:sty m:val="p"/>
              </m:rPr>
              <m:t>SA</m:t>
            </m:r>
          </m:sub>
        </m:sSub>
        <m:r>
          <m:rPr>
            <m:sty m:val="p"/>
          </m:rPr>
          <m:t>=</m:t>
        </m:r>
        <m:r>
          <m:t>0</m:t>
        </m:r>
      </m:oMath>
      <w:r>
        <w:t xml:space="preserve">. The SC head is retained as an architectural slot for backward compatibility but is not plumbed into the sample-time gradient sum. Both heads add</w:t>
      </w:r>
      <w:r>
        <w:t xml:space="preserve"> </w:t>
      </w:r>
      <m:oMath>
        <m:r>
          <m:rPr>
            <m:sty m:val="p"/>
          </m:rPr>
          <m:t>∼</m:t>
        </m:r>
      </m:oMath>
      <w:r>
        <w:t xml:space="preserve">2 × 256k parameters of trunk-regularisation supervision during training (Supplementary Section B.4 contains the full SA / SC drug-domain transfer-head story).</w:t>
      </w:r>
    </w:p>
    <w:p>
      <w:pPr>
        <w:pStyle w:val="MDPI21heading1"/>
        <w:ind w:left="2608"/>
      </w:pPr>
      <w:r>
        <w:t xml:space="preserve">3. Discussion</w:t>
      </w:r>
    </w:p>
    <w:p>
      <w:pPr>
        <w:pStyle w:val="MDPI32textnoindent"/>
        <w:ind w:left="2608"/>
      </w:pPr>
      <w:r>
        <w:t xml:space="preserve">DGLD’s central result is that tier-gated training and switchable sample-time steering together make a latent diffusion model a</w:t>
      </w:r>
      <w:r>
        <w:t xml:space="preserve"> </w:t>
      </w:r>
      <w:r>
        <w:rPr>
          <w:i/>
          <w:iCs/>
        </w:rPr>
        <w:t xml:space="preserve">productive-quadrant generator</w:t>
      </w:r>
      <w:r>
        <w:t xml:space="preserve">: the tier gate keeps miscalibrated labels out of the conditional gradient, so sampling concentrates where candidates are both novel and, under first-principles validation, competitive with the HMX/PETN reference class. The top-ranked novel lead L1 (3,4,5-trinitro-1,2-isoxazole) and the independently recovered known oxatriazole E1 (4-nitro-1,2,3,5-oxatriazole, PubChem CID 57438703) come from disjoint chemotype families on a single sampling run, external evidence that DGLD’s scaffold reach spans multiple chemotype classes; the 10 novel L-set leads themselves cover several scaffolds (E1’s placement pending an oxatriazole-class DFT anchor). The mechanism that makes this possible is the label-trust gate: routing only the ~3,000 rows that carry a trustworthy experimental or DFT label on the target detonation channels into the conditional gradient, while the remaining lower-confidence labels train only the unconditional prior, prevents miscalibrated Kamlet–Jacobs and surrogate labels from steering generation toward physically implausible high-scoring regions, the failure mode visible in the SELFIES-GA baseline, whose best novel candidate loses 3.5 km s</w:t>
      </w:r>
      <w:r>
        <w:rPr>
          <w:vertAlign w:val="superscript"/>
        </w:rPr>
        <w:t xml:space="preserve">−1</w:t>
      </w:r>
      <w:r>
        <w:t xml:space="preserve"> </w:t>
      </w:r>
      <w:r>
        <w:t xml:space="preserve">under DFT audit.</w:t>
      </w:r>
    </w:p>
    <w:p>
      <w:pPr>
        <w:pStyle w:val="MDPI31text"/>
        <w:ind w:left="2608"/>
      </w:pPr>
      <w:r>
        <w:t xml:space="preserve">Relative to prior work, DGLD occupies a distinct position. Discriminative property surrogates score candidates but do not propose them; generative language models trained on energetic corpora tend to memorise, as the SMILES-LSTM baseline’s 18.3% exact-rediscovery rate shows; and standard classifier guidance degrades over the short trajectories molecular generation requires. By coupling generative inverse design to a graded validation funnel that ends in density-functional theory, DGLD converts a sparse-label liability into a usable training signal and returns a ranked, physics-checked candidate list rather than an unvalidated pool. Because the gating mechanism depends only on the availability of a trust hierarchy over labels (not on any energetic-materials-specific structure), the recipe should transfer to other data-limited inverse-design settings, with only the validation funnel changing per domain.</w:t>
      </w:r>
    </w:p>
    <w:p>
      <w:pPr>
        <w:pStyle w:val="MDPI22heading2"/>
        <w:ind w:left="2608"/>
      </w:pPr>
      <w:r>
        <w:t xml:space="preserve">3.1. Limitations</w:t>
      </w:r>
    </w:p>
    <w:p>
      <w:pPr>
        <w:pStyle w:val="MDPI32textnoindent"/>
        <w:ind w:left="2608"/>
      </w:pPr>
      <w:r>
        <w:rPr>
          <w:b/>
          <w:bCs/>
        </w:rPr>
        <w:t xml:space="preserve">Crystal packing is the dominant unquantified error source.</w:t>
      </w:r>
      <w:r>
        <w:t xml:space="preserve"> </w:t>
      </w:r>
      <w:r>
        <w:t xml:space="preserve">All densities are estimated from gas-phase DFT geometry using Bondi van-der-Waals volumes with a fixed packing factor of 0.69. This factor varies from approximately 0.65 (loosely packing aromatics) to 0.72 (cubane-class compounds), with literature reports up to 0.78 for the densest CHNO crystals (Supplementary Section C.3); a ±5% packing-factor error alone propagates to ±0.10 g cm</w:t>
      </w:r>
      <w:r>
        <w:rPr>
          <w:vertAlign w:val="superscript"/>
        </w:rPr>
        <w:t xml:space="preserve">−3</w:t>
      </w:r>
      <w:r>
        <w:t xml:space="preserve"> </w:t>
      </w:r>
      <w:r>
        <w:t xml:space="preserve">in density, which at the K-J sensitivity of</w:t>
      </w:r>
      <w:r>
        <w:t xml:space="preserve"> </w:t>
      </w:r>
      <m:oMath>
        <m:r>
          <m:rPr>
            <m:sty m:val="p"/>
          </m:rPr>
          <m:t>∂</m:t>
        </m:r>
        <m:r>
          <m:t>D</m:t>
        </m:r>
        <m:r>
          <m:rPr>
            <m:sty m:val="p"/>
          </m:rPr>
          <m:t>/</m:t>
        </m:r>
        <m:r>
          <m:rPr>
            <m:sty m:val="p"/>
          </m:rPr>
          <m:t>∂</m:t>
        </m:r>
        <m:r>
          <m:t>ρ</m:t>
        </m:r>
        <m:r>
          <m:rPr>
            <m:sty m:val="p"/>
          </m:rPr>
          <m:t>≈</m:t>
        </m:r>
        <m:r>
          <m:t>2.9</m:t>
        </m:r>
      </m:oMath>
      <w:r>
        <w:t xml:space="preserve"> km s</w:t>
      </w:r>
      <w:r>
        <w:rPr>
          <w:vertAlign w:val="superscript"/>
        </w:rPr>
        <w:t xml:space="preserve">−1</w:t>
      </w:r>
      <w:r>
        <w:t xml:space="preserve"> </w:t>
      </w:r>
      <w:r>
        <w:t xml:space="preserve">per g cm</w:t>
      </w:r>
      <w:r>
        <w:rPr>
          <w:vertAlign w:val="superscript"/>
        </w:rPr>
        <w:t xml:space="preserve">−3</w:t>
      </w:r>
      <w:r>
        <w:t xml:space="preserve"> </w:t>
      </w:r>
      <w:r>
        <w:t xml:space="preserve">(Table 2) yields ±0.29 km s</w:t>
      </w:r>
      <w:r>
        <w:rPr>
          <w:vertAlign w:val="superscript"/>
        </w:rPr>
        <w:t xml:space="preserve">−1</w:t>
      </w:r>
      <w:r>
        <w:t xml:space="preserve"> </w:t>
      </w:r>
      <w:r>
        <w:t xml:space="preserve">in</w:t>
      </w:r>
      <w:r>
        <w:t xml:space="preserve"> </w:t>
      </w:r>
      <m:oMath>
        <m:r>
          <m:t>D</m:t>
        </m:r>
      </m:oMath>
      <w:r>
        <w:t xml:space="preserve">, comparable to the 6-anchor calibration uncertainty of ±0.23 km s</w:t>
      </w:r>
      <w:r>
        <w:rPr>
          <w:vertAlign w:val="superscript"/>
        </w:rPr>
        <w:t xml:space="preserve">−1</w:t>
      </w:r>
      <w:r>
        <w:t xml:space="preserve">. Note that this propagation applies to the</w:t>
      </w:r>
      <w:r>
        <w:t xml:space="preserve"> </w:t>
      </w:r>
      <w:r>
        <w:rPr>
          <w:i/>
          <w:iCs/>
        </w:rPr>
        <w:t xml:space="preserve">uncalibrated</w:t>
      </w:r>
      <w:r>
        <w:t xml:space="preserve"> </w:t>
      </w:r>
      <w:r>
        <w:t xml:space="preserve">Bondi-vdW estimate; the 6-anchor empirical calibration absorbs most of the systematic packing-factor error and brings the residual to ±0.078 g cm</w:t>
      </w:r>
      <w:r>
        <w:rPr>
          <w:vertAlign w:val="superscript"/>
        </w:rPr>
        <w:t xml:space="preserve">−3</w:t>
      </w:r>
      <w:r>
        <w:t xml:space="preserve"> </w:t>
      </w:r>
      <w:r>
        <w:t xml:space="preserve">(Supplementary Section C.4). Polymorph screening is absent; high-nitrogen heterocycles frequently exhibit multiple crystal forms with different densities and sensitivity profiles (cf.</w:t>
      </w:r>
      <w:r>
        <w:t xml:space="preserve"> </w:t>
      </w:r>
      <m:oMath>
        <m:r>
          <m:t>ε</m:t>
        </m:r>
      </m:oMath>
      <w:r>
        <w:t xml:space="preserve">- vs other CL-20 polymorphs). Crystal structure prediction or experimental single-crystal X-ray diffraction is the critical missing step before any density-based performance claim can be considered quantitative. Crystal structure prediction is the natural follow-up validation; recent benchmarks of CSP on energetic molecular crystals</w:t>
      </w:r>
      <w:r>
        <w:t xml:space="preserve"> </w:t>
      </w:r>
      <w:hyperlink w:anchor="ref-csp-cgd-2023">
        <w:r>
          <w:rPr>
            <w:rStyle w:val="Hyperlink"/>
          </w:rPr>
          <w:t xml:space="preserve">[67]</w:t>
        </w:r>
      </w:hyperlink>
      <w:r>
        <w:t xml:space="preserve"> </w:t>
      </w:r>
      <w:r>
        <w:t xml:space="preserve">demonstrate that polymorph screening is feasible at this candidate-list scale.</w:t>
      </w:r>
    </w:p>
    <w:p>
      <w:pPr>
        <w:pStyle w:val="MDPI31text"/>
        <w:ind w:left="2608"/>
      </w:pPr>
      <w:r>
        <w:rPr>
          <w:b/>
          <w:bCs/>
        </w:rPr>
        <w:t xml:space="preserve">Independent cross-checks on L1 and E1.</w:t>
      </w:r>
      <w:r>
        <w:t xml:space="preserve"> </w:t>
      </w:r>
      <w:r>
        <w:t xml:space="preserve">Two independent semi-empirical cross-checks confirm conservative bounds. A Bondi-vdW packing-factor bracket on L1 and E1 (Supplementary Section C.9) yields</w:t>
      </w:r>
      <w:r>
        <w:t xml:space="preserve"> </w:t>
      </w:r>
      <m:oMath>
        <m:r>
          <m:t>ρ</m:t>
        </m:r>
        <m:r>
          <m:rPr>
            <m:sty m:val="p"/>
          </m:rPr>
          <m:t>∈</m:t>
        </m:r>
        <m:r>
          <m:rPr>
            <m:sty m:val="p"/>
          </m:rPr>
          <m:t>[</m:t>
        </m:r>
        <m:r>
          <m:t>1.69</m:t>
        </m:r>
        <m:r>
          <m:rPr>
            <m:sty m:val="p"/>
          </m:rPr>
          <m:t>,</m:t>
        </m:r>
        <m:r>
          <m:t>1.87</m:t>
        </m:r>
        <m:r>
          <m:rPr>
            <m:sty m:val="p"/>
          </m:rPr>
          <m:t>]</m:t>
        </m:r>
      </m:oMath>
      <w:r>
        <w:t xml:space="preserve"> g cm</w:t>
      </w:r>
      <w:r>
        <w:rPr>
          <w:vertAlign w:val="superscript"/>
        </w:rPr>
        <w:t xml:space="preserve">−3</w:t>
      </w:r>
      <w:r>
        <w:t xml:space="preserve"> </w:t>
      </w:r>
      <w:r>
        <w:t xml:space="preserve">for L1 and</w:t>
      </w:r>
      <w:r>
        <w:t xml:space="preserve"> </w:t>
      </w:r>
      <m:oMath>
        <m:r>
          <m:rPr>
            <m:sty m:val="p"/>
          </m:rPr>
          <m:t>[</m:t>
        </m:r>
        <m:r>
          <m:t>1.65</m:t>
        </m:r>
        <m:r>
          <m:rPr>
            <m:sty m:val="p"/>
          </m:rPr>
          <m:t>,</m:t>
        </m:r>
        <m:r>
          <m:t>1.83</m:t>
        </m:r>
        <m:r>
          <m:rPr>
            <m:sty m:val="p"/>
          </m:rPr>
          <m:t>]</m:t>
        </m:r>
      </m:oMath>
      <w:r>
        <w:t xml:space="preserve"> g cm</w:t>
      </w:r>
      <w:r>
        <w:rPr>
          <w:vertAlign w:val="superscript"/>
        </w:rPr>
        <w:t xml:space="preserve">−3</w:t>
      </w:r>
      <w:r>
        <w:t xml:space="preserve"> </w:t>
      </w:r>
      <w:r>
        <w:t xml:space="preserve">for E1, both below the 6-anchor-calibrated values (2.09 and 2.04); the 14% offset reproduces the calibration slope and confirms the pure Bondi-vdW estimator is conservative. A coordinate-preserving GFN2-xTB BDE scan (Supplementary Section C.10) places the weakest-bond cleavage of L1 at 86 kcal mol</w:t>
      </w:r>
      <w:r>
        <w:rPr>
          <w:vertAlign w:val="superscript"/>
        </w:rPr>
        <w:t xml:space="preserve">−1</w:t>
      </w:r>
      <w:r>
        <w:t xml:space="preserve"> </w:t>
      </w:r>
      <w:r>
        <w:t xml:space="preserve">and E1 at 93 kcal mol</w:t>
      </w:r>
      <w:r>
        <w:rPr>
          <w:vertAlign w:val="superscript"/>
        </w:rPr>
        <w:t xml:space="preserve">−1</w:t>
      </w:r>
      <w:r>
        <w:t xml:space="preserve">, both on C–NO</w:t>
      </w:r>
      <w:r>
        <w:rPr>
          <w:vertAlign w:val="subscript"/>
        </w:rPr>
        <w:t xml:space="preserve">2</w:t>
      </w:r>
      <w:r>
        <w:t xml:space="preserve"> </w:t>
      </w:r>
      <w:r>
        <w:t xml:space="preserve">nitro-loss channels with no sub-80 kcal mol</w:t>
      </w:r>
      <w:r>
        <w:rPr>
          <w:vertAlign w:val="superscript"/>
        </w:rPr>
        <w:t xml:space="preserve">−1</w:t>
      </w:r>
      <w:r>
        <w:t xml:space="preserve"> </w:t>
      </w:r>
      <w:r>
        <w:t xml:space="preserve">channel that would predict primary-explosive sensitivity.</w:t>
      </w:r>
    </w:p>
    <w:p>
      <w:pPr>
        <w:pStyle w:val="MDPI31text"/>
        <w:ind w:left="2608"/>
      </w:pPr>
      <w:r>
        <w:t xml:space="preserve">The Uni-Mol surrogate is well-calibrated on the labelled distribution but extrapolates onto the high-density tail with unquantified reliability; the top leads should be treated as candidates for DFT and experimental validation, not as final answers. SA and SCScore are heuristic synthesisability bounds. Absolute</w:t>
      </w:r>
      <w:r>
        <w:t xml:space="preserve"> </w:t>
      </w:r>
      <m:oMath>
        <m:r>
          <m:t>D</m:t>
        </m:r>
      </m:oMath>
      <w:r>
        <w:t xml:space="preserve"> </w:t>
      </w:r>
      <w:r>
        <w:t xml:space="preserve">values are reported under the closed-form Kamlet–Jacobs approximation; absolute-value-grade numbers require a thermochemical-equilibrium CJ code with a covolume EOS (EXPLO5, Cheetah-2, or the open-source Cantera-based Shock and Detonation Toolbox), which we do not run in this work. The six DFT anchor compounds contain no oxatriazole-class member; E1's</w:t>
      </w:r>
      <w:r>
        <w:t xml:space="preserve"> </w:t>
      </w:r>
      <m:oMath>
        <m:sSub>
          <m:e>
            <m:r>
              <m:t>D</m:t>
            </m:r>
          </m:e>
          <m:sub>
            <m:r>
              <m:rPr>
                <m:nor/>
                <m:sty m:val="p"/>
              </m:rPr>
              <m:t>K-J,cal</m:t>
            </m:r>
          </m:sub>
        </m:sSub>
        <m:r>
          <m:rPr>
            <m:sty m:val="p"/>
          </m:rPr>
          <m:t>=</m:t>
        </m:r>
        <m:r>
          <m:t>9.00</m:t>
        </m:r>
      </m:oMath>
      <w:r>
        <w:t xml:space="preserve"> km s</w:t>
      </w:r>
      <w:r>
        <w:rPr>
          <w:vertAlign w:val="superscript"/>
        </w:rPr>
        <w:t xml:space="preserve">−1</w:t>
      </w:r>
      <w:r>
        <w:t xml:space="preserve"> </w:t>
      </w:r>
      <w:r>
        <w:t xml:space="preserve">is therefore an extrapolation outside the anchor chemical space. DNTF lies outside the calibration's applicability domain (a furazan-class outlier, Supplementary Section C.11), so the 6-anchor calibration is retained; an oxatriazole-class anchor with experimental crystal density and detonation data remains scoped as future work before E1 reaches L1 confidence. L1's</w:t>
      </w:r>
      <w:r>
        <w:t xml:space="preserve"> </w:t>
      </w:r>
      <m:oMath>
        <m:sSub>
          <m:e>
            <m:r>
              <m:t>ρ</m:t>
            </m:r>
          </m:e>
          <m:sub>
            <m:r>
              <m:rPr>
                <m:nor/>
                <m:sty m:val="p"/>
              </m:rPr>
              <m:t>cal</m:t>
            </m:r>
          </m:sub>
        </m:sSub>
        <m:r>
          <m:rPr>
            <m:sty m:val="p"/>
          </m:rPr>
          <m:t>=</m:t>
        </m:r>
        <m:r>
          <m:t>2.09</m:t>
        </m:r>
      </m:oMath>
      <w:r>
        <w:t xml:space="preserve"> g cm</w:t>
      </w:r>
      <w:r>
        <w:rPr>
          <w:vertAlign w:val="superscript"/>
        </w:rPr>
        <w:t xml:space="preserve">−3</w:t>
      </w:r>
      <w:r>
        <w:t xml:space="preserve"> </w:t>
      </w:r>
      <w:r>
        <w:t xml:space="preserve">also involves nitroisoxazole chemotype extrapolation: a packing factor of 0.65 (lower-end aromatic, vs 0.69 used) would give</w:t>
      </w:r>
      <w:r>
        <w:t xml:space="preserve"> </w:t>
      </w:r>
      <m:oMath>
        <m:r>
          <m:t>ρ</m:t>
        </m:r>
        <m:r>
          <m:rPr>
            <m:sty m:val="p"/>
          </m:rPr>
          <m:t>≈</m:t>
        </m:r>
        <m:r>
          <m:t>1.97</m:t>
        </m:r>
      </m:oMath>
      <w:r>
        <w:t xml:space="preserve">, shifting</w:t>
      </w:r>
      <w:r>
        <w:t xml:space="preserve"> </w:t>
      </w:r>
      <m:oMath>
        <m:sSub>
          <m:e>
            <m:r>
              <m:t>D</m:t>
            </m:r>
          </m:e>
          <m:sub>
            <m:r>
              <m:rPr>
                <m:nor/>
                <m:sty m:val="p"/>
              </m:rPr>
              <m:t>K-J</m:t>
            </m:r>
          </m:sub>
        </m:sSub>
      </m:oMath>
      <w:r>
        <w:t xml:space="preserve"> </w:t>
      </w:r>
      <w:r>
        <w:t xml:space="preserve">by roughly</w:t>
      </w:r>
      <w:r>
        <w:t xml:space="preserve"> </w:t>
      </w:r>
      <m:oMath>
        <m:r>
          <m:rPr>
            <m:sty m:val="p"/>
          </m:rPr>
          <m:t>±</m:t>
        </m:r>
        <m:r>
          <m:t>0.3</m:t>
        </m:r>
      </m:oMath>
      <w:r>
        <w:t xml:space="preserve"> km s</w:t>
      </w:r>
      <w:r>
        <w:rPr>
          <w:vertAlign w:val="superscript"/>
        </w:rPr>
        <w:t xml:space="preserve">−1</w:t>
      </w:r>
      <w:r>
        <w:t xml:space="preserve">.</w:t>
      </w:r>
    </w:p>
    <w:p>
      <w:pPr>
        <w:pStyle w:val="MDPI31text"/>
        <w:ind w:left="2608"/>
      </w:pPr>
      <w:r>
        <w:t xml:space="preserve">The 1.5–2 km s</w:t>
      </w:r>
      <w:r>
        <w:rPr>
          <w:vertAlign w:val="superscript"/>
        </w:rPr>
        <w:t xml:space="preserve">−1</w:t>
      </w:r>
      <w:r>
        <w:t xml:space="preserve"> </w:t>
      </w:r>
      <w:r>
        <w:t xml:space="preserve">Kamlet–Jacobs vs Uni-Mol residual reported in Section 2.3 is consistent with the typical disagreement between Kamlet–Jacobs and full Chapman–Jouguet thermochemical-equilibrium codes (EXPLO5, Sućeska et al.; Cheetah-2, Fried–Howard) on high-N CHNO compounds: published benchmarks place this disagreement in the 0.3–1.5 km s</w:t>
      </w:r>
      <w:r>
        <w:rPr>
          <w:vertAlign w:val="superscript"/>
        </w:rPr>
        <w:t xml:space="preserve">−1</w:t>
      </w:r>
      <w:r>
        <w:t xml:space="preserve"> </w:t>
      </w:r>
      <w:r>
        <w:t xml:space="preserve">band for typical organic explosives and at the higher end (1–2 km s</w:t>
      </w:r>
      <w:r>
        <w:rPr>
          <w:vertAlign w:val="superscript"/>
        </w:rPr>
        <w:t xml:space="preserve">−1</w:t>
      </w:r>
      <w:r>
        <w:t xml:space="preserve">) for compounds with N-fraction</w:t>
      </w:r>
      <w:r>
        <w:t xml:space="preserve"> </w:t>
      </w:r>
      <m:oMath>
        <m:r>
          <m:rPr>
            <m:sty m:val="p"/>
          </m:rPr>
          <m:t>≳</m:t>
        </m:r>
        <m:r>
          <m:t>0.4</m:t>
        </m:r>
      </m:oMath>
      <w:r>
        <w:t xml:space="preserve">, where the K-J fixed-product-distribution assumption breaks down. The population-level Section 2.3 evidence (Pearson</w:t>
      </w:r>
      <w:r>
        <w:t xml:space="preserve"> </w:t>
      </w:r>
      <m:oMath>
        <m:r>
          <m:t>r</m:t>
        </m:r>
        <m:r>
          <m:rPr>
            <m:sty m:val="p"/>
          </m:rPr>
          <m:t>(</m:t>
        </m:r>
        <m:sSub>
          <m:e>
            <m:r>
              <m:t>f</m:t>
            </m:r>
          </m:e>
          <m:sub>
            <m:r>
              <m:t>N</m:t>
            </m:r>
          </m:sub>
        </m:sSub>
        <m:r>
          <m:rPr>
            <m:sty m:val="p"/>
          </m:rPr>
          <m:t>,</m:t>
        </m:r>
        <m:r>
          <m:rPr>
            <m:nor/>
            <m:sty m:val="p"/>
          </m:rPr>
          <m:t>residual</m:t>
        </m:r>
        <m:r>
          <m:rPr>
            <m:sty m:val="p"/>
          </m:rPr>
          <m:t>)</m:t>
        </m:r>
        <m:r>
          <m:rPr>
            <m:sty m:val="p"/>
          </m:rPr>
          <m:t>=</m:t>
        </m:r>
        <m:r>
          <m:rPr>
            <m:sty m:val="p"/>
          </m:rPr>
          <m:t>+</m:t>
        </m:r>
        <m:r>
          <m:t>0.43</m:t>
        </m:r>
      </m:oMath>
      <w:r>
        <w:t xml:space="preserve">,</w:t>
      </w:r>
      <w:r>
        <w:t xml:space="preserve"> </w:t>
      </w:r>
      <m:oMath>
        <m:r>
          <m:t>p</m:t>
        </m:r>
        <m:r>
          <m:rPr>
            <m:sty m:val="p"/>
          </m:rPr>
          <m:t>&lt;</m:t>
        </m:r>
        <m:sSup>
          <m:e>
            <m:r>
              <m:t>10</m:t>
            </m:r>
          </m:e>
          <m:sup>
            <m:r>
              <m:rPr>
                <m:sty m:val="p"/>
              </m:rPr>
              <m:t>−</m:t>
            </m:r>
            <m:r>
              <m:t>26</m:t>
            </m:r>
          </m:sup>
        </m:sSup>
      </m:oMath>
      <w:r>
        <w:t xml:space="preserve">) is itself a regime-aware reproduction of the same effect on 575 Tier-A experimental rows. Definitive absolute-</w:t>
      </w:r>
      <m:oMath>
        <m:r>
          <m:t>D</m:t>
        </m:r>
      </m:oMath>
      <w:r>
        <w:t xml:space="preserve"> </w:t>
      </w:r>
      <w:r>
        <w:t xml:space="preserve">numbers for the top lead therefore require either a thermochemical-equilibrium CJ recompute (EXPLO5, Cheetah-2, or the open-source Cantera SDT) on the calibrated DFT inputs, or experimental synthesis; the Uni-Mol</w:t>
      </w:r>
      <w:r>
        <w:t xml:space="preserve"> </w:t>
      </w:r>
      <m:oMath>
        <m:r>
          <m:t>D</m:t>
        </m:r>
      </m:oMath>
      <w:r>
        <w:t xml:space="preserve"> </w:t>
      </w:r>
      <w:r>
        <w:t xml:space="preserve">should be read as relative-ranking-grade, not absolute-value-grade.</w:t>
      </w:r>
    </w:p>
    <w:p>
      <w:pPr>
        <w:pStyle w:val="MDPI31text"/>
        <w:ind w:left="2608"/>
      </w:pPr>
      <w:r>
        <w:rPr>
          <w:b/>
          <w:bCs/>
        </w:rPr>
        <w:t xml:space="preserve">Public USPTO retrosynthesis templates are drug-domain-biased for energetic-materials chemistry.</w:t>
      </w:r>
      <w:r>
        <w:t xml:space="preserve"> </w:t>
      </w:r>
      <w:r>
        <w:t xml:space="preserve">AiZynthFinder finds a 4-step productive route for L1 (state score 0.50) but not for the ten remaining lead cards, which reflects the Reaxys-/USPTO-derived template database rather than unsynthesisability of the candidates; energetic-domain templates (nitration, N</w:t>
      </w:r>
      <w:r>
        <w:rPr>
          <w:vertAlign w:val="subscript"/>
        </w:rPr>
        <w:t xml:space="preserve">2</w:t>
      </w:r>
      <w:r>
        <w:t xml:space="preserve">O</w:t>
      </w:r>
      <w:r>
        <w:rPr>
          <w:vertAlign w:val="subscript"/>
        </w:rPr>
        <w:t xml:space="preserve">5</w:t>
      </w:r>
      <w:r>
        <w:t xml:space="preserve"> </w:t>
      </w:r>
      <w:r>
        <w:t xml:space="preserve">nitrolysis, ring-cyclisation) would be required for an informative retro-screen.</w:t>
      </w:r>
    </w:p>
    <w:p>
      <w:pPr>
        <w:pStyle w:val="MDPI31text"/>
        <w:ind w:left="2608"/>
      </w:pPr>
      <w:r>
        <w:t xml:space="preserve">The statistical scope of the headline numbers is bounded as follows. Supplementary Section F.4 reports a 4-condition × 3-seed head-to-head at pool=10k with a no-diffusion SMILES-LSTM baseline, and Supplementary Section F.3 reports the single-seed pool=40k head-to-head used for the merged top-100; tables elsewhere use a single sampling seed. 89/100 of the merged top-100 come from a single unguided pool reranked by the Pareto-reranker scaffold composite, so the headline novelty/stability numbers reflect this single sampling stream, with the multi-seed Supplementary Section F.4 matrix as the variance estimate. Each denoiser is a</w:t>
      </w:r>
      <w:r>
        <w:t xml:space="preserve"> </w:t>
      </w:r>
      <m:oMath>
        <m:r>
          <m:rPr>
            <m:sty m:val="p"/>
          </m:rPr>
          <m:t>∼</m:t>
        </m:r>
      </m:oMath>
      <w:r>
        <w:t xml:space="preserve">6 hr training run; the v4b production architecture is trained at three seeds and the production C2 condition (Hz-C2 viab+sens+hazard, pool = 10k per seed) resampled. Across the 3 denoiser seeds, top-1</w:t>
      </w:r>
      <w:r>
        <w:t xml:space="preserve"> </w:t>
      </w:r>
      <m:oMath>
        <m:r>
          <m:t>D</m:t>
        </m:r>
      </m:oMath>
      <w:r>
        <w:t xml:space="preserve"> </w:t>
      </w:r>
      <w:r>
        <w:t xml:space="preserve">= 9.38</w:t>
      </w:r>
      <w:r>
        <w:t xml:space="preserve"> </w:t>
      </w:r>
      <m:oMath>
        <m:r>
          <m:rPr>
            <m:sty m:val="p"/>
          </m:rPr>
          <m:t>±</m:t>
        </m:r>
      </m:oMath>
      <w:r>
        <w:t xml:space="preserve"> </w:t>
      </w:r>
      <w:r>
        <w:t xml:space="preserve">0.01 km s</w:t>
      </w:r>
      <w:r>
        <w:rPr>
          <w:vertAlign w:val="superscript"/>
        </w:rPr>
        <w:t xml:space="preserve">−1</w:t>
      </w:r>
      <w:r>
        <w:t xml:space="preserve"> </w:t>
      </w:r>
      <w:r>
        <w:t xml:space="preserve">(relative s.d. 0.1%), top-1</w:t>
      </w:r>
      <w:r>
        <w:t xml:space="preserve"> </w:t>
      </w:r>
      <m:oMath>
        <m:r>
          <m:t>ρ</m:t>
        </m:r>
      </m:oMath>
      <w:r>
        <w:t xml:space="preserve"> </w:t>
      </w:r>
      <w:r>
        <w:t xml:space="preserve">= 1.92</w:t>
      </w:r>
      <w:r>
        <w:t xml:space="preserve"> </w:t>
      </w:r>
      <m:oMath>
        <m:r>
          <m:rPr>
            <m:sty m:val="p"/>
          </m:rPr>
          <m:t>±</m:t>
        </m:r>
      </m:oMath>
      <w:r>
        <w:t xml:space="preserve"> </w:t>
      </w:r>
      <w:r>
        <w:t xml:space="preserve">0.01 g cm</w:t>
      </w:r>
      <w:r>
        <w:rPr>
          <w:vertAlign w:val="superscript"/>
        </w:rPr>
        <w:t xml:space="preserve">−3</w:t>
      </w:r>
      <w:r>
        <w:t xml:space="preserve">, top-1</w:t>
      </w:r>
      <w:r>
        <w:t xml:space="preserve"> </w:t>
      </w:r>
      <m:oMath>
        <m:r>
          <m:t>P</m:t>
        </m:r>
      </m:oMath>
      <w:r>
        <w:t xml:space="preserve"> </w:t>
      </w:r>
      <w:r>
        <w:t xml:space="preserve">= 38.8</w:t>
      </w:r>
      <w:r>
        <w:t xml:space="preserve"> </w:t>
      </w:r>
      <m:oMath>
        <m:r>
          <m:rPr>
            <m:sty m:val="p"/>
          </m:rPr>
          <m:t>±</m:t>
        </m:r>
      </m:oMath>
      <w:r>
        <w:t xml:space="preserve"> </w:t>
      </w:r>
      <w:r>
        <w:t xml:space="preserve">0.07 GPa. The denoiser-init seed variance is far smaller than the across-condition C0</w:t>
      </w:r>
      <w:r>
        <w:t xml:space="preserve"> </w:t>
      </w:r>
      <m:oMath>
        <m:r>
          <m:rPr>
            <m:sty m:val="p"/>
          </m:rPr>
          <m:t>→</m:t>
        </m:r>
      </m:oMath>
      <w:r>
        <w:t xml:space="preserve"> </w:t>
      </w:r>
      <w:r>
        <w:t xml:space="preserve">C2 spread (</w:t>
      </w:r>
      <m:oMath>
        <m:r>
          <m:rPr>
            <m:sty m:val="p"/>
          </m:rPr>
          <m:t>∼</m:t>
        </m:r>
      </m:oMath>
      <w:r>
        <w:t xml:space="preserve">1% of mean), so the production C2 lift is stable across denoiser-init seeds.</w:t>
      </w:r>
    </w:p>
    <w:p>
      <w:pPr>
        <w:pStyle w:val="MDPI31text"/>
        <w:ind w:left="2608"/>
      </w:pPr>
      <w:r>
        <w:t xml:space="preserve">The diffusion model trains on the full 694k augmented corpus; the candidate-discovery objective is to extrapolate off the labelled distribution rather than recover held-out labels, so we do not report a held-out test split. The Tanimoto-stratified novelty against the 694k corpus (Section 2.4: median 0.32, 0/100 within Tanimoto 0.70) is the train-leakage proxy. The Uni-Mol surrogate → xTB triage → DFT minimum chain is not a substitute for first-principles equilibrium thermochemistry or experimental synthesis; we position the paper as a methodology and a candidate-list paper, not a synthesis paper. Finally, the cfg-dropout (0.10), property-dropout (0.30), high-tail oversample (10×), and the Tanimoto window (0.20, 0.55) are fixed configuration; no full hyperparameter grid is reported (Supplementary Section D.3).</w:t>
      </w:r>
    </w:p>
    <w:p>
      <w:pPr>
        <w:pStyle w:val="MDPI21heading1"/>
        <w:ind w:left="2608"/>
      </w:pPr>
      <w:r>
        <w:t xml:space="preserve">4. Materials and Methods</w:t>
      </w:r>
    </w:p>
    <w:p>
      <w:pPr>
        <w:pStyle w:val="MDPI32textnoindent"/>
        <w:ind w:left="2608"/>
      </w:pPr>
      <w:r>
        <w:rPr>
          <w:i/>
          <w:iCs/>
        </w:rPr>
        <w:t xml:space="preserve">Dataset construction (Section 4.1–4.3) and the DGLD model, sampler, and validation funnel (Section 4.4 onward) are described below; full per-component hyperparameters and the DFT protocol are in the Supplementary Information.</w:t>
      </w:r>
    </w:p>
    <w:p>
      <w:pPr>
        <w:pStyle w:val="MDPI31text"/>
        <w:ind w:left="2608"/>
      </w:pPr>
      <w:r>
        <w:t xml:space="preserve">We assemble the training data by collecting molecules from several public sources that differ in both reliability and chemical scope. A small experimental core carries detonation properties measured in the laboratory; a larger DFT-quality slice carries energies and densities from first-principles simulation; a wider Kamlet–Jacobs-derived layer carries closed-form estimates from quoted density and heat of formation; and a model-derived majority carries surrogate predictions from a Uni-Mol ensemble trained on the union of the higher tiers. Some sources are restricted to energetic CHNO and CHNOClF chemistry (a</w:t>
      </w:r>
      <w:r>
        <w:t xml:space="preserve"> </w:t>
      </w:r>
      <w:r>
        <w:rPr>
          <w:b/>
          <w:bCs/>
        </w:rPr>
        <w:t xml:space="preserve">labelled master</w:t>
      </w:r>
      <w:r>
        <w:t xml:space="preserve"> </w:t>
      </w:r>
      <w:r>
        <w:t xml:space="preserve">of</w:t>
      </w:r>
      <w:r>
        <w:t xml:space="preserve"> </w:t>
      </w:r>
      <m:oMath>
        <m:r>
          <m:rPr>
            <m:sty m:val="p"/>
          </m:rPr>
          <m:t>∼</m:t>
        </m:r>
        <m:r>
          <m:t>66</m:t>
        </m:r>
      </m:oMath>
      <w:r>
        <w:t xml:space="preserve"> k canonical SMILES (note: the labelled master includes CHNOClF molecules; the Stage-1 SMARTS gate at output removes all halogens, so all reported leads are CHNO-only) with at least one measured property and a</w:t>
      </w:r>
      <w:r>
        <w:t xml:space="preserve"> </w:t>
      </w:r>
      <w:r>
        <w:rPr>
          <w:b/>
          <w:bCs/>
        </w:rPr>
        <w:t xml:space="preserve">motif-augmented expansion</w:t>
      </w:r>
      <w:r>
        <w:t xml:space="preserve"> </w:t>
      </w:r>
      <w:r>
        <w:t xml:space="preserve">that systematically substitutes nitro / nitramine / azide / tetrazole groups onto labelled scaffolds); others draw from broader chemistry corpora (an</w:t>
      </w:r>
      <w:r>
        <w:t xml:space="preserve"> </w:t>
      </w:r>
      <w:r>
        <w:rPr>
          <w:b/>
          <w:bCs/>
        </w:rPr>
        <w:t xml:space="preserve">unlabelled energetic SMILES dump</w:t>
      </w:r>
      <w:r>
        <w:t xml:space="preserve"> </w:t>
      </w:r>
      <w:r>
        <w:t xml:space="preserve">of</w:t>
      </w:r>
      <w:r>
        <w:t xml:space="preserve"> </w:t>
      </w:r>
      <m:oMath>
        <m:r>
          <m:rPr>
            <m:sty m:val="p"/>
          </m:rPr>
          <m:t>∼</m:t>
        </m:r>
        <m:r>
          <m:t>380</m:t>
        </m:r>
      </m:oMath>
      <w:r>
        <w:t xml:space="preserve"> k from the same chemical domain) that the diffusion model uses only to learn the unconditional prior. Every row is canonicalised to a single RDKit canonical SMILES, deduplicated across sources, and tagged with a trust tier; each property label is then used according to its reliability via the conditioning-mask recipe of Section 4.1. After cross-source deduplication and token-length filtering, the merged pretraining pool comprises</w:t>
      </w:r>
      <w:r>
        <w:t xml:space="preserve"> </w:t>
      </w:r>
      <m:oMath>
        <m:r>
          <m:rPr>
            <m:sty m:val="p"/>
          </m:rPr>
          <m:t>∼</m:t>
        </m:r>
        <m:r>
          <m:t>694</m:t>
        </m:r>
      </m:oMath>
      <w:r>
        <w:t xml:space="preserve"> k unique molecules (pre-deduplication: 66k labelled + 380k unlabelled CHNO + 1.08M motif-augmented expansions = 1.53M; after canonical-SMILES deduplication across all three pools: 694k unique molecules; the motif-augmented pool contributes ~230k survivors after dedup with the base two pools), of which</w:t>
      </w:r>
      <w:r>
        <w:t xml:space="preserve"> </w:t>
      </w:r>
      <m:oMath>
        <m:r>
          <m:rPr>
            <m:sty m:val="p"/>
          </m:rPr>
          <m:t>∼</m:t>
        </m:r>
        <m:r>
          <m:t>66</m:t>
        </m:r>
      </m:oMath>
      <w:r>
        <w:t xml:space="preserve"> k carry at least one property label. The complete source provenance (per-source row counts, citations, license terms, role in the four-tier hierarchy), the canonicalisation and tokenisation pipeline, and the high-tail oversampling ratios used during training are documented in Supplementary Section A.1 / D. Joint property distributions and per-property histograms over the labelled corpus are shown in Figs 10 and 11; the label-tier composition (Figure 12) sits alongside the four-tier table in Section 4.1; atom-composition statistics over a 30k subsample are shown in Fig S1.</w:t>
      </w:r>
    </w:p>
    <w:p xmlns:a="http://schemas.openxmlformats.org/drawingml/2006/main" xmlns:pic="http://schemas.openxmlformats.org/drawingml/2006/picture">
      <w:pPr>
        <w:pStyle w:val="MDPI52figure"/>
        <w:ind w:left="2608"/>
        <w:jc w:val="center"/>
      </w:pPr>
      <w:r>
        <w:drawing>
          <wp:inline>
            <wp:extent cx="4989830" cy="3564609"/>
            <wp:effectExtent b="0" l="0" r="0" t="0"/>
            <wp:docPr descr="Density vs detonation velocity scatter" title="" id="66" name="Picture"/>
            <a:graphic>
              <a:graphicData uri="http://schemas.openxmlformats.org/drawingml/2006/picture">
                <pic:pic>
                  <pic:nvPicPr>
                    <pic:cNvPr descr="../figs/fig_eda_density_vs_velocity.png" id="67" name="Picture"/>
                    <pic:cNvPicPr>
                      <a:picLocks noChangeArrowheads="1" noChangeAspect="1"/>
                    </pic:cNvPicPr>
                  </pic:nvPicPr>
                  <pic:blipFill>
                    <a:blip r:embed="rId27"/>
                    <a:stretch>
                      <a:fillRect/>
                    </a:stretch>
                  </pic:blipFill>
                  <pic:spPr bwMode="auto">
                    <a:xfrm>
                      <a:off x="0" y="0"/>
                      <a:ext cx="4989830" cy="3564609"/>
                    </a:xfrm>
                    <a:prstGeom prst="rect">
                      <a:avLst/>
                    </a:prstGeom>
                    <a:noFill/>
                    <a:ln w="9525">
                      <a:noFill/>
                      <a:headEnd/>
                      <a:tailEnd/>
                    </a:ln>
                  </pic:spPr>
                </pic:pic>
              </a:graphicData>
            </a:graphic>
          </wp:inline>
        </w:drawing>
      </w:r>
    </w:p>
    <w:p>
      <w:pPr>
        <w:pStyle w:val="MDPI51figurecaption"/>
        <w:ind w:left="2608"/>
      </w:pPr>
      <w:r>
        <w:rPr>
          <w:b/>
          <w:bCs/>
        </w:rPr>
        <w:t xml:space="preserve">Figure 10.</w:t>
      </w:r>
      <w:r>
        <w:t xml:space="preserve"> </w:t>
      </w:r>
      <w:r>
        <w:t xml:space="preserve">Properties of the labelled corpus. Joint distribution of density and detonation velocity, with literature anchors overlaid. The bulk of the labelled distribution sits at</w:t>
      </w:r>
      <w:r>
        <w:t xml:space="preserve"> </w:t>
      </w:r>
      <m:oMath>
        <m:r>
          <m:t>ρ</m:t>
        </m:r>
        <m:r>
          <m:rPr>
            <m:sty m:val="p"/>
          </m:rPr>
          <m:t>&lt;</m:t>
        </m:r>
        <m:r>
          <m:t>1.85</m:t>
        </m:r>
      </m:oMath>
      <w:r>
        <w:t xml:space="preserve">,</w:t>
      </w:r>
      <w:r>
        <w:t xml:space="preserve"> </w:t>
      </w:r>
      <m:oMath>
        <m:r>
          <m:t>D</m:t>
        </m:r>
        <m:r>
          <m:rPr>
            <m:sty m:val="p"/>
          </m:rPr>
          <m:t>&lt;</m:t>
        </m:r>
        <m:r>
          <m:t>8.5</m:t>
        </m:r>
      </m:oMath>
      <w:r>
        <w:t xml:space="preserve"> </w:t>
      </w:r>
      <w:r>
        <w:t xml:space="preserve">km s</w:t>
      </w:r>
      <w:r>
        <w:rPr>
          <w:vertAlign w:val="superscript"/>
        </w:rPr>
        <w:t xml:space="preserve">−1</w:t>
      </w:r>
      <w:r>
        <w:t xml:space="preserve">; the high-tail above</w:t>
      </w:r>
      <w:r>
        <w:t xml:space="preserve"> </w:t>
      </w:r>
      <m:oMath>
        <m:r>
          <m:t>D</m:t>
        </m:r>
        <m:r>
          <m:rPr>
            <m:sty m:val="p"/>
          </m:rPr>
          <m:t>=</m:t>
        </m:r>
        <m:r>
          <m:t>9</m:t>
        </m:r>
      </m:oMath>
      <w:r>
        <w:t xml:space="preserve"> </w:t>
      </w:r>
      <w:r>
        <w:t xml:space="preserve">km s</w:t>
      </w:r>
      <w:r>
        <w:rPr>
          <w:vertAlign w:val="superscript"/>
        </w:rPr>
        <w:t xml:space="preserve">−1</w:t>
      </w:r>
      <w:r>
        <w:t xml:space="preserve"> </w:t>
      </w:r>
      <w:r>
        <w:t xml:space="preserve">contains only a handful of compounds (CL-20, HMX, RDX-class). Generation must extrapolate into this tail.</w:t>
      </w:r>
    </w:p>
    <w:p xmlns:a="http://schemas.openxmlformats.org/drawingml/2006/main" xmlns:pic="http://schemas.openxmlformats.org/drawingml/2006/picture">
      <w:pPr>
        <w:pStyle w:val="MDPI52figure"/>
        <w:ind w:left="2608"/>
        <w:jc w:val="center"/>
      </w:pPr>
      <w:r>
        <w:drawing>
          <wp:inline>
            <wp:extent cx="4989830" cy="3414914"/>
            <wp:effectExtent b="0" l="0" r="0" t="0"/>
            <wp:docPr descr="Property histograms" title="" id="69" name="Picture"/>
            <a:graphic>
              <a:graphicData uri="http://schemas.openxmlformats.org/drawingml/2006/picture">
                <pic:pic>
                  <pic:nvPicPr>
                    <pic:cNvPr descr="../figs/fig_eda_property_hists.png" id="70" name="Picture"/>
                    <pic:cNvPicPr>
                      <a:picLocks noChangeArrowheads="1" noChangeAspect="1"/>
                    </pic:cNvPicPr>
                  </pic:nvPicPr>
                  <pic:blipFill>
                    <a:blip r:embed="rId28"/>
                    <a:stretch>
                      <a:fillRect/>
                    </a:stretch>
                  </pic:blipFill>
                  <pic:spPr bwMode="auto">
                    <a:xfrm>
                      <a:off x="0" y="0"/>
                      <a:ext cx="4989830" cy="3414914"/>
                    </a:xfrm>
                    <a:prstGeom prst="rect">
                      <a:avLst/>
                    </a:prstGeom>
                    <a:noFill/>
                    <a:ln w="9525">
                      <a:noFill/>
                      <a:headEnd/>
                      <a:tailEnd/>
                    </a:ln>
                  </pic:spPr>
                </pic:pic>
              </a:graphicData>
            </a:graphic>
          </wp:inline>
        </w:drawing>
      </w:r>
    </w:p>
    <w:p>
      <w:pPr>
        <w:pStyle w:val="MDPI51figurecaption"/>
        <w:ind w:left="2608"/>
      </w:pPr>
      <w:r>
        <w:rPr>
          <w:b/>
          <w:bCs/>
        </w:rPr>
        <w:t xml:space="preserve">Figure 11.</w:t>
      </w:r>
      <w:r>
        <w:t xml:space="preserve"> </w:t>
      </w:r>
      <w:r>
        <w:t xml:space="preserve">Per-property histograms over the labelled corpus. Density and detonation velocity are sharply peaked; HOF has a heavy tail that the high-tail-oversampling recipe (Section 4.3) is designed to amplify during conditioning.</w:t>
      </w:r>
    </w:p>
    <w:p>
      <w:pPr>
        <w:pStyle w:val="MDPI22heading2"/>
        <w:ind w:left="2608"/>
      </w:pPr>
      <w:r>
        <w:t xml:space="preserve">4.1 Four-tier label hierarchy</w:t>
      </w:r>
    </w:p>
    <w:p>
      <w:pPr>
        <w:pStyle w:val="MDPI32textnoindent"/>
        <w:ind w:left="2608"/>
      </w:pPr>
      <w:r>
        <w:t xml:space="preserve">Available property labels in the energetic-materials literature span four orders of reliability, from a small core of experimental measurements to a large majority of model-derived estimates. Concatenating all tiers would let the noisiest tier dominate the conditional gradient and degrade calibration in the high-property tail; discarding the noisier tiers would throw away most of the training signal. We resolve this by annotating each property label with a trust tier and gating the conditional gradient accordingly: only Tier-A and Tier-B rows participate in the conditional signal, while Tier-C and Tier-D rows train the unconditional prior via classifier-free-guidance dropout (Section 4.6). Each label per row carries one of the following tiers:</w:t>
      </w:r>
    </w:p>
    <w:p xmlns:a="http://schemas.openxmlformats.org/drawingml/2006/main" xmlns:pic="http://schemas.openxmlformats.org/drawingml/2006/picture">
      <w:pPr>
        <w:pStyle w:val="MDPI52figure"/>
        <w:ind w:left="2608"/>
        <w:jc w:val="center"/>
      </w:pPr>
      <w:r>
        <w:drawing>
          <wp:inline>
            <wp:extent cx="4989830" cy="3118643"/>
            <wp:effectExtent b="0" l="0" r="0" t="0"/>
            <wp:docPr descr="Tier composition pies" title="" id="72" name="Picture"/>
            <a:graphic>
              <a:graphicData uri="http://schemas.openxmlformats.org/drawingml/2006/picture">
                <pic:pic>
                  <pic:nvPicPr>
                    <pic:cNvPr descr="../figs/fig_eda_tier_composition.png" id="73" name="Picture"/>
                    <pic:cNvPicPr>
                      <a:picLocks noChangeArrowheads="1" noChangeAspect="1"/>
                    </pic:cNvPicPr>
                  </pic:nvPicPr>
                  <pic:blipFill>
                    <a:blip r:embed="rId29"/>
                    <a:stretch>
                      <a:fillRect/>
                    </a:stretch>
                  </pic:blipFill>
                  <pic:spPr bwMode="auto">
                    <a:xfrm>
                      <a:off x="0" y="0"/>
                      <a:ext cx="4989830" cy="3118643"/>
                    </a:xfrm>
                    <a:prstGeom prst="rect">
                      <a:avLst/>
                    </a:prstGeom>
                    <a:noFill/>
                    <a:ln w="9525">
                      <a:noFill/>
                      <a:headEnd/>
                      <a:tailEnd/>
                    </a:ln>
                  </pic:spPr>
                </pic:pic>
              </a:graphicData>
            </a:graphic>
          </wp:inline>
        </w:drawing>
      </w:r>
    </w:p>
    <w:p>
      <w:pPr>
        <w:pStyle w:val="MDPI51figurecaption"/>
        <w:ind w:left="2608"/>
      </w:pPr>
      <w:r>
        <w:rPr>
          <w:b/>
          <w:bCs/>
        </w:rPr>
        <w:t xml:space="preserve">Figure 12.</w:t>
      </w:r>
      <w:r>
        <w:t xml:space="preserve"> </w:t>
      </w:r>
      <w:r>
        <w:t xml:space="preserve">Label-tier composition by property (tiers defined in Table 9 below): experimental Tier-A and DFT-derived Tier-B labels are present for only a small fraction of rows on each axis, while Kamlet–Jacobs Tier-C and Uni-Mol Tier-D labels dominate by volume. Trust-gating decouples corpus volume from conditional-signal quality.</w:t>
      </w:r>
    </w:p>
    <w:p>
      <w:pPr>
        <w:pStyle w:val="MDPI41tablecaption"/>
        <w:ind w:left="2608"/>
      </w:pPr>
      <w:r>
        <w:rPr>
          <w:b/>
          <w:bCs/>
        </w:rPr>
        <w:t xml:space="preserve">Table 9.</w:t>
      </w:r>
      <w:r>
        <w:t xml:space="preserve"> </w:t>
      </w:r>
      <w:r>
        <w:t xml:space="preserve">Four-tier label-trust hierarchy. Tier-A (experimental) and Tier-B (DFT/thermochemical-derived) drive the conditional gradient via FiLM modulation; Tier-C (Kamlet–Jacobs derived) and Tier-D (ML surrogate) train the unconditional prior via classifier-free-guidance dropout (Section 4.6). Counts give the number of master rows carrying at least one label at that tier; a row can carry labels at several tiers across different properties, so the counts do not partition the 65 980-row master. Tier-A is dominated by experimental crystallographic densities</w:t>
      </w:r>
      <w:r>
        <w:t xml:space="preserve"> </w:t>
      </w:r>
      <w:hyperlink w:anchor="ref-emdb">
        <w:r>
          <w:rPr>
            <w:rStyle w:val="Hyperlink"/>
          </w:rPr>
          <w:t xml:space="preserve">[68]</w:t>
        </w:r>
      </w:hyperlink>
      <w:r>
        <w:t xml:space="preserve">; only ~3 000 rows carry a trusted (Tier-A/B) label on the target detonation channels (</w:t>
      </w:r>
      <m:oMath>
        <m:r>
          <m:t>D</m:t>
        </m:r>
      </m:oMath>
      <w:r>
        <w:t xml:space="preserve">,</w:t>
      </w:r>
      <w:r>
        <w:t xml:space="preserve"> </w:t>
      </w:r>
      <m:oMath>
        <m:r>
          <m:t>P</m:t>
        </m:r>
      </m:oMath>
      <w:r>
        <w:t xml:space="preserve">, HOF) that steer conditioning.</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542"/>
        <w:gridCol w:w="5044"/>
        <w:gridCol w:w="646"/>
        <w:gridCol w:w="1626"/>
      </w:tblGrid>
      <w:tr>
        <w:trPr>
          <w:tblHeader w:val="on"/>
        </w:trPr>
        <w:tc>
          <w:tcPr>
            <w:tcBorders>
              <w:bottom w:val="single" w:sz="8" w:space="0" w:color="auto"/>
            </w:tcBorders>
            <w:vAlign w:val="center"/>
          </w:tcPr>
          <w:p>
            <w:pPr>
              <w:pStyle w:val="Compact"/>
              <w:suppressAutoHyphens/>
              <w:jc w:val="center"/>
            </w:pPr>
            <w:r>
              <w:rPr>
                <w:b/>
                <w:sz w:val="18"/>
                <w:szCs w:val="18"/>
              </w:rPr>
              <w:t xml:space="preserve">Tier</w:t>
            </w:r>
          </w:p>
        </w:tc>
        <w:tc>
          <w:tcPr>
            <w:tcBorders>
              <w:bottom w:val="single" w:sz="8" w:space="0" w:color="auto"/>
            </w:tcBorders>
            <w:vAlign w:val="center"/>
          </w:tcPr>
          <w:p>
            <w:pPr>
              <w:pStyle w:val="Compact"/>
              <w:suppressAutoHyphens/>
              <w:jc w:val="center"/>
            </w:pPr>
            <w:r>
              <w:rPr>
                <w:b/>
                <w:sz w:val="18"/>
                <w:szCs w:val="18"/>
              </w:rPr>
              <w:t xml:space="preserve">Source</w:t>
            </w:r>
          </w:p>
        </w:tc>
        <w:tc>
          <w:tcPr>
            <w:tcBorders>
              <w:bottom w:val="single" w:sz="8" w:space="0" w:color="auto"/>
            </w:tcBorders>
            <w:vAlign w:val="center"/>
          </w:tcPr>
          <w:p>
            <w:pPr>
              <w:pStyle w:val="Compact"/>
              <w:suppressAutoHyphens/>
              <w:jc w:val="center"/>
            </w:pPr>
            <w:r>
              <w:rPr>
                <w:b/>
                <w:sz w:val="18"/>
                <w:szCs w:val="18"/>
              </w:rPr>
              <w:t xml:space="preserve">~ rows</w:t>
            </w:r>
          </w:p>
        </w:tc>
        <w:tc>
          <w:tcPr>
            <w:tcBorders>
              <w:bottom w:val="single" w:sz="8" w:space="0" w:color="auto"/>
            </w:tcBorders>
            <w:vAlign w:val="center"/>
          </w:tcPr>
          <w:p>
            <w:pPr>
              <w:pStyle w:val="Compact"/>
              <w:suppressAutoHyphens/>
              <w:jc w:val="center"/>
            </w:pPr>
            <w:r>
              <w:rPr>
                <w:b/>
                <w:sz w:val="18"/>
                <w:szCs w:val="18"/>
              </w:rPr>
              <w:t xml:space="preserve">Trusted for conditioning?</w:t>
            </w:r>
          </w:p>
        </w:tc>
      </w:tr>
      <w:tr>
        <w:tc>
          <w:tcPr>
            <w:vAlign w:val="center"/>
          </w:tcPr>
          <w:p>
            <w:pPr>
              <w:pStyle w:val="Compact"/>
              <w:suppressAutoHyphens/>
              <w:jc w:val="center"/>
            </w:pPr>
            <w:r>
              <w:rPr>
                <w:sz w:val="18"/>
                <w:szCs w:val="18"/>
              </w:rPr>
              <w:t xml:space="preserve">A</w:t>
            </w:r>
          </w:p>
        </w:tc>
        <w:tc>
          <w:tcPr>
            <w:vAlign w:val="center"/>
          </w:tcPr>
          <w:p>
            <w:pPr>
              <w:pStyle w:val="Compact"/>
              <w:suppressAutoHyphens/>
              <w:jc w:val="center"/>
            </w:pPr>
            <w:r>
              <w:rPr>
                <w:sz w:val="18"/>
                <w:szCs w:val="18"/>
              </w:rPr>
              <w:t xml:space="preserve">Experimental measurement (crystallographic densities; measured detonation properties)</w:t>
            </w:r>
          </w:p>
        </w:tc>
        <w:tc>
          <w:tcPr>
            <w:vAlign w:val="center"/>
          </w:tcPr>
          <w:p>
            <w:pPr>
              <w:pStyle w:val="Compact"/>
              <w:suppressAutoHyphens/>
              <w:jc w:val="center"/>
            </w:pPr>
            <w:r>
              <w:rPr>
                <w:sz w:val="18"/>
                <w:szCs w:val="18"/>
              </w:rPr>
              <w:t xml:space="preserve">~19 200</w:t>
            </w:r>
          </w:p>
        </w:tc>
        <w:tc>
          <w:tcPr>
            <w:vAlign w:val="center"/>
          </w:tcPr>
          <w:p>
            <w:pPr>
              <w:pStyle w:val="Compact"/>
              <w:suppressAutoHyphens/>
              <w:jc w:val="center"/>
            </w:pPr>
            <w:r>
              <w:rPr>
                <w:sz w:val="18"/>
                <w:szCs w:val="18"/>
              </w:rPr>
              <w:t xml:space="preserve">yes</w:t>
            </w:r>
          </w:p>
        </w:tc>
      </w:tr>
      <w:tr>
        <w:tc>
          <w:tcPr>
            <w:vAlign w:val="center"/>
          </w:tcPr>
          <w:p>
            <w:pPr>
              <w:pStyle w:val="Compact"/>
              <w:suppressAutoHyphens/>
              <w:jc w:val="center"/>
            </w:pPr>
            <w:r>
              <w:rPr>
                <w:sz w:val="18"/>
                <w:szCs w:val="18"/>
              </w:rPr>
              <w:t xml:space="preserve">B</w:t>
            </w:r>
          </w:p>
        </w:tc>
        <w:tc>
          <w:tcPr>
            <w:vAlign w:val="center"/>
          </w:tcPr>
          <w:p>
            <w:pPr>
              <w:pStyle w:val="Compact"/>
              <w:suppressAutoHyphens/>
              <w:jc w:val="center"/>
            </w:pPr>
            <w:r>
              <w:rPr>
                <w:sz w:val="18"/>
                <w:szCs w:val="18"/>
              </w:rPr>
              <w:t xml:space="preserve">DFT/thermochemical-derived (HOF,</w:t>
            </w:r>
            <w:r>
              <w:rPr>
                <w:sz w:val="18"/>
                <w:szCs w:val="18"/>
              </w:rPr>
              <w:t xml:space="preserve"> </w:t>
            </w:r>
            <m:oMath>
              <m:r>
                <w:rPr>
                  <w:sz w:val="18"/>
                  <w:szCs w:val="18"/>
                </w:rPr>
                <m:t>D</m:t>
              </m:r>
            </m:oMath>
            <w:r>
              <w:rPr>
                <w:sz w:val="18"/>
                <w:szCs w:val="18"/>
              </w:rPr>
              <w:t xml:space="preserve">,</w:t>
            </w:r>
            <w:r>
              <w:rPr>
                <w:sz w:val="18"/>
                <w:szCs w:val="18"/>
              </w:rPr>
              <w:t xml:space="preserve"> </w:t>
            </w:r>
            <m:oMath>
              <m:r>
                <w:rPr>
                  <w:sz w:val="18"/>
                  <w:szCs w:val="18"/>
                </w:rPr>
                <m:t>P</m:t>
              </m:r>
            </m:oMath>
            <w:r>
              <w:rPr>
                <w:sz w:val="18"/>
                <w:szCs w:val="18"/>
              </w:rPr>
              <w:t xml:space="preserve">)</w:t>
            </w:r>
          </w:p>
        </w:tc>
        <w:tc>
          <w:tcPr>
            <w:vAlign w:val="center"/>
          </w:tcPr>
          <w:p>
            <w:pPr>
              <w:pStyle w:val="Compact"/>
              <w:suppressAutoHyphens/>
              <w:jc w:val="center"/>
            </w:pPr>
            <w:r>
              <w:rPr>
                <w:sz w:val="18"/>
                <w:szCs w:val="18"/>
              </w:rPr>
              <w:t xml:space="preserve">~1 900</w:t>
            </w:r>
          </w:p>
        </w:tc>
        <w:tc>
          <w:tcPr>
            <w:vAlign w:val="center"/>
          </w:tcPr>
          <w:p>
            <w:pPr>
              <w:pStyle w:val="Compact"/>
              <w:suppressAutoHyphens/>
              <w:jc w:val="center"/>
            </w:pPr>
            <w:r>
              <w:rPr>
                <w:sz w:val="18"/>
                <w:szCs w:val="18"/>
              </w:rPr>
              <w:t xml:space="preserve">yes</w:t>
            </w:r>
          </w:p>
        </w:tc>
      </w:tr>
      <w:tr>
        <w:tc>
          <w:tcPr>
            <w:vAlign w:val="center"/>
          </w:tcPr>
          <w:p>
            <w:pPr>
              <w:pStyle w:val="Compact"/>
              <w:suppressAutoHyphens/>
              <w:jc w:val="center"/>
            </w:pPr>
            <w:r>
              <w:rPr>
                <w:sz w:val="18"/>
                <w:szCs w:val="18"/>
              </w:rPr>
              <w:t xml:space="preserve">C</w:t>
            </w:r>
          </w:p>
        </w:tc>
        <w:tc>
          <w:tcPr>
            <w:vAlign w:val="center"/>
          </w:tcPr>
          <w:p>
            <w:pPr>
              <w:pStyle w:val="Compact"/>
              <w:suppressAutoHyphens/>
              <w:jc w:val="center"/>
            </w:pPr>
            <w:r>
              <w:rPr>
                <w:sz w:val="18"/>
                <w:szCs w:val="18"/>
              </w:rPr>
              <w:t xml:space="preserve">Kamlet–Jacobs derived from quoted density &amp; HOF (regime-limited: reliable for oxygen-deficient CHNO with</w:t>
            </w:r>
            <w:r>
              <w:rPr>
                <w:sz w:val="18"/>
                <w:szCs w:val="18"/>
              </w:rPr>
              <w:t xml:space="preserve"> </w:t>
            </w:r>
            <m:oMath>
              <m:r>
                <w:rPr>
                  <w:sz w:val="18"/>
                  <w:szCs w:val="18"/>
                </w:rPr>
                <m:t>2</m:t>
              </m:r>
              <m:r>
                <w:rPr>
                  <w:sz w:val="18"/>
                  <w:szCs w:val="18"/>
                </w:rPr>
                <m:t>a</m:t>
              </m:r>
              <m:r>
                <w:rPr>
                  <w:sz w:val="18"/>
                  <w:szCs w:val="18"/>
                </w:rPr>
                <m:rPr>
                  <m:sty m:val="p"/>
                </m:rPr>
                <m:t>+</m:t>
              </m:r>
              <m:r>
                <w:rPr>
                  <w:sz w:val="18"/>
                  <w:szCs w:val="18"/>
                </w:rPr>
                <m:t>b</m:t>
              </m:r>
              <m:r>
                <w:rPr>
                  <w:sz w:val="18"/>
                  <w:szCs w:val="18"/>
                </w:rPr>
                <m:rPr>
                  <m:sty m:val="p"/>
                </m:rPr>
                <m:t>/</m:t>
              </m:r>
              <m:r>
                <w:rPr>
                  <w:sz w:val="18"/>
                  <w:szCs w:val="18"/>
                </w:rPr>
                <m:t>2</m:t>
              </m:r>
              <m:r>
                <w:rPr>
                  <w:sz w:val="18"/>
                  <w:szCs w:val="18"/>
                </w:rPr>
                <m:rPr>
                  <m:sty m:val="p"/>
                </m:rPr>
                <m:t>≥</m:t>
              </m:r>
              <m:r>
                <w:rPr>
                  <w:sz w:val="18"/>
                  <w:szCs w:val="18"/>
                </w:rPr>
                <m:t>d</m:t>
              </m:r>
              <m:r>
                <w:rPr>
                  <w:sz w:val="18"/>
                  <w:szCs w:val="18"/>
                </w:rPr>
                <m:rPr>
                  <m:sty m:val="p"/>
                </m:rPr>
                <m:t>≥</m:t>
              </m:r>
              <m:r>
                <w:rPr>
                  <w:sz w:val="18"/>
                  <w:szCs w:val="18"/>
                </w:rPr>
                <m:t>b</m:t>
              </m:r>
              <m:r>
                <w:rPr>
                  <w:sz w:val="18"/>
                  <w:szCs w:val="18"/>
                </w:rPr>
                <m:rPr>
                  <m:sty m:val="p"/>
                </m:rPr>
                <m:t>/</m:t>
              </m:r>
              <m:r>
                <w:rPr>
                  <w:sz w:val="18"/>
                  <w:szCs w:val="18"/>
                </w:rPr>
                <m:t>2</m:t>
              </m:r>
            </m:oMath>
            <w:r>
              <w:rPr>
                <w:sz w:val="18"/>
                <w:szCs w:val="18"/>
              </w:rPr>
              <w:t xml:space="preserve">; under-predicts</w:t>
            </w:r>
            <w:r>
              <w:rPr>
                <w:sz w:val="18"/>
                <w:szCs w:val="18"/>
              </w:rPr>
              <w:t xml:space="preserve"> </w:t>
            </w:r>
            <m:oMath>
              <m:r>
                <w:rPr>
                  <w:sz w:val="18"/>
                  <w:szCs w:val="18"/>
                </w:rPr>
                <m:t>D</m:t>
              </m:r>
            </m:oMath>
            <w:r>
              <w:rPr>
                <w:sz w:val="18"/>
                <w:szCs w:val="18"/>
              </w:rPr>
              <w:t xml:space="preserve"> </w:t>
            </w:r>
            <w:r>
              <w:rPr>
                <w:sz w:val="18"/>
                <w:szCs w:val="18"/>
              </w:rPr>
              <w:t xml:space="preserve">for high-N low-H compounds where the assumed gas-product distribution is wrong)</w:t>
            </w:r>
          </w:p>
        </w:tc>
        <w:tc>
          <w:tcPr>
            <w:vAlign w:val="center"/>
          </w:tcPr>
          <w:p>
            <w:pPr>
              <w:pStyle w:val="Compact"/>
              <w:suppressAutoHyphens/>
              <w:jc w:val="center"/>
            </w:pPr>
            <w:r>
              <w:rPr>
                <w:sz w:val="18"/>
                <w:szCs w:val="18"/>
              </w:rPr>
              <w:t xml:space="preserve">~12 000</w:t>
            </w:r>
          </w:p>
        </w:tc>
        <w:tc>
          <w:tcPr>
            <w:vAlign w:val="center"/>
          </w:tcPr>
          <w:p>
            <w:pPr>
              <w:pStyle w:val="Compact"/>
              <w:suppressAutoHyphens/>
              <w:jc w:val="center"/>
            </w:pPr>
            <w:r>
              <w:rPr>
                <w:sz w:val="18"/>
                <w:szCs w:val="18"/>
              </w:rPr>
              <w:t xml:space="preserve">no (mask out)</w:t>
            </w:r>
          </w:p>
        </w:tc>
      </w:tr>
      <w:tr>
        <w:tc>
          <w:tcPr>
            <w:vAlign w:val="center"/>
          </w:tcPr>
          <w:p>
            <w:pPr>
              <w:pStyle w:val="Compact"/>
              <w:suppressAutoHyphens/>
              <w:jc w:val="center"/>
            </w:pPr>
            <w:r>
              <w:rPr>
                <w:sz w:val="18"/>
                <w:szCs w:val="18"/>
              </w:rPr>
              <w:t xml:space="preserve">D</w:t>
            </w:r>
          </w:p>
        </w:tc>
        <w:tc>
          <w:tcPr>
            <w:vAlign w:val="center"/>
          </w:tcPr>
          <w:p>
            <w:pPr>
              <w:pStyle w:val="Compact"/>
              <w:suppressAutoHyphens/>
              <w:jc w:val="center"/>
            </w:pPr>
            <w:r>
              <w:rPr>
                <w:sz w:val="18"/>
                <w:szCs w:val="18"/>
              </w:rPr>
              <w:t xml:space="preserve">ML surrogate (Uni-Mol smoke ensemble; generative-model predictions)</w:t>
            </w:r>
          </w:p>
        </w:tc>
        <w:tc>
          <w:tcPr>
            <w:vAlign w:val="center"/>
          </w:tcPr>
          <w:p>
            <w:pPr>
              <w:pStyle w:val="Compact"/>
              <w:suppressAutoHyphens/>
              <w:jc w:val="center"/>
            </w:pPr>
            <w:r>
              <w:rPr>
                <w:sz w:val="18"/>
                <w:szCs w:val="18"/>
              </w:rPr>
              <w:t xml:space="preserve">~47 000</w:t>
            </w:r>
          </w:p>
        </w:tc>
        <w:tc>
          <w:tcPr>
            <w:vAlign w:val="center"/>
          </w:tcPr>
          <w:p>
            <w:pPr>
              <w:pStyle w:val="Compact"/>
              <w:suppressAutoHyphens/>
              <w:jc w:val="center"/>
            </w:pPr>
            <w:r>
              <w:rPr>
                <w:sz w:val="18"/>
                <w:szCs w:val="18"/>
              </w:rPr>
              <w:t xml:space="preserve">no (mask out)</w:t>
            </w:r>
          </w:p>
        </w:tc>
      </w:tr>
    </w:tbl>
    <w:p>
      <w:pPr>
        <w:pStyle w:val="MDPI31text"/>
        <w:ind w:left="2608"/>
      </w:pPr>
      <w:r>
        <w:t xml:space="preserve">The denoiser conditional gradient fires only on Tier-A and Tier-B rows; Tier-C and Tier-D rows train the unconditional prior via classifier-free-guidance dropout (Section 4.6). This recipe lets the full corpus shape the marginal density of the generative model without letting noisy labels contaminate the conditional gradient. Each row carries a graded</w:t>
      </w:r>
      <w:r>
        <w:t xml:space="preserve"> </w:t>
      </w:r>
      <w:r>
        <w:rPr>
          <w:i/>
          <w:iCs/>
        </w:rPr>
        <w:t xml:space="preserve">tier weight</w:t>
      </w:r>
      <w:r>
        <w:t xml:space="preserve"> </w:t>
      </w:r>
      <m:oMath>
        <m:r>
          <m:t>ω</m:t>
        </m:r>
        <m:r>
          <m:rPr>
            <m:sty m:val="p"/>
          </m:rPr>
          <m:t>∈</m:t>
        </m:r>
        <m:r>
          <m:rPr>
            <m:sty m:val="p"/>
          </m:rPr>
          <m:t>[</m:t>
        </m:r>
        <m:r>
          <m:t>0</m:t>
        </m:r>
        <m:r>
          <m:rPr>
            <m:sty m:val="p"/>
          </m:rPr>
          <m:t>,</m:t>
        </m:r>
        <m:r>
          <m:t>1</m:t>
        </m:r>
        <m:r>
          <m:rPr>
            <m:sty m:val="p"/>
          </m:rPr>
          <m:t>]</m:t>
        </m:r>
      </m:oMath>
      <w:r>
        <w:t xml:space="preserve">, with default values</w:t>
      </w:r>
      <w:r>
        <w:t xml:space="preserve"> </w:t>
      </w:r>
      <m:oMath>
        <m:sSub>
          <m:e>
            <m:r>
              <m:t>w</m:t>
            </m:r>
          </m:e>
          <m:sub>
            <m:r>
              <m:t>A</m:t>
            </m:r>
          </m:sub>
        </m:sSub>
        <m:r>
          <m:rPr>
            <m:sty m:val="p"/>
          </m:rPr>
          <m:t>=</m:t>
        </m:r>
        <m:r>
          <m:t>1.0</m:t>
        </m:r>
      </m:oMath>
      <w:r>
        <w:t xml:space="preserve">,</w:t>
      </w:r>
      <w:r>
        <w:t xml:space="preserve"> </w:t>
      </w:r>
      <m:oMath>
        <m:sSub>
          <m:e>
            <m:r>
              <m:t>w</m:t>
            </m:r>
          </m:e>
          <m:sub>
            <m:r>
              <m:t>B</m:t>
            </m:r>
          </m:sub>
        </m:sSub>
        <m:r>
          <m:rPr>
            <m:sty m:val="p"/>
          </m:rPr>
          <m:t>=</m:t>
        </m:r>
        <m:r>
          <m:t>0.7</m:t>
        </m:r>
      </m:oMath>
      <w:r>
        <w:t xml:space="preserve">,</w:t>
      </w:r>
      <w:r>
        <w:t xml:space="preserve"> </w:t>
      </w:r>
      <m:oMath>
        <m:sSub>
          <m:e>
            <m:r>
              <m:t>w</m:t>
            </m:r>
          </m:e>
          <m:sub>
            <m:r>
              <m:t>C</m:t>
            </m:r>
          </m:sub>
        </m:sSub>
        <m:r>
          <m:rPr>
            <m:sty m:val="p"/>
          </m:rPr>
          <m:t>=</m:t>
        </m:r>
        <m:r>
          <m:t>0.3</m:t>
        </m:r>
      </m:oMath>
      <w:r>
        <w:t xml:space="preserve">,</w:t>
      </w:r>
      <w:r>
        <w:t xml:space="preserve"> </w:t>
      </w:r>
      <m:oMath>
        <m:sSub>
          <m:e>
            <m:r>
              <m:t>w</m:t>
            </m:r>
          </m:e>
          <m:sub>
            <m:r>
              <m:t>D</m:t>
            </m:r>
          </m:sub>
        </m:sSub>
        <m:r>
          <m:rPr>
            <m:sty m:val="p"/>
          </m:rPr>
          <m:t>=</m:t>
        </m:r>
        <m:r>
          <m:t>0.1</m:t>
        </m:r>
      </m:oMath>
      <w:r>
        <w:t xml:space="preserve">; later sections gate the conditional gradient and weight the per-row loss by these values.</w:t>
      </w:r>
    </w:p>
    <w:p>
      <w:pPr>
        <w:pStyle w:val="MDPI22heading2"/>
        <w:ind w:left="2608"/>
      </w:pPr>
      <w:r>
        <w:t xml:space="preserve">4.2 Canonicalisation and tokenisation</w:t>
      </w:r>
    </w:p>
    <w:p>
      <w:pPr>
        <w:pStyle w:val="MDPI32textnoindent"/>
        <w:ind w:left="2608"/>
      </w:pPr>
      <w:r>
        <w:t xml:space="preserve">Every SMILES string is canonicalised with RDKit</w:t>
      </w:r>
      <w:r>
        <w:t xml:space="preserve"> </w:t>
      </w:r>
      <w:hyperlink w:anchor="ref-landrum2024rdkit">
        <w:r>
          <w:rPr>
            <w:rStyle w:val="Hyperlink"/>
          </w:rPr>
          <w:t xml:space="preserve">[69]</w:t>
        </w:r>
      </w:hyperlink>
      <w:r>
        <w:t xml:space="preserve"> </w:t>
      </w:r>
      <w:r>
        <w:t xml:space="preserve">(a fixed traversal order so that the same molecule yields the same string regardless of how the source database wrote it), converted to SELFIES (a robust tokenisation in which every legal token sequence decodes to a chemically valid molecule), and tokenised to the LIMO alphabet. Tokenisation, alphabet size, and the per-source preprocessing pipeline are in Supplementary Section A.2. This step is purely data-side: no learned parameters are fit here; the output is a token-tensor representation of the corpus that the model of Section 4 will consume.</w:t>
      </w:r>
    </w:p>
    <w:p>
      <w:pPr>
        <w:pStyle w:val="MDPI22heading2"/>
        <w:ind w:left="2608"/>
      </w:pPr>
      <w:r>
        <w:t xml:space="preserve">4.3 Training-time high-tail oversampling</w:t>
      </w:r>
    </w:p>
    <w:p>
      <w:pPr>
        <w:pStyle w:val="MDPI32textnoindent"/>
        <w:ind w:left="2608"/>
      </w:pPr>
      <w:r>
        <w:t xml:space="preserve">The labelled detonation-velocity distribution is sharply peaked around 7–8 km s</w:t>
      </w:r>
      <w:r>
        <w:rPr>
          <w:vertAlign w:val="superscript"/>
        </w:rPr>
        <w:t xml:space="preserve">−1</w:t>
      </w:r>
      <w:r>
        <w:t xml:space="preserve">, so during training Tier-A/B rows above the 90th percentile are oversampled by 5×–10×; this</w:t>
      </w:r>
      <w:r>
        <w:t xml:space="preserve"> </w:t>
      </w:r>
      <w:r>
        <w:rPr>
          <w:i/>
          <w:iCs/>
        </w:rPr>
        <w:t xml:space="preserve">asymmetric high-tail oversampling</w:t>
      </w:r>
      <w:r>
        <w:t xml:space="preserve"> </w:t>
      </w:r>
      <w:r>
        <w:t xml:space="preserve">raises the mean predicted velocity of the top leads by 0.4 km s</w:t>
      </w:r>
      <w:r>
        <w:rPr>
          <w:vertAlign w:val="superscript"/>
        </w:rPr>
        <w:t xml:space="preserve">−1</w:t>
      </w:r>
      <w:r>
        <w:t xml:space="preserve"> </w:t>
      </w:r>
      <w:r>
        <w:t xml:space="preserve">relative to a uniform-sampling control. The oversampling ablation is in Supplementary Section D.4. The two denoiser variants of Section 4.6 differ in which property tail they apply this oversampling to (HOF tail vs ρ/D/P tail).</w:t>
      </w:r>
    </w:p>
    <w:p>
      <w:pPr>
        <w:pStyle w:val="MDPI22heading2"/>
        <w:ind w:left="2608"/>
      </w:pPr>
      <w:r>
        <w:t xml:space="preserve">4.4 Overview and pipeline map</w:t>
      </w:r>
    </w:p>
    <w:p>
      <w:pPr>
        <w:pStyle w:val="MDPI32textnoindent"/>
        <w:ind w:left="2608"/>
      </w:pPr>
      <w:r>
        <w:t xml:space="preserve">DGLD is a four-stage pipeline (Figs 13–22): an encode-once LIMO VAE (Figure 14) feeds a conditional latent DDPM denoiser (Figure 16), whose sampling trajectory (Figure 20) is steered by a multi-task score model trained offline (Figure 18), and whose decoded candidates are filtered by a SMARTS+Pareto rerank funnel (Figure 21). The rest of Section 4 is organised one subsection per diagram panel; small panels are paired (Section 4.9 covers Figure 17 and Section 4.10 covers Figure 18), and the post-decode pipeline is split across three subsections (Section 4.12 Sampling covers Figure 20, Section 4.13 Filtering covers Figure 21, Section 4.14 Pool fusion covers Figure 22). Section 4.15 documents how every numeric constant in Section 4.5–Section 4.14 was selected. LIMO encoding is run once and cached, so all training and sampling happens in latent space; the decoder is invoked only at the end to read candidates back as SMILES. The conditional gradient is restricted to Tier-A and Tier-B rows; Tier-C and Tier-D rows drive the unconditional CFG branch only (Section 4.1, Section 4.6).</w:t>
      </w:r>
    </w:p>
    <w:p xmlns:a="http://schemas.openxmlformats.org/drawingml/2006/main" xmlns:pic="http://schemas.openxmlformats.org/drawingml/2006/picture">
      <w:pPr>
        <w:pStyle w:val="MDPI52figure"/>
        <w:ind w:left="2608"/>
        <w:jc w:val="center"/>
      </w:pPr>
      <w:r>
        <w:drawing>
          <wp:inline>
            <wp:extent cx="4989830" cy="1331018"/>
            <wp:effectExtent b="0" l="0" r="0" t="0"/>
            <wp:docPr descr="DGLD four-stage pipeline overview: encode (LIMO VAE) - generate (conditional latent DDPM) - guide (multi-task score model) - filter (SMARTS, Pareto, xTB, DFT)" title="" id="78" name="Picture"/>
            <a:graphic>
              <a:graphicData uri="http://schemas.openxmlformats.org/drawingml/2006/picture">
                <pic:pic>
                  <pic:nvPicPr>
                    <pic:cNvPr descr="../figs/fig4_1_pipeline_overview.png" id="79" name="Picture"/>
                    <pic:cNvPicPr>
                      <a:picLocks noChangeArrowheads="1" noChangeAspect="1"/>
                    </pic:cNvPicPr>
                  </pic:nvPicPr>
                  <pic:blipFill>
                    <a:blip r:embed="rId30"/>
                    <a:stretch>
                      <a:fillRect/>
                    </a:stretch>
                  </pic:blipFill>
                  <pic:spPr bwMode="auto">
                    <a:xfrm>
                      <a:off x="0" y="0"/>
                      <a:ext cx="4989830" cy="1331018"/>
                    </a:xfrm>
                    <a:prstGeom prst="rect">
                      <a:avLst/>
                    </a:prstGeom>
                    <a:noFill/>
                    <a:ln w="9525">
                      <a:noFill/>
                      <a:headEnd/>
                      <a:tailEnd/>
                    </a:ln>
                  </pic:spPr>
                </pic:pic>
              </a:graphicData>
            </a:graphic>
          </wp:inline>
        </w:drawing>
      </w:r>
    </w:p>
    <w:p>
      <w:pPr>
        <w:pStyle w:val="MDPI51figurecaption"/>
        <w:ind w:left="2608"/>
      </w:pPr>
      <w:r>
        <w:rPr>
          <w:b/>
          <w:bCs/>
        </w:rPr>
        <w:t xml:space="preserve">Figure 13.</w:t>
      </w:r>
      <w:r>
        <w:t xml:space="preserve"> </w:t>
      </w:r>
      <w:r>
        <w:t xml:space="preserve">DGLD pipeline preview: encode (LIMO VAE) -&gt; generate (conditional latent DDPM) -&gt; guide (multi-task score model) -&gt; filter (SMARTS, Pareto, xTB, DFT). The trust-gating annotation under the row reminds the reader that Tier-A/B labels drive the conditional gradient while Tier-C/D drive the unconditional CFG branch only. Stage references inside each box point at the per-stage panel that walks it.</w:t>
      </w:r>
    </w:p>
    <w:p>
      <w:pPr>
        <w:pStyle w:val="MDPI22heading2"/>
        <w:ind w:left="2608"/>
      </w:pPr>
      <w:r>
        <w:t xml:space="preserve">4.5 LIMO fine-tuning and one-time latent caching</w:t>
      </w:r>
    </w:p>
    <w:p>
      <w:pPr>
        <w:pStyle w:val="MDPI32textnoindent"/>
        <w:ind w:left="2608"/>
      </w:pPr>
      <w:r>
        <w:t xml:space="preserve">LIMO is the molecular-text VAE that supplies the cached latent μ used everywhere downstream. We fine-tune the pretrained checkpoint on the 326k energetic corpus to specialise the encoder, then freeze it for the rest of the pipeline. Sampling during fine-tuning is uniform; high-tail oversampling lives at Section 4.7 denoiser-training stage and is not applied here.</w:t>
      </w:r>
    </w:p>
    <w:p>
      <w:pPr>
        <w:pStyle w:val="MDPI31text"/>
        <w:ind w:left="2608"/>
      </w:pPr>
      <w:r>
        <w:t xml:space="preserve">We start from the pretrained LIMO checkpoint distributed with</w:t>
      </w:r>
      <w:r>
        <w:t xml:space="preserve"> </w:t>
      </w:r>
      <w:hyperlink w:anchor="ref-eckmann2022limo">
        <w:r>
          <w:rPr>
            <w:rStyle w:val="Hyperlink"/>
          </w:rPr>
          <w:t xml:space="preserve">[11]</w:t>
        </w:r>
      </w:hyperlink>
      <w:r>
        <w:t xml:space="preserve">. The encoder maps a (B, 72) SELFIES-token tensor through a 64-dim embedding and a four-layer MLP (Linear(72·64→2000)–ReLU–Linear(2000→1000)–BN–ReLU–Linear(1000→1000)–BN–ReLU–Linear(1000→2·1024)) to a (B, 1024) Gaussian latent (the final 2·1024 head packs μ and log σ</w:t>
      </w:r>
      <w:r>
        <w:rPr>
          <w:vertAlign w:val="superscript"/>
        </w:rPr>
        <w:t xml:space="preserve">2</w:t>
      </w:r>
      <w:r>
        <w:t xml:space="preserve">); the decoder mirrors this with Linear(1024→1000)–BN–ReLU–Linear(1000→1000)–BN–ReLU–Linear(1000→2000)–ReLU–Linear(2000→72·108) and produces a (B, 72, 108) log-probability tensor in parallel (no autoregression). Layer-by-layer widths and parameter counts are in Table S2. We fine-tune all parameters for</w:t>
      </w:r>
      <w:r>
        <w:t xml:space="preserve"> </w:t>
      </w:r>
      <m:oMath>
        <m:r>
          <m:rPr>
            <m:sty m:val="p"/>
          </m:rPr>
          <m:t>∼</m:t>
        </m:r>
      </m:oMath>
      <w:r>
        <w:t xml:space="preserve">8.5k steps on the 326 k energetic-biased SMILES corpus with the standard evidence lower bound (ELBO),</w:t>
      </w:r>
    </w:p>
    <w:p>
      <w:pPr>
        <w:pStyle w:val="MDPI39equation"/>
        <w:ind w:left="2608"/>
      </w:pPr>
      <m:oMathPara>
        <m:oMathParaPr>
          <m:jc m:val="center"/>
        </m:oMathParaPr>
        <m:oMath>
          <m:r>
            <m:rPr>
              <m:scr m:val="script"/>
              <m:sty m:val="p"/>
            </m:rPr>
            <m:t>L</m:t>
          </m:r>
          <m:r>
            <m:rPr>
              <m:sty m:val="p"/>
            </m:rPr>
            <m:t>(</m:t>
          </m:r>
          <m:r>
            <m:t>x</m:t>
          </m:r>
          <m:r>
            <m:rPr>
              <m:sty m:val="p"/>
            </m:rPr>
            <m:t>)</m:t>
          </m:r>
          <m:r>
            <m:t> </m:t>
          </m:r>
          <m:r>
            <m:rPr>
              <m:sty m:val="p"/>
            </m:rPr>
            <m:t>=</m:t>
          </m:r>
          <m:r>
            <m:t> </m:t>
          </m:r>
          <m:r>
            <m:rPr>
              <m:sty m:val="p"/>
            </m:rPr>
            <m:t>−</m:t>
          </m:r>
          <m:sSub>
            <m:e>
              <m:r>
                <m:rPr>
                  <m:scr m:val="double-struck"/>
                  <m:sty m:val="p"/>
                </m:rPr>
                <m:t>E</m:t>
              </m:r>
            </m:e>
            <m:sub>
              <m:r>
                <m:t>q</m:t>
              </m:r>
              <m:r>
                <m:rPr>
                  <m:sty m:val="p"/>
                </m:rPr>
                <m:t>(</m:t>
              </m:r>
              <m:r>
                <m:t>z</m:t>
              </m:r>
              <m:r>
                <m:rPr>
                  <m:sty m:val="p"/>
                </m:rPr>
                <m:t>|</m:t>
              </m:r>
              <m:r>
                <m:t>x</m:t>
              </m:r>
              <m:r>
                <m:rPr>
                  <m:sty m:val="p"/>
                </m:rPr>
                <m:t>)</m:t>
              </m:r>
            </m:sub>
          </m:sSub>
          <m:r>
            <m:rPr>
              <m:sty m:val="p"/>
            </m:rPr>
            <m:t>[</m:t>
          </m:r>
          <m:r>
            <m:rPr>
              <m:sty m:val="p"/>
            </m:rPr>
            <m:t>log</m:t>
          </m:r>
          <m:r>
            <m:t>p</m:t>
          </m:r>
          <m:r>
            <m:rPr>
              <m:sty m:val="p"/>
            </m:rPr>
            <m:t>(</m:t>
          </m:r>
          <m:r>
            <m:t>x</m:t>
          </m:r>
          <m:r>
            <m:rPr>
              <m:sty m:val="p"/>
            </m:rPr>
            <m:t>|</m:t>
          </m:r>
          <m:r>
            <m:t>z</m:t>
          </m:r>
          <m:r>
            <m:rPr>
              <m:sty m:val="p"/>
            </m:rPr>
            <m:t>)</m:t>
          </m:r>
          <m:r>
            <m:rPr>
              <m:sty m:val="p"/>
            </m:rPr>
            <m:t>]</m:t>
          </m:r>
          <m:r>
            <m:t> </m:t>
          </m:r>
          <m:r>
            <m:rPr>
              <m:sty m:val="p"/>
            </m:rPr>
            <m:t>+</m:t>
          </m:r>
          <m:r>
            <m:t> </m:t>
          </m:r>
          <m:r>
            <m:t>β</m:t>
          </m:r>
          <m:r>
            <m:rPr>
              <m:sty m:val="p"/>
            </m:rPr>
            <m:t>⋅</m:t>
          </m:r>
          <m:r>
            <m:rPr>
              <m:sty m:val="p"/>
            </m:rPr>
            <m:t>K</m:t>
          </m:r>
          <m:r>
            <m:rPr>
              <m:sty m:val="p"/>
            </m:rPr>
            <m:t>L</m:t>
          </m:r>
          <m:r>
            <m:rPr>
              <m:sty m:val="p"/>
            </m:rPr>
            <m:t>(</m:t>
          </m:r>
          <m:r>
            <m:t>q</m:t>
          </m:r>
          <m:r>
            <m:rPr>
              <m:sty m:val="p"/>
            </m:rPr>
            <m:t>(</m:t>
          </m:r>
          <m:r>
            <m:t>z</m:t>
          </m:r>
          <m:r>
            <m:rPr>
              <m:sty m:val="p"/>
            </m:rPr>
            <m:t>|</m:t>
          </m:r>
          <m:r>
            <m:t>x</m:t>
          </m:r>
          <m:r>
            <m:rPr>
              <m:sty m:val="p"/>
            </m:rPr>
            <m:t>)</m:t>
          </m:r>
          <m:r>
            <m:t> </m:t>
          </m:r>
          <m:r>
            <m:rPr>
              <m:sty m:val="p"/>
            </m:rPr>
            <m:t>∥</m:t>
          </m:r>
          <m:r>
            <m:t> </m:t>
          </m:r>
          <m:r>
            <m:rPr>
              <m:scr m:val="script"/>
              <m:sty m:val="p"/>
            </m:rPr>
            <m:t>N</m:t>
          </m:r>
          <m:r>
            <m:rPr>
              <m:sty m:val="p"/>
            </m:rPr>
            <m:t>(</m:t>
          </m:r>
          <m:r>
            <m:t>0</m:t>
          </m:r>
          <m:r>
            <m:rPr>
              <m:sty m:val="p"/>
            </m:rPr>
            <m:t>,</m:t>
          </m:r>
          <m:r>
            <m:t>I</m:t>
          </m:r>
          <m:r>
            <m:rPr>
              <m:sty m:val="p"/>
            </m:rPr>
            <m:t>)</m:t>
          </m:r>
          <m:r>
            <m:rPr>
              <m:sty m:val="p"/>
            </m:rPr>
            <m:t>)</m:t>
          </m:r>
          <m:r>
            <m:rPr>
              <m:sty m:val="p"/>
            </m:rPr>
            <m:t>,</m:t>
          </m:r>
        </m:oMath>
      </m:oMathPara>
    </w:p>
    <w:p>
      <w:pPr>
        <w:pStyle w:val="MDPI32textnoindent"/>
        <w:ind w:left="2608"/>
      </w:pPr>
      <w:r>
        <w:t xml:space="preserve">with</w:t>
      </w:r>
      <w:r>
        <w:t xml:space="preserve"> </w:t>
      </w:r>
      <m:oMath>
        <m:r>
          <m:t>β</m:t>
        </m:r>
        <m:r>
          <m:rPr>
            <m:sty m:val="p"/>
          </m:rPr>
          <m:t>=</m:t>
        </m:r>
        <m:r>
          <m:t>0.01</m:t>
        </m:r>
      </m:oMath>
      <w:r>
        <w:t xml:space="preserve"> </w:t>
      </w:r>
      <w:r>
        <w:t xml:space="preserve">and free-bits clipping disabled. After fine-tuning, validation token-accuracy is 64.5 %. The LIMO decoder is non-autoregressive (parallel decode); SELFIES syntax guarantees token-level validity, so molecule-level (full-sequence) validity is 100% by construction. Reconstruction accuracy (fraction of latent round-trips that reproduce the input SMILES exactly) is 31.4% on the energetic validation set, consistent with the expected LIMO performance in this domain. The latent posterior is concentrated:</w:t>
      </w:r>
      <w:r>
        <w:t xml:space="preserve"> </w:t>
      </w:r>
      <m:oMath>
        <m:r>
          <m:rPr>
            <m:sty m:val="p"/>
          </m:rPr>
          <m:t>∥</m:t>
        </m:r>
        <m:r>
          <m:t>μ</m:t>
        </m:r>
        <m:r>
          <m:rPr>
            <m:sty m:val="p"/>
          </m:rPr>
          <m:t>∥</m:t>
        </m:r>
        <m:r>
          <m:rPr>
            <m:sty m:val="p"/>
          </m:rPr>
          <m:t>≈</m:t>
        </m:r>
        <m:r>
          <m:t>8</m:t>
        </m:r>
      </m:oMath>
      <w:r>
        <w:t xml:space="preserve"> </w:t>
      </w:r>
      <w:r>
        <w:t xml:space="preserve">on average, well below the</w:t>
      </w:r>
      <w:r>
        <w:t xml:space="preserve"> </w:t>
      </w:r>
      <m:oMath>
        <m:rad>
          <m:radPr>
            <m:degHide m:val="on"/>
          </m:radPr>
          <m:deg/>
          <m:e>
            <m:r>
              <m:t>1024</m:t>
            </m:r>
          </m:e>
        </m:rad>
        <m:r>
          <m:rPr>
            <m:sty m:val="p"/>
          </m:rPr>
          <m:t>≈</m:t>
        </m:r>
        <m:r>
          <m:t>32</m:t>
        </m:r>
      </m:oMath>
      <w:r>
        <w:t xml:space="preserve"> </w:t>
      </w:r>
      <w:r>
        <w:t xml:space="preserve">expected of</w:t>
      </w:r>
      <w:r>
        <w:t xml:space="preserve"> </w:t>
      </w:r>
      <m:oMath>
        <m:r>
          <m:rPr>
            <m:scr m:val="script"/>
            <m:sty m:val="p"/>
          </m:rPr>
          <m:t>N</m:t>
        </m:r>
        <m:r>
          <m:rPr>
            <m:sty m:val="p"/>
          </m:rPr>
          <m:t>(</m:t>
        </m:r>
        <m:r>
          <m:t>0</m:t>
        </m:r>
        <m:r>
          <m:rPr>
            <m:sty m:val="p"/>
          </m:rPr>
          <m:t>,</m:t>
        </m:r>
        <m:r>
          <m:t>I</m:t>
        </m:r>
        <m:r>
          <m:rPr>
            <m:sty m:val="p"/>
          </m:rPr>
          <m:t>)</m:t>
        </m:r>
      </m:oMath>
      <w:r>
        <w:t xml:space="preserve">.</w:t>
      </w:r>
    </w:p>
    <w:p xmlns:a="http://schemas.openxmlformats.org/drawingml/2006/main" xmlns:pic="http://schemas.openxmlformats.org/drawingml/2006/picture">
      <w:pPr>
        <w:pStyle w:val="MDPI52figure"/>
        <w:ind w:left="2608"/>
        <w:jc w:val="center"/>
      </w:pPr>
      <w:r>
        <w:drawing>
          <wp:inline>
            <wp:extent cx="4989830" cy="1001084"/>
            <wp:effectExtent b="0" l="0" r="0" t="0"/>
            <wp:docPr descr="DGLD LIMO VAE fine-tuning loop" title="" id="83" name="Picture"/>
            <a:graphic>
              <a:graphicData uri="http://schemas.openxmlformats.org/drawingml/2006/picture">
                <pic:pic>
                  <pic:nvPicPr>
                    <pic:cNvPr descr="../figs/fig4a_data_prep.png" id="84" name="Picture"/>
                    <pic:cNvPicPr>
                      <a:picLocks noChangeArrowheads="1" noChangeAspect="1"/>
                    </pic:cNvPicPr>
                  </pic:nvPicPr>
                  <pic:blipFill>
                    <a:blip r:embed="rId31"/>
                    <a:stretch>
                      <a:fillRect/>
                    </a:stretch>
                  </pic:blipFill>
                  <pic:spPr bwMode="auto">
                    <a:xfrm>
                      <a:off x="0" y="0"/>
                      <a:ext cx="4989830" cy="1001084"/>
                    </a:xfrm>
                    <a:prstGeom prst="rect">
                      <a:avLst/>
                    </a:prstGeom>
                    <a:noFill/>
                    <a:ln w="9525">
                      <a:noFill/>
                      <a:headEnd/>
                      <a:tailEnd/>
                    </a:ln>
                  </pic:spPr>
                </pic:pic>
              </a:graphicData>
            </a:graphic>
          </wp:inline>
        </w:drawing>
      </w:r>
    </w:p>
    <w:p>
      <w:pPr>
        <w:pStyle w:val="MDPI51figurecaption"/>
        <w:ind w:left="2608"/>
      </w:pPr>
      <w:r>
        <w:rPr>
          <w:b/>
          <w:bCs/>
        </w:rPr>
        <w:t xml:space="preserve">Figure 14.</w:t>
      </w:r>
      <w:r>
        <w:t xml:space="preserve"> </w:t>
      </w:r>
      <w:r>
        <w:t xml:space="preserve">Property-agnostic SELFIES VAE fine-tuned on the 326k energetic corpus (</w:t>
      </w:r>
      <m:oMath>
        <m:r>
          <m:rPr>
            <m:sty m:val="p"/>
          </m:rPr>
          <m:t>∼</m:t>
        </m:r>
      </m:oMath>
      <w:r>
        <w:t xml:space="preserve">8.5k steps, ELBO with</w:t>
      </w:r>
      <w:r>
        <w:t xml:space="preserve"> </w:t>
      </w:r>
      <m:oMath>
        <m:r>
          <m:t>β</m:t>
        </m:r>
        <m:r>
          <m:rPr>
            <m:sty m:val="p"/>
          </m:rPr>
          <m:t>=</m:t>
        </m:r>
        <m:r>
          <m:t>0.01</m:t>
        </m:r>
      </m:oMath>
      <w:r>
        <w:t xml:space="preserve">). The cached latent mean</w:t>
      </w:r>
      <w:r>
        <w:t xml:space="preserve"> </w:t>
      </w:r>
      <m:oMath>
        <m:r>
          <m:t>μ</m:t>
        </m:r>
      </m:oMath>
      <w:r>
        <w:t xml:space="preserve"> </w:t>
      </w:r>
      <w:r>
        <w:t xml:space="preserve">is the</w:t>
      </w:r>
      <w:r>
        <w:t xml:space="preserve"> </w:t>
      </w:r>
      <m:oMath>
        <m:sSub>
          <m:e>
            <m:r>
              <m:t>z</m:t>
            </m:r>
          </m:e>
          <m:sub>
            <m:r>
              <m:t>0</m:t>
            </m:r>
          </m:sub>
        </m:sSub>
      </m:oMath>
      <w:r>
        <w:t xml:space="preserve"> </w:t>
      </w:r>
      <w:r>
        <w:t xml:space="preserve">consumed by Figure 16 (Denoiser training) and Figures 17, 19 (Labeling, Self-distillation). Hyperparameters in Table S2.</w:t>
      </w:r>
    </w:p>
    <w:p>
      <w:pPr>
        <w:pStyle w:val="MDPI31text"/>
        <w:ind w:left="2608"/>
      </w:pPr>
      <w:r>
        <w:t xml:space="preserve">After fine-tuning the encoder is frozen and every row of the data corpus (Section 4) is passed through it once to produce a deterministic latent mean</w:t>
      </w:r>
      <w:r>
        <w:t xml:space="preserve"> </w:t>
      </w:r>
      <m:oMath>
        <m:r>
          <m:t>μ</m:t>
        </m:r>
        <m:r>
          <m:rPr>
            <m:sty m:val="p"/>
          </m:rPr>
          <m:t>∈</m:t>
        </m:r>
        <m:sSup>
          <m:e>
            <m:r>
              <m:rPr>
                <m:scr m:val="double-struck"/>
                <m:sty m:val="p"/>
              </m:rPr>
              <m:t>R</m:t>
            </m:r>
          </m:e>
          <m:sup>
            <m:r>
              <m:t>1024</m:t>
            </m:r>
          </m:sup>
        </m:sSup>
      </m:oMath>
      <w:r>
        <w:t xml:space="preserve">. The cached tensor stores, per row, the latent</w:t>
      </w:r>
      <w:r>
        <w:t xml:space="preserve"> </w:t>
      </w:r>
      <m:oMath>
        <m:r>
          <m:t>μ</m:t>
        </m:r>
      </m:oMath>
      <w:r>
        <w:t xml:space="preserve">, a property matrix (the four conditioning targets</w:t>
      </w:r>
      <w:r>
        <w:t xml:space="preserve"> </w:t>
      </w:r>
      <m:oMath>
        <m:r>
          <m:t>ρ</m:t>
        </m:r>
      </m:oMath>
      <w:r>
        <w:t xml:space="preserve">, HOF,</w:t>
      </w:r>
      <w:r>
        <w:t xml:space="preserve"> </w:t>
      </w:r>
      <m:oMath>
        <m:r>
          <m:t>D</m:t>
        </m:r>
      </m:oMath>
      <w:r>
        <w:t xml:space="preserve">,</w:t>
      </w:r>
      <w:r>
        <w:t xml:space="preserve"> </w:t>
      </w:r>
      <m:oMath>
        <m:r>
          <m:t>P</m:t>
        </m:r>
      </m:oMath>
      <w:r>
        <w:t xml:space="preserve">), a tier matrix, a per-row trust mask, and per-property normalisation statistics. The encoder posterior variance is discarded by design;</w:t>
      </w:r>
      <w:r>
        <w:t xml:space="preserve"> </w:t>
      </w:r>
      <m:oMath>
        <m:r>
          <m:t>μ</m:t>
        </m:r>
      </m:oMath>
      <w:r>
        <w:t xml:space="preserve"> </w:t>
      </w:r>
      <w:r>
        <w:t xml:space="preserve">is treated as a deterministic anchor in latent space, and no SMILES is ever re-encoded at sample time. The denoiser of Section 4.6 and the score model of Section 4.10 read from this cached tensor only.</w:t>
      </w:r>
    </w:p>
    <w:p>
      <w:pPr>
        <w:pStyle w:val="MDPI22heading2"/>
        <w:ind w:left="2608"/>
      </w:pPr>
      <w:r>
        <w:t xml:space="preserve">4.6 Conditioning mask construction</w:t>
      </w:r>
    </w:p>
    <w:p>
      <w:pPr>
        <w:pStyle w:val="MDPI32textnoindent"/>
        <w:ind w:left="2608"/>
      </w:pPr>
      <w:r>
        <w:t xml:space="preserve">Each gradient step samples a fresh per-row mask m∈{0,1}</w:t>
      </w:r>
      <w:r>
        <w:rPr>
          <w:vertAlign w:val="superscript"/>
        </w:rPr>
        <w:t xml:space="preserve">4</w:t>
      </w:r>
      <w:r>
        <w:t xml:space="preserve"> </w:t>
      </w:r>
      <w:r>
        <w:t xml:space="preserve">that decides which of the four conditional properties are exposed to the denoiser at that step. The mask is the mechanism by which tier-eligibility (which labels a row carries) interacts with classifier-free dropout (the unconditional branch trained alongside the conditional).</w:t>
      </w:r>
    </w:p>
    <w:p>
      <w:pPr>
        <w:pStyle w:val="MDPI31text"/>
        <w:ind w:left="2608"/>
      </w:pPr>
      <w:r>
        <w:t xml:space="preserve">The per-step training mask</w:t>
      </w:r>
      <w:r>
        <w:t xml:space="preserve"> </w:t>
      </w:r>
      <m:oMath>
        <m:r>
          <m:t>m</m:t>
        </m:r>
        <m:r>
          <m:rPr>
            <m:sty m:val="p"/>
          </m:rPr>
          <m:t>∈</m:t>
        </m:r>
        <m:r>
          <m:rPr>
            <m:sty m:val="p"/>
          </m:rPr>
          <m:t>{</m:t>
        </m:r>
        <m:r>
          <m:t>0</m:t>
        </m:r>
        <m:r>
          <m:rPr>
            <m:sty m:val="p"/>
          </m:rPr>
          <m:t>,</m:t>
        </m:r>
        <m:r>
          <m:t>1</m:t>
        </m:r>
        <m:sSup>
          <m:e>
            <m:r>
              <m:rPr>
                <m:sty m:val="p"/>
              </m:rPr>
              <m:t>}</m:t>
            </m:r>
          </m:e>
          <m:sup>
            <m:r>
              <m:t>4</m:t>
            </m:r>
          </m:sup>
        </m:sSup>
      </m:oMath>
      <w:r>
        <w:t xml:space="preserve"> </w:t>
      </w:r>
      <w:r>
        <w:t xml:space="preserve">controls which conditioning properties enter FiLM at each step; the construction is a 5-stage stochastic pipeline over the per-row eligibility</w:t>
      </w:r>
      <w:r>
        <w:t xml:space="preserve"> </w:t>
      </w:r>
      <m:oMath>
        <m:r>
          <m:t>e</m:t>
        </m:r>
      </m:oMath>
      <w:r>
        <w:t xml:space="preserve"> </w:t>
      </w:r>
      <w:r>
        <w:t xml:space="preserve">and tier weight</w:t>
      </w:r>
      <w:r>
        <w:t xml:space="preserve"> </w:t>
      </w:r>
      <m:oMath>
        <m:sSub>
          <m:e>
            <m:r>
              <m:t>w</m:t>
            </m:r>
          </m:e>
          <m:sub>
            <m:r>
              <m:rPr>
                <m:nor/>
                <m:sty m:val="p"/>
              </m:rPr>
              <m:t>tier</m:t>
            </m:r>
          </m:sub>
        </m:sSub>
      </m:oMath>
      <w:r>
        <w:t xml:space="preserve"> </w:t>
      </w:r>
      <w:r>
        <w:t xml:space="preserve">of Section 4.1 (distinct from the CFG scale</w:t>
      </w:r>
      <w:r>
        <w:t xml:space="preserve"> </w:t>
      </w:r>
      <m:oMath>
        <m:r>
          <m:t>w</m:t>
        </m:r>
      </m:oMath>
      <w:r>
        <w:t xml:space="preserve"> </w:t>
      </w:r>
      <w:r>
        <w:t xml:space="preserve">of Section 4.5).</w:t>
      </w:r>
    </w:p>
    <w:p>
      <w:pPr>
        <w:pStyle w:val="MDPI31text"/>
        <w:ind w:left="2608"/>
      </w:pPr>
      <w:r>
        <w:t xml:space="preserve">Figure 15 walks the per-step mask construction. From cached eligibility</w:t>
      </w:r>
      <w:r>
        <w:t xml:space="preserve"> </w:t>
      </w:r>
      <m:oMath>
        <m:r>
          <m:t>e</m:t>
        </m:r>
        <m:r>
          <m:rPr>
            <m:sty m:val="p"/>
          </m:rPr>
          <m:t>∈</m:t>
        </m:r>
        <m:r>
          <m:rPr>
            <m:sty m:val="p"/>
          </m:rPr>
          <m:t>{</m:t>
        </m:r>
        <m:r>
          <m:t>0</m:t>
        </m:r>
        <m:r>
          <m:rPr>
            <m:sty m:val="p"/>
          </m:rPr>
          <m:t>,</m:t>
        </m:r>
        <m:r>
          <m:t>1</m:t>
        </m:r>
        <m:sSup>
          <m:e>
            <m:r>
              <m:rPr>
                <m:sty m:val="p"/>
              </m:rPr>
              <m:t>}</m:t>
            </m:r>
          </m:e>
          <m:sup>
            <m:r>
              <m:t>4</m:t>
            </m:r>
          </m:sup>
        </m:sSup>
      </m:oMath>
      <w:r>
        <w:t xml:space="preserve"> </w:t>
      </w:r>
      <w:r>
        <w:t xml:space="preserve">(renamed from</w:t>
      </w:r>
      <w:r>
        <w:t xml:space="preserve"> </w:t>
      </w:r>
      <m:oMath>
        <m:r>
          <m:t>c</m:t>
        </m:r>
      </m:oMath>
      <w:r>
        <w:t xml:space="preserve"> </w:t>
      </w:r>
      <w:r>
        <w:t xml:space="preserve">to avoid collision with the conditioning vector) and the tier weight</w:t>
      </w:r>
      <w:r>
        <w:t xml:space="preserve"> </w:t>
      </w:r>
      <m:oMath>
        <m:sSub>
          <m:e>
            <m:r>
              <m:t>w</m:t>
            </m:r>
          </m:e>
          <m:sub>
            <m:r>
              <m:rPr>
                <m:nor/>
                <m:sty m:val="p"/>
              </m:rPr>
              <m:t>tier</m:t>
            </m:r>
          </m:sub>
        </m:sSub>
      </m:oMath>
      <w:r>
        <w:t xml:space="preserve"> </w:t>
      </w:r>
      <w:r>
        <w:t xml:space="preserve">of Section 4.1, five stochastic stages produce</w:t>
      </w:r>
      <w:r>
        <w:t xml:space="preserve"> </w:t>
      </w:r>
      <m:oMath>
        <m:r>
          <m:t>m</m:t>
        </m:r>
      </m:oMath>
      <w:r>
        <w:t xml:space="preserve">: the</w:t>
      </w:r>
      <w:r>
        <w:t xml:space="preserve"> </w:t>
      </w:r>
      <w:r>
        <w:rPr>
          <w:i/>
          <w:iCs/>
        </w:rPr>
        <w:t xml:space="preserve">subset-size</w:t>
      </w:r>
      <w:r>
        <w:t xml:space="preserve"> </w:t>
      </w:r>
      <w:r>
        <w:t xml:space="preserve">box samples</w:t>
      </w:r>
      <w:r>
        <w:t xml:space="preserve"> </w:t>
      </w:r>
      <m:oMath>
        <m:r>
          <m:t>k</m:t>
        </m:r>
      </m:oMath>
      <w:r>
        <w:t xml:space="preserve"> </w:t>
      </w:r>
      <w:r>
        <w:t xml:space="preserve">from a Categorical with probabilities</w:t>
      </w:r>
      <w:r>
        <w:t xml:space="preserve"> </w:t>
      </w:r>
      <m:oMath>
        <m:r>
          <m:rPr>
            <m:sty m:val="p"/>
          </m:rPr>
          <m:t>{</m:t>
        </m:r>
        <m:r>
          <m:t>0</m:t>
        </m:r>
        <m:r>
          <m:rPr>
            <m:sty m:val="p"/>
          </m:rPr>
          <m:t>:</m:t>
        </m:r>
        <m:r>
          <m:t>.10</m:t>
        </m:r>
        <m:r>
          <m:rPr>
            <m:sty m:val="p"/>
          </m:rPr>
          <m:t>,</m:t>
        </m:r>
        <m:r>
          <m:t> </m:t>
        </m:r>
        <m:r>
          <m:t>1</m:t>
        </m:r>
        <m:r>
          <m:rPr>
            <m:sty m:val="p"/>
          </m:rPr>
          <m:t>:</m:t>
        </m:r>
        <m:r>
          <m:t>.25</m:t>
        </m:r>
        <m:r>
          <m:rPr>
            <m:sty m:val="p"/>
          </m:rPr>
          <m:t>,</m:t>
        </m:r>
        <m:r>
          <m:t> </m:t>
        </m:r>
        <m:r>
          <m:t>2</m:t>
        </m:r>
        <m:r>
          <m:rPr>
            <m:sty m:val="p"/>
          </m:rPr>
          <m:t>:</m:t>
        </m:r>
        <m:r>
          <m:t>.30</m:t>
        </m:r>
        <m:r>
          <m:rPr>
            <m:sty m:val="p"/>
          </m:rPr>
          <m:t>,</m:t>
        </m:r>
        <m:r>
          <m:t> </m:t>
        </m:r>
        <m:r>
          <m:t>3</m:t>
        </m:r>
        <m:r>
          <m:rPr>
            <m:sty m:val="p"/>
          </m:rPr>
          <m:t>:</m:t>
        </m:r>
        <m:r>
          <m:t>.25</m:t>
        </m:r>
        <m:r>
          <m:rPr>
            <m:sty m:val="p"/>
          </m:rPr>
          <m:t>,</m:t>
        </m:r>
        <m:r>
          <m:t> </m:t>
        </m:r>
        <m:r>
          <m:t>4</m:t>
        </m:r>
        <m:r>
          <m:rPr>
            <m:sty m:val="p"/>
          </m:rPr>
          <m:t>:</m:t>
        </m:r>
        <m:r>
          <m:t>.10</m:t>
        </m:r>
        <m:r>
          <m:rPr>
            <m:sty m:val="p"/>
          </m:rPr>
          <m:t>}</m:t>
        </m:r>
      </m:oMath>
      <w:r>
        <w:t xml:space="preserve">; the</w:t>
      </w:r>
      <w:r>
        <w:t xml:space="preserve"> </w:t>
      </w:r>
      <w:r>
        <w:rPr>
          <w:i/>
          <w:iCs/>
        </w:rPr>
        <w:t xml:space="preserve">weighted pick</w:t>
      </w:r>
      <w:r>
        <w:t xml:space="preserve"> </w:t>
      </w:r>
      <w:r>
        <w:t xml:space="preserve">box samples</w:t>
      </w:r>
      <w:r>
        <w:t xml:space="preserve"> </w:t>
      </w:r>
      <m:oMath>
        <m:r>
          <m:t>k</m:t>
        </m:r>
      </m:oMath>
      <w:r>
        <w:t xml:space="preserve"> </w:t>
      </w:r>
      <w:r>
        <w:t xml:space="preserve">properties from</w:t>
      </w:r>
      <w:r>
        <w:t xml:space="preserve"> </w:t>
      </w:r>
      <m:oMath>
        <m:r>
          <m:t>e</m:t>
        </m:r>
      </m:oMath>
      <w:r>
        <w:t xml:space="preserve"> </w:t>
      </w:r>
      <w:r>
        <w:t xml:space="preserve">using</w:t>
      </w:r>
      <w:r>
        <w:t xml:space="preserve"> </w:t>
      </w:r>
      <m:oMath>
        <m:sSub>
          <m:e>
            <m:r>
              <m:t>w</m:t>
            </m:r>
          </m:e>
          <m:sub>
            <m:r>
              <m:rPr>
                <m:nor/>
                <m:sty m:val="p"/>
              </m:rPr>
              <m:t>tier</m:t>
            </m:r>
          </m:sub>
        </m:sSub>
      </m:oMath>
      <w:r>
        <w:t xml:space="preserve">-weighted multinomial draws to form a tentative one-hot;</w:t>
      </w:r>
      <w:r>
        <w:t xml:space="preserve"> </w:t>
      </w:r>
      <w:r>
        <w:rPr>
          <w:i/>
          <w:iCs/>
        </w:rPr>
        <w:t xml:space="preserve">property dropout</w:t>
      </w:r>
      <w:r>
        <w:t xml:space="preserve"> </w:t>
      </w:r>
      <w:r>
        <w:t xml:space="preserve">at rate 0.30 then independently zeros each entry of the tentative mask;</w:t>
      </w:r>
      <w:r>
        <w:t xml:space="preserve"> </w:t>
      </w:r>
      <w:r>
        <w:rPr>
          <w:i/>
          <w:iCs/>
        </w:rPr>
        <w:t xml:space="preserve">CFG dropout</w:t>
      </w:r>
      <w:r>
        <w:t xml:space="preserve"> </w:t>
      </w:r>
      <w:r>
        <w:t xml:space="preserve">at rate 0.10 zeros the entire mask to feed the unconditional branch.</w:t>
      </w:r>
    </w:p>
    <w:p xmlns:a="http://schemas.openxmlformats.org/drawingml/2006/main" xmlns:pic="http://schemas.openxmlformats.org/drawingml/2006/picture">
      <w:pPr>
        <w:pStyle w:val="MDPI52figure"/>
        <w:ind w:left="2608"/>
        <w:jc w:val="center"/>
      </w:pPr>
      <w:r>
        <w:drawing>
          <wp:inline>
            <wp:extent cx="4989830" cy="2809951"/>
            <wp:effectExtent b="0" l="0" r="0" t="0"/>
            <wp:docPr descr="DGLD per-step training mask construction: subset-size sampling, weighted pick, tentative mask, property dropout, CFG dropout, output" title="" id="88" name="Picture"/>
            <a:graphic>
              <a:graphicData uri="http://schemas.openxmlformats.org/drawingml/2006/picture">
                <pic:pic>
                  <pic:nvPicPr>
                    <pic:cNvPr descr="../figs/fig4b_mask_construction.png" id="89" name="Picture"/>
                    <pic:cNvPicPr>
                      <a:picLocks noChangeArrowheads="1" noChangeAspect="1"/>
                    </pic:cNvPicPr>
                  </pic:nvPicPr>
                  <pic:blipFill>
                    <a:blip r:embed="rId32"/>
                    <a:stretch>
                      <a:fillRect/>
                    </a:stretch>
                  </pic:blipFill>
                  <pic:spPr bwMode="auto">
                    <a:xfrm>
                      <a:off x="0" y="0"/>
                      <a:ext cx="4989830" cy="2809951"/>
                    </a:xfrm>
                    <a:prstGeom prst="rect">
                      <a:avLst/>
                    </a:prstGeom>
                    <a:noFill/>
                    <a:ln w="9525">
                      <a:noFill/>
                      <a:headEnd/>
                      <a:tailEnd/>
                    </a:ln>
                  </pic:spPr>
                </pic:pic>
              </a:graphicData>
            </a:graphic>
          </wp:inline>
        </w:drawing>
      </w:r>
    </w:p>
    <w:p>
      <w:pPr>
        <w:pStyle w:val="MDPI51figurecaption"/>
        <w:ind w:left="2608"/>
      </w:pPr>
      <w:r>
        <w:rPr>
          <w:b/>
          <w:bCs/>
        </w:rPr>
        <w:t xml:space="preserve">Figure 15.</w:t>
      </w:r>
      <w:r>
        <w:t xml:space="preserve"> </w:t>
      </w:r>
      <w:r>
        <w:t xml:space="preserve">From cached eligibility</w:t>
      </w:r>
      <w:r>
        <w:t xml:space="preserve"> </w:t>
      </w:r>
      <m:oMath>
        <m:r>
          <m:t>e</m:t>
        </m:r>
        <m:r>
          <m:rPr>
            <m:sty m:val="p"/>
          </m:rPr>
          <m:t>∈</m:t>
        </m:r>
        <m:r>
          <m:rPr>
            <m:sty m:val="p"/>
          </m:rPr>
          <m:t>{</m:t>
        </m:r>
        <m:r>
          <m:t>0</m:t>
        </m:r>
        <m:r>
          <m:rPr>
            <m:sty m:val="p"/>
          </m:rPr>
          <m:t>,</m:t>
        </m:r>
        <m:r>
          <m:t>1</m:t>
        </m:r>
        <m:sSup>
          <m:e>
            <m:r>
              <m:rPr>
                <m:sty m:val="p"/>
              </m:rPr>
              <m:t>}</m:t>
            </m:r>
          </m:e>
          <m:sup>
            <m:r>
              <m:t>4</m:t>
            </m:r>
          </m:sup>
        </m:sSup>
      </m:oMath>
      <w:r>
        <w:t xml:space="preserve"> </w:t>
      </w:r>
      <w:r>
        <w:t xml:space="preserve">and tier weight</w:t>
      </w:r>
      <w:r>
        <w:t xml:space="preserve"> </w:t>
      </w:r>
      <m:oMath>
        <m:sSub>
          <m:e>
            <m:r>
              <m:t>w</m:t>
            </m:r>
          </m:e>
          <m:sub>
            <m:r>
              <m:rPr>
                <m:nor/>
                <m:sty m:val="p"/>
              </m:rPr>
              <m:t>tier</m:t>
            </m:r>
          </m:sub>
        </m:sSub>
      </m:oMath>
      <w:r>
        <w:t xml:space="preserve">, five stochastic stages produce the per-step mask</w:t>
      </w:r>
      <w:r>
        <w:t xml:space="preserve"> </w:t>
      </w:r>
      <m:oMath>
        <m:r>
          <m:t>m</m:t>
        </m:r>
      </m:oMath>
      <w:r>
        <w:t xml:space="preserve">: subset-size sampling, weighted pick, tentative one-hot, property dropout (0.30), CFG dropout (0.10). Output</w:t>
      </w:r>
      <w:r>
        <w:t xml:space="preserve"> </w:t>
      </w:r>
      <m:oMath>
        <m:r>
          <m:t>m</m:t>
        </m:r>
      </m:oMath>
      <w:r>
        <w:t xml:space="preserve"> </w:t>
      </w:r>
      <w:r>
        <w:t xml:space="preserve">feeds the FiLM input in Figure 16 (Denoiser training); details and probabilities in Section 4.6 and Table S3.</w:t>
      </w:r>
    </w:p>
    <w:p>
      <w:pPr>
        <w:pStyle w:val="MDPI31text"/>
        <w:ind w:left="2608"/>
      </w:pPr>
      <w:r>
        <w:t xml:space="preserve">The output</w:t>
      </w:r>
      <w:r>
        <w:t xml:space="preserve"> </w:t>
      </w:r>
      <m:oMath>
        <m:r>
          <m:t>m</m:t>
        </m:r>
      </m:oMath>
      <w:r>
        <w:t xml:space="preserve"> </w:t>
      </w:r>
      <w:r>
        <w:t xml:space="preserve">and the row weight</w:t>
      </w:r>
      <w:r>
        <w:t xml:space="preserve"> </w:t>
      </w:r>
      <m:oMath>
        <m:sSub>
          <m:e>
            <m:r>
              <m:t>ω</m:t>
            </m:r>
          </m:e>
          <m:sub>
            <m:r>
              <m:rPr>
                <m:nor/>
                <m:sty m:val="p"/>
              </m:rPr>
              <m:t>row</m:t>
            </m:r>
          </m:sub>
        </m:sSub>
        <m:r>
          <m:rPr>
            <m:sty m:val="p"/>
          </m:rPr>
          <m:t>=</m:t>
        </m:r>
        <m:r>
          <m:t>α</m:t>
        </m:r>
        <m:r>
          <m:rPr>
            <m:sty m:val="p"/>
          </m:rPr>
          <m:t>+</m:t>
        </m:r>
        <m:r>
          <m:rPr>
            <m:sty m:val="p"/>
          </m:rPr>
          <m:t>(</m:t>
        </m:r>
        <m:r>
          <m:t>1</m:t>
        </m:r>
        <m:r>
          <m:rPr>
            <m:sty m:val="p"/>
          </m:rPr>
          <m:t>−</m:t>
        </m:r>
        <m:r>
          <m:t>α</m:t>
        </m:r>
        <m:r>
          <m:rPr>
            <m:sty m:val="p"/>
          </m:rPr>
          <m:t>)</m:t>
        </m:r>
        <m:r>
          <m:rPr>
            <m:sty m:val="p"/>
          </m:rPr>
          <m:t>⋅</m:t>
        </m:r>
        <m:r>
          <m:rPr>
            <m:sty m:val="p"/>
          </m:rPr>
          <m:t>m</m:t>
        </m:r>
        <m:r>
          <m:rPr>
            <m:sty m:val="p"/>
          </m:rPr>
          <m:t>e</m:t>
        </m:r>
        <m:r>
          <m:rPr>
            <m:sty m:val="p"/>
          </m:rPr>
          <m:t>a</m:t>
        </m:r>
        <m:r>
          <m:rPr>
            <m:sty m:val="p"/>
          </m:rPr>
          <m:t>n</m:t>
        </m:r>
        <m:r>
          <m:rPr>
            <m:sty m:val="p"/>
          </m:rPr>
          <m:t>(</m:t>
        </m:r>
        <m:sSub>
          <m:e>
            <m:r>
              <m:t>w</m:t>
            </m:r>
          </m:e>
          <m:sub>
            <m:r>
              <m:rPr>
                <m:nor/>
                <m:sty m:val="p"/>
              </m:rPr>
              <m:t>tier</m:t>
            </m:r>
          </m:sub>
        </m:sSub>
        <m:r>
          <m:rPr>
            <m:sty m:val="p"/>
          </m:rPr>
          <m:t>⊙</m:t>
        </m:r>
        <m:r>
          <m:t>m</m:t>
        </m:r>
        <m:r>
          <m:rPr>
            <m:sty m:val="p"/>
          </m:rPr>
          <m:t>)</m:t>
        </m:r>
      </m:oMath>
      <w:r>
        <w:t xml:space="preserve"> </w:t>
      </w:r>
      <w:r>
        <w:t xml:space="preserve">are emitted to the denoiser-training step of Section 4.7, where</w:t>
      </w:r>
      <w:r>
        <w:t xml:space="preserve"> </w:t>
      </w:r>
      <m:oMath>
        <m:sSub>
          <m:e>
            <m:r>
              <m:t>w</m:t>
            </m:r>
          </m:e>
          <m:sub>
            <m:r>
              <m:rPr>
                <m:nor/>
                <m:sty m:val="p"/>
              </m:rPr>
              <m:t>tier</m:t>
            </m:r>
          </m:sub>
        </m:sSub>
      </m:oMath>
      <w:r>
        <w:t xml:space="preserve"> </w:t>
      </w:r>
      <w:r>
        <w:t xml:space="preserve">is the per-property tier-weight vector and</w:t>
      </w:r>
      <w:r>
        <w:t xml:space="preserve"> </w:t>
      </w:r>
      <m:oMath>
        <m:r>
          <m:t>α</m:t>
        </m:r>
        <m:r>
          <m:rPr>
            <m:sty m:val="p"/>
          </m:rPr>
          <m:t>∈</m:t>
        </m:r>
        <m:r>
          <m:rPr>
            <m:sty m:val="p"/>
          </m:rPr>
          <m:t>[</m:t>
        </m:r>
        <m:r>
          <m:t>0</m:t>
        </m:r>
        <m:r>
          <m:rPr>
            <m:sty m:val="p"/>
          </m:rPr>
          <m:t>,</m:t>
        </m:r>
        <m:r>
          <m:t>1</m:t>
        </m:r>
        <m:r>
          <m:rPr>
            <m:sty m:val="p"/>
          </m:rPr>
          <m:t>]</m:t>
        </m:r>
      </m:oMath>
      <w:r>
        <w:t xml:space="preserve"> </w:t>
      </w:r>
      <w:r>
        <w:t xml:space="preserve">is the trust-vs-uniform interpolant (default</w:t>
      </w:r>
      <w:r>
        <w:t xml:space="preserve"> </w:t>
      </w:r>
      <m:oMath>
        <m:r>
          <m:t>α</m:t>
        </m:r>
        <m:r>
          <m:rPr>
            <m:sty m:val="p"/>
          </m:rPr>
          <m:t>=</m:t>
        </m:r>
        <m:r>
          <m:t>1.0</m:t>
        </m:r>
      </m:oMath>
      <w:r>
        <w:t xml:space="preserve">, reducing to plain MSE;</w:t>
      </w:r>
      <w:r>
        <w:t xml:space="preserve"> </w:t>
      </w:r>
      <m:oMath>
        <m:r>
          <m:t>α</m:t>
        </m:r>
        <m:r>
          <m:rPr>
            <m:sty m:val="p"/>
          </m:rPr>
          <m:t>&lt;</m:t>
        </m:r>
        <m:r>
          <m:t>1.0</m:t>
        </m:r>
      </m:oMath>
      <w:r>
        <w:t xml:space="preserve"> </w:t>
      </w:r>
      <w:r>
        <w:t xml:space="preserve">up-weights more-trusted rows). The mask</w:t>
      </w:r>
      <w:r>
        <w:t xml:space="preserve"> </w:t>
      </w:r>
      <m:oMath>
        <m:r>
          <m:t>m</m:t>
        </m:r>
      </m:oMath>
      <w:r>
        <w:t xml:space="preserve"> </w:t>
      </w:r>
      <w:r>
        <w:t xml:space="preserve">gates only the FiLM property input; it does not appear in the loss.</w:t>
      </w:r>
    </w:p>
    <w:p>
      <w:pPr>
        <w:pStyle w:val="MDPI22heading2"/>
        <w:ind w:left="2608"/>
      </w:pPr>
      <w:r>
        <w:t xml:space="preserve">4.7 Denoiser training</w:t>
      </w:r>
    </w:p>
    <w:p>
      <w:pPr>
        <w:pStyle w:val="MDPI32textnoindent"/>
        <w:ind w:left="2608"/>
      </w:pPr>
      <w:r>
        <w:t xml:space="preserve">The denoiser learns the noise-predicting reverse process of a 1000-step variance-preserving DDPM in latent space, conditioned via FiLM on Section 4.6 mask + property vector. Classifier-free guidance dropout at training time enables the runtime trade-off between unconditional and target-property sampling controlled by the CFG scale w.</w:t>
      </w:r>
    </w:p>
    <w:p>
      <w:pPr>
        <w:pStyle w:val="MDPI31text"/>
        <w:ind w:left="2608"/>
      </w:pPr>
      <w:r>
        <w:t xml:space="preserve">The denoiser</w:t>
      </w:r>
      <w:r>
        <w:t xml:space="preserve"> </w:t>
      </w:r>
      <m:oMath>
        <m:sSub>
          <m:e>
            <m:r>
              <m:t>ϵ</m:t>
            </m:r>
          </m:e>
          <m:sub>
            <m:r>
              <m:t>θ</m:t>
            </m:r>
          </m:sub>
        </m:sSub>
        <m:r>
          <m:rPr>
            <m:sty m:val="p"/>
          </m:rPr>
          <m:t>(</m:t>
        </m:r>
        <m:sSub>
          <m:e>
            <m:r>
              <m:t>z</m:t>
            </m:r>
          </m:e>
          <m:sub>
            <m:r>
              <m:t>t</m:t>
            </m:r>
          </m:sub>
        </m:sSub>
        <m:r>
          <m:rPr>
            <m:sty m:val="p"/>
          </m:rPr>
          <m:t>,</m:t>
        </m:r>
        <m:r>
          <m:t>t</m:t>
        </m:r>
        <m:r>
          <m:rPr>
            <m:sty m:val="p"/>
          </m:rPr>
          <m:t>,</m:t>
        </m:r>
        <m:r>
          <m:t>c</m:t>
        </m:r>
        <m:r>
          <m:rPr>
            <m:sty m:val="p"/>
          </m:rPr>
          <m:t>,</m:t>
        </m:r>
        <m:r>
          <m:t>m</m:t>
        </m:r>
        <m:r>
          <m:rPr>
            <m:sty m:val="p"/>
          </m:rPr>
          <m:t>)</m:t>
        </m:r>
      </m:oMath>
      <w:r>
        <w:t xml:space="preserve"> </w:t>
      </w:r>
      <w:r>
        <w:t xml:space="preserve">is a 44.6 M-parameter FiLM-modulated ResNet over</w:t>
      </w:r>
      <w:r>
        <w:t xml:space="preserve"> </w:t>
      </w:r>
      <m:oMath>
        <m:sSub>
          <m:e>
            <m:r>
              <m:t>z</m:t>
            </m:r>
          </m:e>
          <m:sub>
            <m:r>
              <m:t>t</m:t>
            </m:r>
          </m:sub>
        </m:sSub>
        <m:r>
          <m:rPr>
            <m:sty m:val="p"/>
          </m:rPr>
          <m:t>∈</m:t>
        </m:r>
        <m:sSup>
          <m:e>
            <m:r>
              <m:rPr>
                <m:scr m:val="double-struck"/>
                <m:sty m:val="p"/>
              </m:rPr>
              <m:t>R</m:t>
            </m:r>
          </m:e>
          <m:sup>
            <m:r>
              <m:t>1024</m:t>
            </m:r>
          </m:sup>
        </m:sSup>
      </m:oMath>
      <w:r>
        <w:t xml:space="preserve"> </w:t>
      </w:r>
      <w:r>
        <w:t xml:space="preserve">with 8 residual blocks of inner width 2048 (per-block: LayerNorm, Linear(1024 to 2048), FiLM(</w:t>
      </w:r>
      <m:oMath>
        <m:r>
          <m:t>γ</m:t>
        </m:r>
        <m:r>
          <m:rPr>
            <m:sty m:val="p"/>
          </m:rPr>
          <m:t>,</m:t>
        </m:r>
        <m:r>
          <m:t>β</m:t>
        </m:r>
      </m:oMath>
      <w:r>
        <w:t xml:space="preserve"> </w:t>
      </w:r>
      <w:r>
        <w:t xml:space="preserve">from cond), SiLU, Linear(2048 to 1024) with a residual add), a sinusoidal time embedding (</w:t>
      </w:r>
      <m:oMath>
        <m:sSub>
          <m:e>
            <m:r>
              <m:t>d</m:t>
            </m:r>
          </m:e>
          <m:sub>
            <m:r>
              <m:t>t</m:t>
            </m:r>
          </m:sub>
        </m:sSub>
        <m:r>
          <m:rPr>
            <m:sty m:val="p"/>
          </m:rPr>
          <m:t>=</m:t>
        </m:r>
        <m:r>
          <m:t>256</m:t>
        </m:r>
      </m:oMath>
      <w:r>
        <w:t xml:space="preserve">), and a sinusoidal property-value embedding (</w:t>
      </w:r>
      <m:oMath>
        <m:sSub>
          <m:e>
            <m:r>
              <m:t>d</m:t>
            </m:r>
          </m:e>
          <m:sub>
            <m:r>
              <m:t>c</m:t>
            </m:r>
          </m:sub>
        </m:sSub>
        <m:r>
          <m:rPr>
            <m:sty m:val="p"/>
          </m:rPr>
          <m:t>=</m:t>
        </m:r>
        <m:r>
          <m:t>64</m:t>
        </m:r>
      </m:oMath>
      <w:r>
        <w:t xml:space="preserve">) gated by the per-step mask</w:t>
      </w:r>
      <w:r>
        <w:t xml:space="preserve"> </w:t>
      </w:r>
      <m:oMath>
        <m:r>
          <m:t>m</m:t>
        </m:r>
        <m:r>
          <m:rPr>
            <m:sty m:val="p"/>
          </m:rPr>
          <m:t>∈</m:t>
        </m:r>
        <m:r>
          <m:rPr>
            <m:sty m:val="p"/>
          </m:rPr>
          <m:t>{</m:t>
        </m:r>
        <m:r>
          <m:t>0</m:t>
        </m:r>
        <m:r>
          <m:rPr>
            <m:sty m:val="p"/>
          </m:rPr>
          <m:t>,</m:t>
        </m:r>
        <m:r>
          <m:t>1</m:t>
        </m:r>
        <m:sSup>
          <m:e>
            <m:r>
              <m:rPr>
                <m:sty m:val="p"/>
              </m:rPr>
              <m:t>}</m:t>
            </m:r>
          </m:e>
          <m:sup>
            <m:r>
              <m:t>4</m:t>
            </m:r>
          </m:sup>
        </m:sSup>
      </m:oMath>
      <w:r>
        <w:t xml:space="preserve"> </w:t>
      </w:r>
      <w:r>
        <w:t xml:space="preserve">of Section 4.6 (full hyperparameters in Table S3).</w:t>
      </w:r>
    </w:p>
    <w:p>
      <w:pPr>
        <w:pStyle w:val="MDPI31text"/>
        <w:ind w:left="2608"/>
      </w:pPr>
      <w:r>
        <w:t xml:space="preserve">Figure 16 walks denoiser training. Per step: sample</w:t>
      </w:r>
      <w:r>
        <w:t xml:space="preserve"> </w:t>
      </w:r>
      <m:oMath>
        <m:r>
          <m:t>t</m:t>
        </m:r>
        <m:r>
          <m:rPr>
            <m:sty m:val="p"/>
          </m:rPr>
          <m:t>∼</m:t>
        </m:r>
        <m:r>
          <m:rPr>
            <m:scr m:val="script"/>
            <m:sty m:val="p"/>
          </m:rPr>
          <m:t>U</m:t>
        </m:r>
        <m:r>
          <m:rPr>
            <m:sty m:val="p"/>
          </m:rPr>
          <m:t>{</m:t>
        </m:r>
        <m:r>
          <m:t>1</m:t>
        </m:r>
        <m:r>
          <m:rPr>
            <m:sty m:val="p"/>
          </m:rPr>
          <m:t>:</m:t>
        </m:r>
        <m:r>
          <m:t>T</m:t>
        </m:r>
        <m:r>
          <m:rPr>
            <m:sty m:val="p"/>
          </m:rPr>
          <m:t>}</m:t>
        </m:r>
      </m:oMath>
      <w:r>
        <w:t xml:space="preserve"> </w:t>
      </w:r>
      <w:r>
        <w:t xml:space="preserve">and</w:t>
      </w:r>
      <w:r>
        <w:t xml:space="preserve"> </w:t>
      </w:r>
      <m:oMath>
        <m:r>
          <m:t>ε</m:t>
        </m:r>
        <m:r>
          <m:rPr>
            <m:sty m:val="p"/>
          </m:rPr>
          <m:t>∼</m:t>
        </m:r>
        <m:r>
          <m:rPr>
            <m:scr m:val="script"/>
            <m:sty m:val="p"/>
          </m:rPr>
          <m:t>N</m:t>
        </m:r>
        <m:r>
          <m:rPr>
            <m:sty m:val="p"/>
          </m:rPr>
          <m:t>(</m:t>
        </m:r>
        <m:r>
          <m:t>0</m:t>
        </m:r>
        <m:r>
          <m:rPr>
            <m:sty m:val="p"/>
          </m:rPr>
          <m:t>,</m:t>
        </m:r>
        <m:r>
          <m:t>I</m:t>
        </m:r>
        <m:r>
          <m:rPr>
            <m:sty m:val="p"/>
          </m:rPr>
          <m:t>)</m:t>
        </m:r>
      </m:oMath>
      <w:r>
        <w:t xml:space="preserve">; form</w:t>
      </w:r>
      <w:r>
        <w:t xml:space="preserve"> </w:t>
      </w:r>
      <m:oMath>
        <m:sSub>
          <m:e>
            <m:r>
              <m:t>z</m:t>
            </m:r>
          </m:e>
          <m:sub>
            <m:r>
              <m:t>t</m:t>
            </m:r>
          </m:sub>
        </m:sSub>
        <m:r>
          <m:rPr>
            <m:sty m:val="p"/>
          </m:rPr>
          <m:t>=</m:t>
        </m:r>
        <m:rad>
          <m:radPr>
            <m:degHide m:val="on"/>
          </m:radPr>
          <m:deg/>
          <m:e>
            <m:sSub>
              <m:e>
                <m:acc>
                  <m:accPr>
                    <m:chr m:val="‾"/>
                  </m:accPr>
                  <m:e>
                    <m:r>
                      <m:t>α</m:t>
                    </m:r>
                  </m:e>
                </m:acc>
              </m:e>
              <m:sub>
                <m:r>
                  <m:t>t</m:t>
                </m:r>
              </m:sub>
            </m:sSub>
          </m:e>
        </m:rad>
        <m:r>
          <m:t> </m:t>
        </m:r>
        <m:sSub>
          <m:e>
            <m:r>
              <m:t>z</m:t>
            </m:r>
          </m:e>
          <m:sub>
            <m:r>
              <m:t>0</m:t>
            </m:r>
          </m:sub>
        </m:sSub>
        <m:r>
          <m:rPr>
            <m:sty m:val="p"/>
          </m:rPr>
          <m:t>+</m:t>
        </m:r>
        <m:rad>
          <m:radPr>
            <m:degHide m:val="on"/>
          </m:radPr>
          <m:deg/>
          <m:e>
            <m:r>
              <m:t>1</m:t>
            </m:r>
            <m:r>
              <m:rPr>
                <m:sty m:val="p"/>
              </m:rPr>
              <m:t>−</m:t>
            </m:r>
            <m:sSub>
              <m:e>
                <m:acc>
                  <m:accPr>
                    <m:chr m:val="‾"/>
                  </m:accPr>
                  <m:e>
                    <m:r>
                      <m:t>α</m:t>
                    </m:r>
                  </m:e>
                </m:acc>
              </m:e>
              <m:sub>
                <m:r>
                  <m:t>t</m:t>
                </m:r>
              </m:sub>
            </m:sSub>
          </m:e>
        </m:rad>
        <m:r>
          <m:t> </m:t>
        </m:r>
        <m:r>
          <m:t>ε</m:t>
        </m:r>
      </m:oMath>
      <w:r>
        <w:t xml:space="preserve"> </w:t>
      </w:r>
      <w:r>
        <w:t xml:space="preserve">on the cosine</w:t>
      </w:r>
      <w:r>
        <w:t xml:space="preserve"> </w:t>
      </w:r>
      <m:oMath>
        <m:r>
          <m:t>T</m:t>
        </m:r>
        <m:r>
          <m:rPr>
            <m:sty m:val="p"/>
          </m:rPr>
          <m:t>=</m:t>
        </m:r>
        <m:r>
          <m:t>1000</m:t>
        </m:r>
      </m:oMath>
      <w:r>
        <w:t xml:space="preserve"> </w:t>
      </w:r>
      <w:r>
        <w:t xml:space="preserve">DDPM schedule of Nichol &amp; Dhariwal</w:t>
      </w:r>
      <w:r>
        <w:t xml:space="preserve"> </w:t>
      </w:r>
      <w:hyperlink w:anchor="ref-dhariwal2021diffusion">
        <w:r>
          <w:rPr>
            <w:rStyle w:val="Hyperlink"/>
          </w:rPr>
          <w:t xml:space="preserve">[26]</w:t>
        </w:r>
      </w:hyperlink>
      <w:r>
        <w:t xml:space="preserve">; FiLM injects</w:t>
      </w:r>
      <w:r>
        <w:t xml:space="preserve"> </w:t>
      </w:r>
      <m:oMath>
        <m:r>
          <m:rPr>
            <m:sty m:val="p"/>
          </m:rPr>
          <m:t>(</m:t>
        </m:r>
        <m:r>
          <m:t>t</m:t>
        </m:r>
        <m:r>
          <m:rPr>
            <m:sty m:val="p"/>
          </m:rPr>
          <m:t>,</m:t>
        </m:r>
        <m:r>
          <m:t> </m:t>
        </m:r>
        <m:r>
          <m:t>p</m:t>
        </m:r>
        <m:r>
          <m:rPr>
            <m:sty m:val="p"/>
          </m:rPr>
          <m:t>⊙</m:t>
        </m:r>
        <m:r>
          <m:t>m</m:t>
        </m:r>
        <m:r>
          <m:rPr>
            <m:sty m:val="p"/>
          </m:rPr>
          <m:t>)</m:t>
        </m:r>
      </m:oMath>
      <w:r>
        <w:t xml:space="preserve">; the network predicts</w:t>
      </w:r>
      <w:r>
        <w:t xml:space="preserve"> </w:t>
      </w:r>
      <m:oMath>
        <m:acc>
          <m:accPr>
            <m:chr m:val="̂"/>
          </m:accPr>
          <m:e>
            <m:r>
              <m:t>ε</m:t>
            </m:r>
          </m:e>
        </m:acc>
      </m:oMath>
      <w:r>
        <w:t xml:space="preserve">; the loss is the per-sample MSE</w:t>
      </w:r>
      <w:r>
        <w:t xml:space="preserve"> </w:t>
      </w:r>
      <m:oMath>
        <m:r>
          <m:rPr>
            <m:sty m:val="p"/>
          </m:rPr>
          <m:t>‖</m:t>
        </m:r>
        <m:r>
          <m:t>ε</m:t>
        </m:r>
        <m:r>
          <m:rPr>
            <m:sty m:val="p"/>
          </m:rPr>
          <m:t>−</m:t>
        </m:r>
        <m:acc>
          <m:accPr>
            <m:chr m:val="̂"/>
          </m:accPr>
          <m:e>
            <m:r>
              <m:t>ε</m:t>
            </m:r>
          </m:e>
        </m:acc>
        <m:sSup>
          <m:e>
            <m:r>
              <m:rPr>
                <m:sty m:val="p"/>
              </m:rPr>
              <m:t>‖</m:t>
            </m:r>
          </m:e>
          <m:sup>
            <m:r>
              <m:t>2</m:t>
            </m:r>
          </m:sup>
        </m:sSup>
      </m:oMath>
      <w:r>
        <w:t xml:space="preserve"> </w:t>
      </w:r>
      <w:r>
        <w:t xml:space="preserve">weighted by the row weight</w:t>
      </w:r>
      <w:r>
        <w:t xml:space="preserve"> </w:t>
      </w:r>
      <m:oMath>
        <m:sSub>
          <m:e>
            <m:r>
              <m:t>ω</m:t>
            </m:r>
          </m:e>
          <m:sub>
            <m:r>
              <m:rPr>
                <m:nor/>
                <m:sty m:val="p"/>
              </m:rPr>
              <m:t>row</m:t>
            </m:r>
          </m:sub>
        </m:sSub>
      </m:oMath>
      <w:r>
        <w:t xml:space="preserve"> </w:t>
      </w:r>
      <w:r>
        <w:t xml:space="preserve">of Section 4.6. Optimiser AdamW, peak LR</w:t>
      </w:r>
      <w:r>
        <w:t xml:space="preserve"> </w:t>
      </w:r>
      <m:oMath>
        <m:sSup>
          <m:e>
            <m:r>
              <m:t>10</m:t>
            </m:r>
          </m:e>
          <m:sup>
            <m:r>
              <m:rPr>
                <m:sty m:val="p"/>
              </m:rPr>
              <m:t>−</m:t>
            </m:r>
            <m:r>
              <m:t>4</m:t>
            </m:r>
          </m:sup>
        </m:sSup>
      </m:oMath>
      <w:r>
        <w:t xml:space="preserve">, cosine decay, batch 128, 20 epochs, exponential-moving-average (EMA) decay 0.999.</w:t>
      </w:r>
    </w:p>
    <w:p xmlns:a="http://schemas.openxmlformats.org/drawingml/2006/main" xmlns:pic="http://schemas.openxmlformats.org/drawingml/2006/picture">
      <w:pPr>
        <w:pStyle w:val="MDPI52figure"/>
        <w:ind w:left="2608"/>
        <w:jc w:val="center"/>
      </w:pPr>
      <w:r>
        <w:drawing>
          <wp:inline>
            <wp:extent cx="4989830" cy="2808271"/>
            <wp:effectExtent b="0" l="0" r="0" t="0"/>
            <wp:docPr descr="DGLD denoiser training: per-step update loop with mask-gated conditioning" title="" id="93" name="Picture"/>
            <a:graphic>
              <a:graphicData uri="http://schemas.openxmlformats.org/drawingml/2006/picture">
                <pic:pic>
                  <pic:nvPicPr>
                    <pic:cNvPr descr="../figs/fig4c_denoiser_train.png" id="94" name="Picture"/>
                    <pic:cNvPicPr>
                      <a:picLocks noChangeArrowheads="1" noChangeAspect="1"/>
                    </pic:cNvPicPr>
                  </pic:nvPicPr>
                  <pic:blipFill>
                    <a:blip r:embed="rId33"/>
                    <a:stretch>
                      <a:fillRect/>
                    </a:stretch>
                  </pic:blipFill>
                  <pic:spPr bwMode="auto">
                    <a:xfrm>
                      <a:off x="0" y="0"/>
                      <a:ext cx="4989830" cy="2808271"/>
                    </a:xfrm>
                    <a:prstGeom prst="rect">
                      <a:avLst/>
                    </a:prstGeom>
                    <a:noFill/>
                    <a:ln w="9525">
                      <a:noFill/>
                      <a:headEnd/>
                      <a:tailEnd/>
                    </a:ln>
                  </pic:spPr>
                </pic:pic>
              </a:graphicData>
            </a:graphic>
          </wp:inline>
        </w:drawing>
      </w:r>
    </w:p>
    <w:p>
      <w:pPr>
        <w:pStyle w:val="MDPI51figurecaption"/>
        <w:ind w:left="2608"/>
      </w:pPr>
      <w:r>
        <w:rPr>
          <w:b/>
          <w:bCs/>
        </w:rPr>
        <w:t xml:space="preserve">Figure 16.</w:t>
      </w:r>
      <w:r>
        <w:t xml:space="preserve"> </w:t>
      </w:r>
      <w:r>
        <w:t xml:space="preserve">Sample</w:t>
      </w:r>
      <w:r>
        <w:t xml:space="preserve"> </w:t>
      </w:r>
      <m:oMath>
        <m:r>
          <m:t>t</m:t>
        </m:r>
        <m:r>
          <m:rPr>
            <m:sty m:val="p"/>
          </m:rPr>
          <m:t>,</m:t>
        </m:r>
        <m:r>
          <m:t>ε</m:t>
        </m:r>
      </m:oMath>
      <w:r>
        <w:t xml:space="preserve">; form</w:t>
      </w:r>
      <w:r>
        <w:t xml:space="preserve"> </w:t>
      </w:r>
      <m:oMath>
        <m:sSub>
          <m:e>
            <m:r>
              <m:t>z</m:t>
            </m:r>
          </m:e>
          <m:sub>
            <m:r>
              <m:t>t</m:t>
            </m:r>
          </m:sub>
        </m:sSub>
        <m:r>
          <m:rPr>
            <m:sty m:val="p"/>
          </m:rPr>
          <m:t>=</m:t>
        </m:r>
        <m:rad>
          <m:radPr>
            <m:degHide m:val="on"/>
          </m:radPr>
          <m:deg/>
          <m:e>
            <m:sSub>
              <m:e>
                <m:acc>
                  <m:accPr>
                    <m:chr m:val="‾"/>
                  </m:accPr>
                  <m:e>
                    <m:r>
                      <m:t>α</m:t>
                    </m:r>
                  </m:e>
                </m:acc>
              </m:e>
              <m:sub>
                <m:r>
                  <m:t>t</m:t>
                </m:r>
              </m:sub>
            </m:sSub>
          </m:e>
        </m:rad>
        <m:r>
          <m:t> </m:t>
        </m:r>
        <m:sSub>
          <m:e>
            <m:r>
              <m:t>z</m:t>
            </m:r>
          </m:e>
          <m:sub>
            <m:r>
              <m:t>0</m:t>
            </m:r>
          </m:sub>
        </m:sSub>
        <m:r>
          <m:rPr>
            <m:sty m:val="p"/>
          </m:rPr>
          <m:t>+</m:t>
        </m:r>
        <m:rad>
          <m:radPr>
            <m:degHide m:val="on"/>
          </m:radPr>
          <m:deg/>
          <m:e>
            <m:r>
              <m:t>1</m:t>
            </m:r>
            <m:r>
              <m:rPr>
                <m:sty m:val="p"/>
              </m:rPr>
              <m:t>−</m:t>
            </m:r>
            <m:sSub>
              <m:e>
                <m:acc>
                  <m:accPr>
                    <m:chr m:val="‾"/>
                  </m:accPr>
                  <m:e>
                    <m:r>
                      <m:t>α</m:t>
                    </m:r>
                  </m:e>
                </m:acc>
              </m:e>
              <m:sub>
                <m:r>
                  <m:t>t</m:t>
                </m:r>
              </m:sub>
            </m:sSub>
          </m:e>
        </m:rad>
        <m:r>
          <m:t> </m:t>
        </m:r>
        <m:r>
          <m:t>ε</m:t>
        </m:r>
      </m:oMath>
      <w:r>
        <w:t xml:space="preserve">; the FiLM-ResNet predicts</w:t>
      </w:r>
      <w:r>
        <w:t xml:space="preserve"> </w:t>
      </w:r>
      <m:oMath>
        <m:acc>
          <m:accPr>
            <m:chr m:val="̂"/>
          </m:accPr>
          <m:e>
            <m:r>
              <m:t>ε</m:t>
            </m:r>
          </m:e>
        </m:acc>
      </m:oMath>
      <w:r>
        <w:t xml:space="preserve"> </w:t>
      </w:r>
      <w:r>
        <w:t xml:space="preserve">from</w:t>
      </w:r>
      <w:r>
        <w:t xml:space="preserve"> </w:t>
      </w:r>
      <m:oMath>
        <m:r>
          <m:rPr>
            <m:sty m:val="p"/>
          </m:rPr>
          <m:t>(</m:t>
        </m:r>
        <m:sSub>
          <m:e>
            <m:r>
              <m:t>z</m:t>
            </m:r>
          </m:e>
          <m:sub>
            <m:r>
              <m:t>t</m:t>
            </m:r>
          </m:sub>
        </m:sSub>
        <m:r>
          <m:rPr>
            <m:sty m:val="p"/>
          </m:rPr>
          <m:t>,</m:t>
        </m:r>
        <m:r>
          <m:t>t</m:t>
        </m:r>
        <m:r>
          <m:rPr>
            <m:sty m:val="p"/>
          </m:rPr>
          <m:t>,</m:t>
        </m:r>
        <m:r>
          <m:t>p</m:t>
        </m:r>
        <m:r>
          <m:rPr>
            <m:sty m:val="p"/>
          </m:rPr>
          <m:t>⊙</m:t>
        </m:r>
        <m:r>
          <m:t>m</m:t>
        </m:r>
        <m:r>
          <m:rPr>
            <m:sty m:val="p"/>
          </m:rPr>
          <m:t>)</m:t>
        </m:r>
      </m:oMath>
      <w:r>
        <w:t xml:space="preserve"> </w:t>
      </w:r>
      <w:r>
        <w:t xml:space="preserve">where</w:t>
      </w:r>
      <w:r>
        <w:t xml:space="preserve"> </w:t>
      </w:r>
      <m:oMath>
        <m:r>
          <m:t>m</m:t>
        </m:r>
      </m:oMath>
      <w:r>
        <w:t xml:space="preserve"> </w:t>
      </w:r>
      <w:r>
        <w:t xml:space="preserve">(from Figure 15) gates the property vector. Loss is per-sample MSE</w:t>
      </w:r>
      <w:r>
        <w:t xml:space="preserve"> </w:t>
      </w:r>
      <m:oMath>
        <m:r>
          <m:rPr>
            <m:sty m:val="p"/>
          </m:rPr>
          <m:t>‖</m:t>
        </m:r>
        <m:r>
          <m:t>ε</m:t>
        </m:r>
        <m:r>
          <m:rPr>
            <m:sty m:val="p"/>
          </m:rPr>
          <m:t>−</m:t>
        </m:r>
        <m:acc>
          <m:accPr>
            <m:chr m:val="̂"/>
          </m:accPr>
          <m:e>
            <m:r>
              <m:t>ε</m:t>
            </m:r>
          </m:e>
        </m:acc>
        <m:sSup>
          <m:e>
            <m:r>
              <m:rPr>
                <m:sty m:val="p"/>
              </m:rPr>
              <m:t>‖</m:t>
            </m:r>
          </m:e>
          <m:sup>
            <m:r>
              <m:t>2</m:t>
            </m:r>
          </m:sup>
        </m:sSup>
      </m:oMath>
      <w:r>
        <w:t xml:space="preserve"> </w:t>
      </w:r>
      <w:r>
        <w:t xml:space="preserve">weighted by</w:t>
      </w:r>
      <w:r>
        <w:t xml:space="preserve"> </w:t>
      </w:r>
      <m:oMath>
        <m:r>
          <m:t>ω</m:t>
        </m:r>
      </m:oMath>
      <w:r>
        <w:t xml:space="preserve">; AdamW + EMA. Hyperparameters in Table S3.</w:t>
      </w:r>
    </w:p>
    <w:p>
      <w:pPr>
        <w:pStyle w:val="MDPI31text"/>
        <w:ind w:left="2608"/>
      </w:pPr>
      <w:r>
        <w:t xml:space="preserve">At sample time we use the standard guided estimate</w:t>
      </w:r>
    </w:p>
    <w:p>
      <w:pPr>
        <w:pStyle w:val="MDPI39equation"/>
        <w:ind w:left="2608"/>
      </w:pPr>
      <m:oMathPara>
        <m:oMathParaPr>
          <m:jc m:val="center"/>
        </m:oMathParaPr>
        <m:oMath>
          <m:sSub>
            <m:e>
              <m:acc>
                <m:accPr>
                  <m:chr m:val="̂"/>
                </m:accPr>
                <m:e>
                  <m:r>
                    <m:t>ϵ</m:t>
                  </m:r>
                </m:e>
              </m:acc>
            </m:e>
            <m:sub>
              <m:r>
                <m:t>θ</m:t>
              </m:r>
            </m:sub>
          </m:sSub>
          <m:r>
            <m:rPr>
              <m:sty m:val="p"/>
            </m:rPr>
            <m:t>(</m:t>
          </m:r>
          <m:sSub>
            <m:e>
              <m:r>
                <m:t>z</m:t>
              </m:r>
            </m:e>
            <m:sub>
              <m:r>
                <m:t>t</m:t>
              </m:r>
            </m:sub>
          </m:sSub>
          <m:r>
            <m:rPr>
              <m:sty m:val="p"/>
            </m:rPr>
            <m:t>,</m:t>
          </m:r>
          <m:r>
            <m:t>c</m:t>
          </m:r>
          <m:r>
            <m:rPr>
              <m:sty m:val="p"/>
            </m:rPr>
            <m:t>)</m:t>
          </m:r>
          <m:r>
            <m:t> </m:t>
          </m:r>
          <m:r>
            <m:rPr>
              <m:sty m:val="p"/>
            </m:rPr>
            <m:t>=</m:t>
          </m:r>
          <m:r>
            <m:t> </m:t>
          </m:r>
          <m:sSub>
            <m:e>
              <m:r>
                <m:t>ϵ</m:t>
              </m:r>
            </m:e>
            <m:sub>
              <m:r>
                <m:t>θ</m:t>
              </m:r>
            </m:sub>
          </m:sSub>
          <m:r>
            <m:rPr>
              <m:sty m:val="p"/>
            </m:rPr>
            <m:t>(</m:t>
          </m:r>
          <m:sSub>
            <m:e>
              <m:r>
                <m:t>z</m:t>
              </m:r>
            </m:e>
            <m:sub>
              <m:r>
                <m:t>t</m:t>
              </m:r>
            </m:sub>
          </m:sSub>
          <m:r>
            <m:rPr>
              <m:sty m:val="p"/>
            </m:rPr>
            <m:t>,</m:t>
          </m:r>
          <m:r>
            <m:t>t</m:t>
          </m:r>
          <m:r>
            <m:rPr>
              <m:sty m:val="p"/>
            </m:rPr>
            <m:t>,</m:t>
          </m:r>
          <m:r>
            <m:rPr>
              <m:sty m:val="p"/>
            </m:rPr>
            <m:t>∅</m:t>
          </m:r>
          <m:r>
            <m:rPr>
              <m:sty m:val="p"/>
            </m:rPr>
            <m:t>)</m:t>
          </m:r>
          <m:r>
            <m:t> </m:t>
          </m:r>
          <m:r>
            <m:rPr>
              <m:sty m:val="p"/>
            </m:rPr>
            <m:t>+</m:t>
          </m:r>
          <m:r>
            <m:t> </m:t>
          </m:r>
          <m:r>
            <m:t>w</m:t>
          </m:r>
          <m:r>
            <m:t> </m:t>
          </m:r>
          <m:d>
            <m:dPr>
              <m:begChr m:val="("/>
              <m:sepChr m:val=""/>
              <m:endChr m:val=")"/>
              <m:grow/>
            </m:dPr>
            <m:e>
              <m:sSub>
                <m:e>
                  <m:r>
                    <m:t>ϵ</m:t>
                  </m:r>
                </m:e>
                <m:sub>
                  <m:r>
                    <m:t>θ</m:t>
                  </m:r>
                </m:sub>
              </m:sSub>
              <m:r>
                <m:rPr>
                  <m:sty m:val="p"/>
                </m:rPr>
                <m:t>(</m:t>
              </m:r>
              <m:sSub>
                <m:e>
                  <m:r>
                    <m:t>z</m:t>
                  </m:r>
                </m:e>
                <m:sub>
                  <m:r>
                    <m:t>t</m:t>
                  </m:r>
                </m:sub>
              </m:sSub>
              <m:r>
                <m:rPr>
                  <m:sty m:val="p"/>
                </m:rPr>
                <m:t>,</m:t>
              </m:r>
              <m:r>
                <m:t>t</m:t>
              </m:r>
              <m:r>
                <m:rPr>
                  <m:sty m:val="p"/>
                </m:rPr>
                <m:t>,</m:t>
              </m:r>
              <m:r>
                <m:t>c</m:t>
              </m:r>
              <m:r>
                <m:rPr>
                  <m:sty m:val="p"/>
                </m:rPr>
                <m:t>)</m:t>
              </m:r>
              <m:r>
                <m:rPr>
                  <m:sty m:val="p"/>
                </m:rPr>
                <m:t>−</m:t>
              </m:r>
              <m:sSub>
                <m:e>
                  <m:r>
                    <m:t>ϵ</m:t>
                  </m:r>
                </m:e>
                <m:sub>
                  <m:r>
                    <m:t>θ</m:t>
                  </m:r>
                </m:sub>
              </m:sSub>
              <m:r>
                <m:rPr>
                  <m:sty m:val="p"/>
                </m:rPr>
                <m:t>(</m:t>
              </m:r>
              <m:sSub>
                <m:e>
                  <m:r>
                    <m:t>z</m:t>
                  </m:r>
                </m:e>
                <m:sub>
                  <m:r>
                    <m:t>t</m:t>
                  </m:r>
                </m:sub>
              </m:sSub>
              <m:r>
                <m:rPr>
                  <m:sty m:val="p"/>
                </m:rPr>
                <m:t>,</m:t>
              </m:r>
              <m:r>
                <m:t>t</m:t>
              </m:r>
              <m:r>
                <m:rPr>
                  <m:sty m:val="p"/>
                </m:rPr>
                <m:t>,</m:t>
              </m:r>
              <m:r>
                <m:rPr>
                  <m:sty m:val="p"/>
                </m:rPr>
                <m:t>∅</m:t>
              </m:r>
              <m:r>
                <m:rPr>
                  <m:sty m:val="p"/>
                </m:rPr>
                <m:t>)</m:t>
              </m:r>
            </m:e>
          </m:d>
          <m:r>
            <m:rPr>
              <m:sty m:val="p"/>
            </m:rPr>
            <m:t>;</m:t>
          </m:r>
        </m:oMath>
      </m:oMathPara>
    </w:p>
    <w:p>
      <w:pPr>
        <w:pStyle w:val="MDPI32textnoindent"/>
        <w:ind w:left="2608"/>
      </w:pPr>
      <w:r>
        <w:t xml:space="preserve">the production scale</w:t>
      </w:r>
      <w:r>
        <w:t xml:space="preserve"> </w:t>
      </w:r>
      <m:oMath>
        <m:r>
          <m:t>w</m:t>
        </m:r>
        <m:r>
          <m:rPr>
            <m:sty m:val="p"/>
          </m:rPr>
          <m:t>=</m:t>
        </m:r>
        <m:r>
          <m:t>7</m:t>
        </m:r>
      </m:oMath>
      <w:r>
        <w:t xml:space="preserve"> </w:t>
      </w:r>
      <w:r>
        <w:t xml:space="preserve">is selected per Section 4.15 (Figure 23).</w:t>
      </w:r>
    </w:p>
    <w:p>
      <w:pPr>
        <w:pStyle w:val="MDPI22heading2"/>
        <w:ind w:left="2608"/>
      </w:pPr>
      <w:r>
        <w:t xml:space="preserve">4.8 Two complementary denoisers</w:t>
      </w:r>
    </w:p>
    <w:p>
      <w:pPr>
        <w:pStyle w:val="MDPI32textnoindent"/>
        <w:ind w:left="2608"/>
      </w:pPr>
      <w:r>
        <w:t xml:space="preserve">The headline pipeline targets</w:t>
      </w:r>
      <w:r>
        <w:t xml:space="preserve"> </w:t>
      </w:r>
      <m:oMath>
        <m:r>
          <m:t>ρ</m:t>
        </m:r>
      </m:oMath>
      <w:r>
        <w:t xml:space="preserve">,</w:t>
      </w:r>
      <w:r>
        <w:t xml:space="preserve"> </w:t>
      </w:r>
      <m:oMath>
        <m:r>
          <m:t>D</m:t>
        </m:r>
      </m:oMath>
      <w:r>
        <w:t xml:space="preserve">,</w:t>
      </w:r>
      <w:r>
        <w:t xml:space="preserve"> </w:t>
      </w:r>
      <m:oMath>
        <m:r>
          <m:t>P</m:t>
        </m:r>
      </m:oMath>
      <w:r>
        <w:t xml:space="preserve">, and HOF simultaneously. Their labelled-corpus marginals have sharply different population statistics: the high-HOF tail and the high-</w:t>
      </w:r>
      <m:oMath>
        <m:r>
          <m:t>ρ</m:t>
        </m:r>
        <m:r>
          <m:t>D</m:t>
        </m:r>
        <m:r>
          <m:t>P</m:t>
        </m:r>
      </m:oMath>
      <w:r>
        <w:t xml:space="preserve"> </w:t>
      </w:r>
      <w:r>
        <w:t xml:space="preserve">tail barely overlap in latent space. A single denoiser must compromise between these tails. Either tail can be trained to saturate, but not both at once with one loss-weighting schedule. We therefore train two complementary denoisers, each tilted toward one tail via training-time oversampling, so that each saturates its own tail.</w:t>
      </w:r>
    </w:p>
    <w:p>
      <w:pPr>
        <w:pStyle w:val="MDPI31text"/>
        <w:ind w:left="2608"/>
      </w:pPr>
      <w:r>
        <w:rPr>
          <w:b/>
          <w:bCs/>
        </w:rPr>
        <w:t xml:space="preserve">DGLD-H</w:t>
      </w:r>
      <w:r>
        <w:t xml:space="preserve"> </w:t>
      </w:r>
      <w:r>
        <w:t xml:space="preserve">tilts toward the HOF tail (asymmetric high-tail oversampling on Tier-A/B, factor 5×, focused on heat of formation).</w:t>
      </w:r>
      <w:r>
        <w:t xml:space="preserve"> </w:t>
      </w:r>
      <w:r>
        <w:rPr>
          <w:b/>
          <w:bCs/>
        </w:rPr>
        <w:t xml:space="preserve">DGLD-P</w:t>
      </w:r>
      <w:r>
        <w:t xml:space="preserve"> </w:t>
      </w:r>
      <w:r>
        <w:t xml:space="preserve">tilts toward the</w:t>
      </w:r>
      <w:r>
        <w:t xml:space="preserve"> </w:t>
      </w:r>
      <m:oMath>
        <m:r>
          <m:t>ρ</m:t>
        </m:r>
        <m:r>
          <m:t>D</m:t>
        </m:r>
        <m:r>
          <m:t>P</m:t>
        </m:r>
      </m:oMath>
      <w:r>
        <w:t xml:space="preserve"> </w:t>
      </w:r>
      <w:r>
        <w:t xml:space="preserve">tail (Tier-A/B-only conditioning, +5× high-tail oversampling on the top decile of the joint</w:t>
      </w:r>
      <w:r>
        <w:t xml:space="preserve"> </w:t>
      </w:r>
      <m:oMath>
        <m:r>
          <m:t>ρ</m:t>
        </m:r>
        <m:r>
          <m:rPr>
            <m:sty m:val="p"/>
          </m:rPr>
          <m:t>/</m:t>
        </m:r>
        <m:r>
          <m:t>D</m:t>
        </m:r>
        <m:r>
          <m:rPr>
            <m:sty m:val="p"/>
          </m:rPr>
          <m:t>/</m:t>
        </m:r>
        <m:r>
          <m:t>P</m:t>
        </m:r>
      </m:oMath>
      <w:r>
        <w:t xml:space="preserve"> </w:t>
      </w:r>
      <w:r>
        <w:t xml:space="preserve">distribution,</w:t>
      </w:r>
      <w:r>
        <w:t xml:space="preserve"> </w:t>
      </w:r>
      <w:r>
        <w:rPr>
          <w:rStyle w:val="VerbatimChar"/>
        </w:rPr>
        <w:t xml:space="preserve">weighted_mask=true</w:t>
      </w:r>
      <w:r>
        <w:t xml:space="preserve">, property-dropout 0.30). Both are 44.6 M-parameter FiLM-ResNets with Section 4.7 architecture; only the training-data tilt differs. Hyperparameters of both checkpoints are listed in Table S3.</w:t>
      </w:r>
    </w:p>
    <w:p>
      <w:pPr>
        <w:pStyle w:val="MDPI31text"/>
        <w:ind w:left="2608"/>
      </w:pPr>
      <w:r>
        <w:t xml:space="preserve">Empirically DGLD-H supplies high-HOF leads and DGLD-P supplies high-</w:t>
      </w:r>
      <m:oMath>
        <m:r>
          <m:t>ρ</m:t>
        </m:r>
        <m:r>
          <m:rPr>
            <m:sty m:val="p"/>
          </m:rPr>
          <m:t>/</m:t>
        </m:r>
        <m:r>
          <m:t>P</m:t>
        </m:r>
      </m:oMath>
      <w:r>
        <w:t xml:space="preserve"> </w:t>
      </w:r>
      <w:r>
        <w:t xml:space="preserve">leads. Combination happens post-decode in Section 4.14 (Figure 22): we union the lanes' SMILES pools and run them once through the rerank funnel. The combination is a post-decode union of the two lanes' SMILES pools, with no weight interpolation or output averaging.</w:t>
      </w:r>
    </w:p>
    <w:p>
      <w:pPr>
        <w:pStyle w:val="MDPI22heading2"/>
        <w:ind w:left="2608"/>
      </w:pPr>
      <w:r>
        <w:t xml:space="preserve">4.9 Labeling for guidance-head training</w:t>
      </w:r>
    </w:p>
    <w:p>
      <w:pPr>
        <w:pStyle w:val="MDPI32textnoindent"/>
        <w:ind w:left="2608"/>
      </w:pPr>
      <w:r>
        <w:t xml:space="preserve">Each score-model head needs per-row training labels. We run six independent label-source pipelines once over the corpus, before any score-model training begins. Three feed active steering signals (Viability, Sensitivity, Hazard) with energetic-domain or rule-based labels; three feed auxiliary multi-task heads (Performance, SA, SC) with smoke-ensemble or drug-domain labels.</w:t>
      </w:r>
    </w:p>
    <w:p>
      <w:pPr>
        <w:pStyle w:val="MDPI31text"/>
        <w:ind w:left="2608"/>
      </w:pPr>
      <w:r>
        <w:t xml:space="preserve">Each head plays a distinct role.</w:t>
      </w:r>
      <w:r>
        <w:t xml:space="preserve"> </w:t>
      </w:r>
      <w:r>
        <w:rPr>
          <w:b/>
          <w:bCs/>
        </w:rPr>
        <w:t xml:space="preserve">Viability</w:t>
      </w:r>
      <w:r>
        <w:t xml:space="preserve"> </w:t>
      </w:r>
      <w:r>
        <w:t xml:space="preserve">is the gatekeeper gradient that steers away from non-energetic regions;</w:t>
      </w:r>
      <w:r>
        <w:t xml:space="preserve"> </w:t>
      </w:r>
      <w:r>
        <w:rPr>
          <w:b/>
          <w:bCs/>
        </w:rPr>
        <w:t xml:space="preserve">Sensitivity</w:t>
      </w:r>
      <w:r>
        <w:t xml:space="preserve"> </w:t>
      </w:r>
      <w:r>
        <w:t xml:space="preserve">and</w:t>
      </w:r>
      <w:r>
        <w:t xml:space="preserve"> </w:t>
      </w:r>
      <w:r>
        <w:rPr>
          <w:b/>
          <w:bCs/>
        </w:rPr>
        <w:t xml:space="preserve">Hazard</w:t>
      </w:r>
      <w:r>
        <w:t xml:space="preserve"> </w:t>
      </w:r>
      <w:r>
        <w:t xml:space="preserve">are the safety axes the user cares about. These three are the active steering signals invoked at sample time.</w:t>
      </w:r>
      <w:r>
        <w:t xml:space="preserve"> </w:t>
      </w:r>
      <w:r>
        <w:rPr>
          <w:b/>
          <w:bCs/>
        </w:rPr>
        <w:t xml:space="preserve">Performance</w:t>
      </w:r>
      <w:r>
        <w:t xml:space="preserve">,</w:t>
      </w:r>
      <w:r>
        <w:t xml:space="preserve"> </w:t>
      </w:r>
      <w:r>
        <w:rPr>
          <w:b/>
          <w:bCs/>
        </w:rPr>
        <w:t xml:space="preserve">SA</w:t>
      </w:r>
      <w:r>
        <w:t xml:space="preserve">, and</w:t>
      </w:r>
      <w:r>
        <w:t xml:space="preserve"> </w:t>
      </w:r>
      <w:r>
        <w:rPr>
          <w:b/>
          <w:bCs/>
        </w:rPr>
        <w:t xml:space="preserve">SC</w:t>
      </w:r>
      <w:r>
        <w:t xml:space="preserve"> </w:t>
      </w:r>
      <w:r>
        <w:t xml:space="preserve">are auxiliary multi-task heads: trained on the shared trunk for regularisation but not invoked in the steering bus. Stage 2 of the Figure 21 reranker uses the Uni-Mol smoke ensemble (Section 4.13) for property scoring, not the latent Performance head.</w:t>
      </w:r>
    </w:p>
    <w:p>
      <w:pPr>
        <w:pStyle w:val="MDPI31text"/>
        <w:ind w:left="2608"/>
      </w:pPr>
      <w:r>
        <w:t xml:space="preserve">Figure 17 walks the base label pipelines. A Random Forest on Morgan FP + RDKit descriptors yields</w:t>
      </w:r>
      <w:r>
        <w:t xml:space="preserve"> </w:t>
      </w:r>
      <m:oMath>
        <m:sSub>
          <m:e>
            <m:r>
              <m:t>y</m:t>
            </m:r>
          </m:e>
          <m:sub>
            <m:r>
              <m:rPr>
                <m:nor/>
                <m:sty m:val="p"/>
              </m:rPr>
              <m:t>viab</m:t>
            </m:r>
          </m:sub>
        </m:sSub>
      </m:oMath>
      <w:r>
        <w:t xml:space="preserve">; a Politzer–Murray BDE chemotype-class fit on Huang &amp; Massa</w:t>
      </w:r>
      <w:r>
        <w:t xml:space="preserve"> </w:t>
      </w:r>
      <w:hyperlink w:anchor="ref-huang2021applying">
        <w:r>
          <w:rPr>
            <w:rStyle w:val="Hyperlink"/>
          </w:rPr>
          <w:t xml:space="preserve">[44]</w:t>
        </w:r>
      </w:hyperlink>
      <w:r>
        <w:t xml:space="preserve"> </w:t>
      </w:r>
      <m:oMath>
        <m:sSub>
          <m:e>
            <m:r>
              <m:t>h</m:t>
            </m:r>
          </m:e>
          <m:sub>
            <m:r>
              <m:t>50</m:t>
            </m:r>
          </m:sub>
        </m:sSub>
      </m:oMath>
      <w:r>
        <w:t xml:space="preserve"> </w:t>
      </w:r>
      <w:r>
        <w:t xml:space="preserve">data yields</w:t>
      </w:r>
      <w:r>
        <w:t xml:space="preserve"> </w:t>
      </w:r>
      <m:oMath>
        <m:sSub>
          <m:e>
            <m:r>
              <m:t>y</m:t>
            </m:r>
          </m:e>
          <m:sub>
            <m:r>
              <m:rPr>
                <m:nor/>
                <m:sty m:val="p"/>
              </m:rPr>
              <m:t>sens</m:t>
            </m:r>
          </m:sub>
        </m:sSub>
      </m:oMath>
      <w:r>
        <w:t xml:space="preserve"> </w:t>
      </w:r>
      <w:r>
        <w:t xml:space="preserve">(y_sens ∈ [0,1] with 1 = high sensitivity / dangerous; guidance descends this signal to reduce predicted sensitivity); the chemist-curated SMARTS catalog plus the Bruns–Watson demerit list</w:t>
      </w:r>
      <w:r>
        <w:t xml:space="preserve"> </w:t>
      </w:r>
      <w:hyperlink w:anchor="ref-bruns2020watson">
        <w:r>
          <w:rPr>
            <w:rStyle w:val="Hyperlink"/>
          </w:rPr>
          <w:t xml:space="preserve">[70]</w:t>
        </w:r>
      </w:hyperlink>
      <w:r>
        <w:t xml:space="preserve"> </w:t>
      </w:r>
      <w:r>
        <w:t xml:space="preserve">yields</w:t>
      </w:r>
      <w:r>
        <w:t xml:space="preserve"> </w:t>
      </w:r>
      <m:oMath>
        <m:sSub>
          <m:e>
            <m:r>
              <m:t>y</m:t>
            </m:r>
          </m:e>
          <m:sub>
            <m:r>
              <m:rPr>
                <m:nor/>
                <m:sty m:val="p"/>
              </m:rPr>
              <m:t>haz</m:t>
            </m:r>
          </m:sub>
        </m:sSub>
      </m:oMath>
      <w:r>
        <w:t xml:space="preserve">; and a Uni-Mol smoke ensemble yields</w:t>
      </w:r>
      <w:r>
        <w:t xml:space="preserve"> </w:t>
      </w:r>
      <m:oMath>
        <m:sSub>
          <m:e>
            <m:r>
              <m:t>y</m:t>
            </m:r>
          </m:e>
          <m:sub>
            <m:r>
              <m:rPr>
                <m:nor/>
                <m:sty m:val="p"/>
              </m:rPr>
              <m:t>perf</m:t>
            </m:r>
          </m:sub>
        </m:sSub>
        <m:r>
          <m:rPr>
            <m:sty m:val="p"/>
          </m:rPr>
          <m:t>∈</m:t>
        </m:r>
        <m:sSup>
          <m:e>
            <m:r>
              <m:rPr>
                <m:scr m:val="double-struck"/>
                <m:sty m:val="p"/>
              </m:rPr>
              <m:t>R</m:t>
            </m:r>
          </m:e>
          <m:sup>
            <m:r>
              <m:t>4</m:t>
            </m:r>
          </m:sup>
        </m:sSup>
      </m:oMath>
      <w:r>
        <w:t xml:space="preserve"> </w:t>
      </w:r>
      <w:r>
        <w:t xml:space="preserve">over</w:t>
      </w:r>
      <w:r>
        <w:t xml:space="preserve"> </w:t>
      </w:r>
      <m:oMath>
        <m:r>
          <m:rPr>
            <m:sty m:val="p"/>
          </m:rPr>
          <m:t>(</m:t>
        </m:r>
        <m:r>
          <m:t>ρ</m:t>
        </m:r>
        <m:r>
          <m:rPr>
            <m:sty m:val="p"/>
          </m:rPr>
          <m:t>,</m:t>
        </m:r>
        <m:r>
          <m:t>D</m:t>
        </m:r>
        <m:r>
          <m:rPr>
            <m:sty m:val="p"/>
          </m:rPr>
          <m:t>,</m:t>
        </m:r>
        <m:r>
          <m:t>P</m:t>
        </m:r>
        <m:r>
          <m:rPr>
            <m:sty m:val="p"/>
          </m:rPr>
          <m:t>,</m:t>
        </m:r>
        <m:r>
          <m:rPr>
            <m:sty m:val="p"/>
          </m:rPr>
          <m:t>H</m:t>
        </m:r>
        <m:r>
          <m:rPr>
            <m:sty m:val="p"/>
          </m:rPr>
          <m:t>O</m:t>
        </m:r>
        <m:r>
          <m:rPr>
            <m:sty m:val="p"/>
          </m:rPr>
          <m:t>F</m:t>
        </m:r>
        <m:r>
          <m:rPr>
            <m:sty m:val="p"/>
          </m:rPr>
          <m:t>)</m:t>
        </m:r>
      </m:oMath>
      <w:r>
        <w:t xml:space="preserve">. The cached LIMO</w:t>
      </w:r>
      <w:r>
        <w:t xml:space="preserve"> </w:t>
      </w:r>
      <m:oMath>
        <m:r>
          <m:t>μ</m:t>
        </m:r>
      </m:oMath>
      <w:r>
        <w:t xml:space="preserve"> </w:t>
      </w:r>
      <w:r>
        <w:t xml:space="preserve">is held separately for the noised-latent training of the score model. Random Forest probability is portable, smooth, and decoupled; see Supplementary Section B.1.</w:t>
      </w:r>
    </w:p>
    <w:p xmlns:a="http://schemas.openxmlformats.org/drawingml/2006/main" xmlns:pic="http://schemas.openxmlformats.org/drawingml/2006/picture">
      <w:pPr>
        <w:pStyle w:val="MDPI52figure"/>
        <w:ind w:left="2608"/>
        <w:jc w:val="center"/>
      </w:pPr>
      <w:r>
        <w:drawing>
          <wp:inline>
            <wp:extent cx="4989830" cy="2806779"/>
            <wp:effectExtent b="0" l="0" r="0" t="0"/>
            <wp:docPr descr="DGLD score-model data labeling: SMILES + LIMO latent + four label-source models" title="" id="99" name="Picture"/>
            <a:graphic>
              <a:graphicData uri="http://schemas.openxmlformats.org/drawingml/2006/picture">
                <pic:pic>
                  <pic:nvPicPr>
                    <pic:cNvPr descr="../figs/fig4e1_data_labeling.png" id="100" name="Picture"/>
                    <pic:cNvPicPr>
                      <a:picLocks noChangeArrowheads="1" noChangeAspect="1"/>
                    </pic:cNvPicPr>
                  </pic:nvPicPr>
                  <pic:blipFill>
                    <a:blip r:embed="rId34"/>
                    <a:stretch>
                      <a:fillRect/>
                    </a:stretch>
                  </pic:blipFill>
                  <pic:spPr bwMode="auto">
                    <a:xfrm>
                      <a:off x="0" y="0"/>
                      <a:ext cx="4989830" cy="2806779"/>
                    </a:xfrm>
                    <a:prstGeom prst="rect">
                      <a:avLst/>
                    </a:prstGeom>
                    <a:noFill/>
                    <a:ln w="9525">
                      <a:noFill/>
                      <a:headEnd/>
                      <a:tailEnd/>
                    </a:ln>
                  </pic:spPr>
                </pic:pic>
              </a:graphicData>
            </a:graphic>
          </wp:inline>
        </w:drawing>
      </w:r>
    </w:p>
    <w:p>
      <w:pPr>
        <w:pStyle w:val="MDPI51figurecaption"/>
        <w:ind w:left="2608"/>
      </w:pPr>
      <w:r>
        <w:rPr>
          <w:b/>
          <w:bCs/>
        </w:rPr>
        <w:t xml:space="preserve">Figure 17.</w:t>
      </w:r>
      <w:r>
        <w:t xml:space="preserve"> </w:t>
      </w:r>
      <w:r>
        <w:t xml:space="preserve">Four offline pipelines (run once per corpus) generate per-row labels: Random Forest</w:t>
      </w:r>
      <w:r>
        <w:t xml:space="preserve"> </w:t>
      </w:r>
      <m:oMath>
        <m:r>
          <m:rPr>
            <m:sty m:val="p"/>
          </m:rPr>
          <m:t>→</m:t>
        </m:r>
        <m:sSub>
          <m:e>
            <m:r>
              <m:t>y</m:t>
            </m:r>
          </m:e>
          <m:sub>
            <m:r>
              <m:rPr>
                <m:nor/>
                <m:sty m:val="p"/>
              </m:rPr>
              <m:t>viab</m:t>
            </m:r>
          </m:sub>
        </m:sSub>
      </m:oMath>
      <w:r>
        <w:t xml:space="preserve">; Politzer–Murray BDE</w:t>
      </w:r>
      <w:r>
        <w:t xml:space="preserve"> </w:t>
      </w:r>
      <m:oMath>
        <m:r>
          <m:rPr>
            <m:sty m:val="p"/>
          </m:rPr>
          <m:t>→</m:t>
        </m:r>
        <m:sSub>
          <m:e>
            <m:r>
              <m:t>y</m:t>
            </m:r>
          </m:e>
          <m:sub>
            <m:r>
              <m:rPr>
                <m:nor/>
                <m:sty m:val="p"/>
              </m:rPr>
              <m:t>sens</m:t>
            </m:r>
          </m:sub>
        </m:sSub>
      </m:oMath>
      <w:r>
        <w:t xml:space="preserve">; SMARTS + Bruns–Watson</w:t>
      </w:r>
      <w:r>
        <w:t xml:space="preserve"> </w:t>
      </w:r>
      <m:oMath>
        <m:r>
          <m:rPr>
            <m:sty m:val="p"/>
          </m:rPr>
          <m:t>→</m:t>
        </m:r>
        <m:sSub>
          <m:e>
            <m:r>
              <m:t>y</m:t>
            </m:r>
          </m:e>
          <m:sub>
            <m:r>
              <m:rPr>
                <m:nor/>
                <m:sty m:val="p"/>
              </m:rPr>
              <m:t>haz</m:t>
            </m:r>
          </m:sub>
        </m:sSub>
      </m:oMath>
      <w:r>
        <w:t xml:space="preserve">; Uni-Mol smoke ensemble</w:t>
      </w:r>
      <w:r>
        <w:t xml:space="preserve"> </w:t>
      </w:r>
      <m:oMath>
        <m:r>
          <m:rPr>
            <m:sty m:val="p"/>
          </m:rPr>
          <m:t>→</m:t>
        </m:r>
        <m:sSub>
          <m:e>
            <m:r>
              <m:t>y</m:t>
            </m:r>
          </m:e>
          <m:sub>
            <m:r>
              <m:rPr>
                <m:nor/>
                <m:sty m:val="p"/>
              </m:rPr>
              <m:t>perf</m:t>
            </m:r>
          </m:sub>
        </m:sSub>
        <m:r>
          <m:rPr>
            <m:sty m:val="p"/>
          </m:rPr>
          <m:t>∈</m:t>
        </m:r>
        <m:sSup>
          <m:e>
            <m:r>
              <m:rPr>
                <m:scr m:val="double-struck"/>
                <m:sty m:val="p"/>
              </m:rPr>
              <m:t>R</m:t>
            </m:r>
          </m:e>
          <m:sup>
            <m:r>
              <m:t>4</m:t>
            </m:r>
          </m:sup>
        </m:sSup>
      </m:oMath>
      <w:r>
        <w:t xml:space="preserve">. Cached LIMO</w:t>
      </w:r>
      <w:r>
        <w:t xml:space="preserve"> </w:t>
      </w:r>
      <m:oMath>
        <m:r>
          <m:t>z</m:t>
        </m:r>
      </m:oMath>
      <w:r>
        <w:t xml:space="preserve"> </w:t>
      </w:r>
      <w:r>
        <w:t xml:space="preserve">is held for Figure 19 (Self-distillation). Sources in Table S4.</w:t>
      </w:r>
    </w:p>
    <w:p>
      <w:pPr>
        <w:pStyle w:val="MDPI22heading2"/>
        <w:ind w:left="2608"/>
      </w:pPr>
      <w:r>
        <w:t xml:space="preserve">4.10 Score-model training</w:t>
      </w:r>
    </w:p>
    <w:p>
      <w:pPr>
        <w:pStyle w:val="MDPI32textnoindent"/>
        <w:ind w:left="2608"/>
      </w:pPr>
      <w:r>
        <w:t xml:space="preserve">All six heads are trained jointly on a shared 4-block FiLM-MLP trunk under multi-task supervision. The trunk is regularised by all six losses; at sample time, only the three active steering signals are actually invoked. Auxiliary multi-task heads (Performance, SA, SC) earn their trunk-improving role during training but stay quiet during sampling.</w:t>
      </w:r>
    </w:p>
    <w:p>
      <w:pPr>
        <w:pStyle w:val="MDPI31text"/>
        <w:ind w:left="2608"/>
      </w:pPr>
      <w:r>
        <w:t xml:space="preserve">The score-model trunk and six heads are trained on noised LIMO latents using the labels of Section 4.9 under multi-task supervision: three of the six (Viability, Sensitivity, Hazard) contribute steering signals at sample time, three (Performance, SA, SC) are auxiliary multi-task signals trained for trunk regularisation only.</w:t>
      </w:r>
    </w:p>
    <w:p>
      <w:pPr>
        <w:pStyle w:val="MDPI31text"/>
        <w:ind w:left="2608"/>
      </w:pPr>
      <w:r>
        <w:t xml:space="preserve">Figure 18 walks score-model training. A shared 4-block FiLM-MLP trunk (1024-d hidden) consumes</w:t>
      </w:r>
      <w:r>
        <w:t xml:space="preserve"> </w:t>
      </w:r>
      <m:oMath>
        <m:r>
          <m:rPr>
            <m:sty m:val="p"/>
          </m:rPr>
          <m:t>(</m:t>
        </m:r>
        <m:sSub>
          <m:e>
            <m:r>
              <m:t>z</m:t>
            </m:r>
          </m:e>
          <m:sub>
            <m:r>
              <m:t>t</m:t>
            </m:r>
          </m:sub>
        </m:sSub>
        <m:r>
          <m:rPr>
            <m:sty m:val="p"/>
          </m:rPr>
          <m:t>,</m:t>
        </m:r>
        <m:sSub>
          <m:e>
            <m:r>
              <m:t>σ</m:t>
            </m:r>
          </m:e>
          <m:sub>
            <m:r>
              <m:t>t</m:t>
            </m:r>
          </m:sub>
        </m:sSub>
        <m:r>
          <m:rPr>
            <m:sty m:val="p"/>
          </m:rPr>
          <m:t>)</m:t>
        </m:r>
      </m:oMath>
      <w:r>
        <w:t xml:space="preserve">, where</w:t>
      </w:r>
      <w:r>
        <w:t xml:space="preserve"> </w:t>
      </w:r>
      <m:oMath>
        <m:sSub>
          <m:e>
            <m:r>
              <m:t>σ</m:t>
            </m:r>
          </m:e>
          <m:sub>
            <m:r>
              <m:t>t</m:t>
            </m:r>
          </m:sub>
        </m:sSub>
        <m:r>
          <m:rPr>
            <m:sty m:val="p"/>
          </m:rPr>
          <m:t>=</m:t>
        </m:r>
        <m:rad>
          <m:radPr>
            <m:degHide m:val="on"/>
          </m:radPr>
          <m:deg/>
          <m:e>
            <m:r>
              <m:t>1</m:t>
            </m:r>
            <m:r>
              <m:rPr>
                <m:sty m:val="p"/>
              </m:rPr>
              <m:t>−</m:t>
            </m:r>
            <m:sSub>
              <m:e>
                <m:acc>
                  <m:accPr>
                    <m:chr m:val="‾"/>
                  </m:accPr>
                  <m:e>
                    <m:r>
                      <m:t>α</m:t>
                    </m:r>
                  </m:e>
                </m:acc>
              </m:e>
              <m:sub>
                <m:r>
                  <m:t>t</m:t>
                </m:r>
              </m:sub>
            </m:sSub>
          </m:e>
        </m:rad>
      </m:oMath>
      <w:r>
        <w:t xml:space="preserve"> </w:t>
      </w:r>
      <w:r>
        <w:t xml:space="preserve">is embedded into a 128-d sinusoidal token. Six heads branch off the trunk: Viability and Hazard are sigmoid heads trained with binary cross-entropy; Sensitivity, SA, and SC are smooth-L1 regressors; Performance is a 4-vector smooth-L1 regressor on</w:t>
      </w:r>
      <w:r>
        <w:t xml:space="preserve"> </w:t>
      </w:r>
      <m:oMath>
        <m:r>
          <m:rPr>
            <m:sty m:val="p"/>
          </m:rPr>
          <m:t>(</m:t>
        </m:r>
        <m:r>
          <m:t>ρ</m:t>
        </m:r>
        <m:r>
          <m:rPr>
            <m:sty m:val="p"/>
          </m:rPr>
          <m:t>,</m:t>
        </m:r>
        <m:r>
          <m:t>D</m:t>
        </m:r>
        <m:r>
          <m:rPr>
            <m:sty m:val="p"/>
          </m:rPr>
          <m:t>,</m:t>
        </m:r>
        <m:r>
          <m:t>P</m:t>
        </m:r>
        <m:r>
          <m:rPr>
            <m:sty m:val="p"/>
          </m:rPr>
          <m:t>,</m:t>
        </m:r>
        <m:r>
          <m:rPr>
            <m:sty m:val="p"/>
          </m:rPr>
          <m:t>H</m:t>
        </m:r>
        <m:r>
          <m:rPr>
            <m:sty m:val="p"/>
          </m:rPr>
          <m:t>O</m:t>
        </m:r>
        <m:r>
          <m:rPr>
            <m:sty m:val="p"/>
          </m:rPr>
          <m:t>F</m:t>
        </m:r>
        <m:r>
          <m:rPr>
            <m:sty m:val="p"/>
          </m:rPr>
          <m:t>)</m:t>
        </m:r>
      </m:oMath>
      <w:r>
        <w:t xml:space="preserve">. Crucially, training data are</w:t>
      </w:r>
      <w:r>
        <w:t xml:space="preserve"> </w:t>
      </w:r>
      <w:r>
        <w:rPr>
          <w:i/>
          <w:iCs/>
        </w:rPr>
        <w:t xml:space="preserve">noised</w:t>
      </w:r>
      <w:r>
        <w:t xml:space="preserve"> </w:t>
      </w:r>
      <w:r>
        <w:t xml:space="preserve">latents at uniform</w:t>
      </w:r>
      <w:r>
        <w:t xml:space="preserve"> </w:t>
      </w:r>
      <m:oMath>
        <m:r>
          <m:t>t</m:t>
        </m:r>
      </m:oMath>
      <w:r>
        <w:t xml:space="preserve">, not clean</w:t>
      </w:r>
      <w:r>
        <w:t xml:space="preserve"> </w:t>
      </w:r>
      <m:oMath>
        <m:r>
          <m:t>μ</m:t>
        </m:r>
      </m:oMath>
      <w:r>
        <w:t xml:space="preserve">, so the gradient is queried at every</w:t>
      </w:r>
      <w:r>
        <w:t xml:space="preserve"> </w:t>
      </w:r>
      <m:oMath>
        <m:sSub>
          <m:e>
            <m:r>
              <m:t>σ</m:t>
            </m:r>
          </m:e>
          <m:sub>
            <m:r>
              <m:t>t</m:t>
            </m:r>
          </m:sub>
        </m:sSub>
      </m:oMath>
      <w:r>
        <w:t xml:space="preserve"> </w:t>
      </w:r>
      <w:r>
        <w:t xml:space="preserve">along the sampling trajectory. The total loss is the availability-mask-gated sum</w:t>
      </w:r>
    </w:p>
    <w:p>
      <w:pPr>
        <w:pStyle w:val="MDPI39equation"/>
        <w:ind w:left="2608"/>
      </w:pPr>
      <m:oMathPara>
        <m:oMathParaPr>
          <m:jc m:val="center"/>
        </m:oMathParaPr>
        <m:oMath>
          <m:sSub>
            <m:e>
              <m:r>
                <m:rPr>
                  <m:scr m:val="script"/>
                  <m:sty m:val="p"/>
                </m:rPr>
                <m:t>L</m:t>
              </m:r>
            </m:e>
            <m:sub>
              <m:r>
                <m:rPr>
                  <m:nor/>
                  <m:sty m:val="p"/>
                </m:rPr>
                <m:t>score</m:t>
              </m:r>
            </m:sub>
          </m:sSub>
          <m:r>
            <m:rPr>
              <m:sty m:val="p"/>
            </m:rPr>
            <m:t>=</m:t>
          </m:r>
          <m:nary>
            <m:naryPr>
              <m:chr m:val="∑"/>
              <m:limLoc m:val="undOvr"/>
              <m:subHide m:val="off"/>
              <m:supHide m:val="on"/>
            </m:naryPr>
            <m:sub>
              <m:r>
                <m:t>k</m:t>
              </m:r>
            </m:sub>
            <m:sup>
              <m:r>
                <m:t>​</m:t>
              </m:r>
            </m:sup>
            <m:e>
              <m:sSub>
                <m:e>
                  <m:r>
                    <m:t>a</m:t>
                  </m:r>
                </m:e>
                <m:sub>
                  <m:r>
                    <m:t>k</m:t>
                  </m:r>
                </m:sub>
              </m:sSub>
            </m:e>
          </m:nary>
          <m:r>
            <m:rPr>
              <m:sty m:val="p"/>
            </m:rPr>
            <m:t>⋅</m:t>
          </m:r>
          <m:sSub>
            <m:e>
              <m:r>
                <m:t>w</m:t>
              </m:r>
            </m:e>
            <m:sub>
              <m:r>
                <m:t>k</m:t>
              </m:r>
            </m:sub>
          </m:sSub>
          <m:r>
            <m:rPr>
              <m:sty m:val="p"/>
            </m:rPr>
            <m:t>⋅</m:t>
          </m:r>
          <m:sSub>
            <m:e>
              <m:r>
                <m:rPr>
                  <m:scr m:val="script"/>
                  <m:sty m:val="p"/>
                </m:rPr>
                <m:t>L</m:t>
              </m:r>
            </m:e>
            <m:sub>
              <m:r>
                <m:t>k</m:t>
              </m:r>
            </m:sub>
          </m:sSub>
          <m:d>
            <m:dPr>
              <m:begChr m:val="("/>
              <m:sepChr m:val=""/>
              <m:endChr m:val=")"/>
              <m:grow/>
            </m:dPr>
            <m:e>
              <m:sSub>
                <m:e>
                  <m:acc>
                    <m:accPr>
                      <m:chr m:val="̂"/>
                    </m:accPr>
                    <m:e>
                      <m:r>
                        <m:t>y</m:t>
                      </m:r>
                    </m:e>
                  </m:acc>
                </m:e>
                <m:sub>
                  <m:r>
                    <m:t>k</m:t>
                  </m:r>
                </m:sub>
              </m:sSub>
              <m:r>
                <m:rPr>
                  <m:sty m:val="p"/>
                </m:rPr>
                <m:t>(</m:t>
              </m:r>
              <m:sSub>
                <m:e>
                  <m:r>
                    <m:t>z</m:t>
                  </m:r>
                </m:e>
                <m:sub>
                  <m:r>
                    <m:t>t</m:t>
                  </m:r>
                </m:sub>
              </m:sSub>
              <m:r>
                <m:rPr>
                  <m:sty m:val="p"/>
                </m:rPr>
                <m:t>,</m:t>
              </m:r>
              <m:sSub>
                <m:e>
                  <m:r>
                    <m:t>σ</m:t>
                  </m:r>
                </m:e>
                <m:sub>
                  <m:r>
                    <m:t>t</m:t>
                  </m:r>
                </m:sub>
              </m:sSub>
              <m:r>
                <m:rPr>
                  <m:sty m:val="p"/>
                </m:rPr>
                <m:t>)</m:t>
              </m:r>
              <m:r>
                <m:rPr>
                  <m:sty m:val="p"/>
                </m:rPr>
                <m:t>,</m:t>
              </m:r>
              <m:r>
                <m:t> </m:t>
              </m:r>
              <m:sSub>
                <m:e>
                  <m:r>
                    <m:t>y</m:t>
                  </m:r>
                </m:e>
                <m:sub>
                  <m:r>
                    <m:t>k</m:t>
                  </m:r>
                </m:sub>
              </m:sSub>
            </m:e>
          </m:d>
          <m:r>
            <m:rPr>
              <m:sty m:val="p"/>
            </m:rPr>
            <m:t>,</m:t>
          </m:r>
        </m:oMath>
      </m:oMathPara>
    </w:p>
    <w:p>
      <w:pPr>
        <w:pStyle w:val="MDPI32textnoindent"/>
        <w:ind w:left="2608"/>
      </w:pPr>
      <w:r>
        <w:t xml:space="preserve">where</w:t>
      </w:r>
      <w:r>
        <w:t xml:space="preserve"> </w:t>
      </w:r>
      <m:oMath>
        <m:r>
          <m:t>a</m:t>
        </m:r>
        <m:r>
          <m:rPr>
            <m:sty m:val="p"/>
          </m:rPr>
          <m:t>∈</m:t>
        </m:r>
        <m:r>
          <m:rPr>
            <m:sty m:val="p"/>
          </m:rPr>
          <m:t>{</m:t>
        </m:r>
        <m:r>
          <m:t>0</m:t>
        </m:r>
        <m:r>
          <m:rPr>
            <m:sty m:val="p"/>
          </m:rPr>
          <m:t>,</m:t>
        </m:r>
        <m:r>
          <m:t>1</m:t>
        </m:r>
        <m:sSup>
          <m:e>
            <m:r>
              <m:rPr>
                <m:sty m:val="p"/>
              </m:rPr>
              <m:t>}</m:t>
            </m:r>
          </m:e>
          <m:sup>
            <m:r>
              <m:t>6</m:t>
            </m:r>
          </m:sup>
        </m:sSup>
      </m:oMath>
      <w:r>
        <w:t xml:space="preserve"> </w:t>
      </w:r>
      <w:r>
        <w:t xml:space="preserve">is the per-head</w:t>
      </w:r>
      <w:r>
        <w:t xml:space="preserve"> </w:t>
      </w:r>
      <w:r>
        <w:rPr>
          <w:i/>
          <w:iCs/>
        </w:rPr>
        <w:t xml:space="preserve">availability</w:t>
      </w:r>
      <w:r>
        <w:t xml:space="preserve"> </w:t>
      </w:r>
      <w:r>
        <w:t xml:space="preserve">mask (distinct from the denoiser's per-property conditioning mask</w:t>
      </w:r>
      <w:r>
        <w:t xml:space="preserve"> </w:t>
      </w:r>
      <m:oMath>
        <m:r>
          <m:t>m</m:t>
        </m:r>
        <m:r>
          <m:rPr>
            <m:sty m:val="p"/>
          </m:rPr>
          <m:t>∈</m:t>
        </m:r>
        <m:r>
          <m:rPr>
            <m:sty m:val="p"/>
          </m:rPr>
          <m:t>{</m:t>
        </m:r>
        <m:r>
          <m:t>0</m:t>
        </m:r>
        <m:r>
          <m:rPr>
            <m:sty m:val="p"/>
          </m:rPr>
          <m:t>,</m:t>
        </m:r>
        <m:r>
          <m:t>1</m:t>
        </m:r>
        <m:sSup>
          <m:e>
            <m:r>
              <m:rPr>
                <m:sty m:val="p"/>
              </m:rPr>
              <m:t>}</m:t>
            </m:r>
          </m:e>
          <m:sup>
            <m:r>
              <m:t>4</m:t>
            </m:r>
          </m:sup>
        </m:sSup>
      </m:oMath>
      <w:r>
        <w:t xml:space="preserve"> </w:t>
      </w:r>
      <w:r>
        <w:t xml:space="preserve">of Figs 15 and 16) and</w:t>
      </w:r>
      <w:r>
        <w:t xml:space="preserve"> </w:t>
      </w:r>
      <m:oMath>
        <m:sSub>
          <m:e>
            <m:r>
              <m:t>w</m:t>
            </m:r>
          </m:e>
          <m:sub>
            <m:r>
              <m:t>k</m:t>
            </m:r>
          </m:sub>
        </m:sSub>
      </m:oMath>
      <w:r>
        <w:t xml:space="preserve"> </w:t>
      </w:r>
      <w:r>
        <w:t xml:space="preserve">are static head weights chosen so each</w:t>
      </w:r>
      <w:r>
        <w:t xml:space="preserve"> </w:t>
      </w:r>
      <m:oMath>
        <m:sSub>
          <m:e>
            <m:r>
              <m:rPr>
                <m:scr m:val="script"/>
                <m:sty m:val="p"/>
              </m:rPr>
              <m:t>L</m:t>
            </m:r>
          </m:e>
          <m:sub>
            <m:r>
              <m:t>k</m:t>
            </m:r>
          </m:sub>
        </m:sSub>
      </m:oMath>
      <w:r>
        <w:t xml:space="preserve"> </w:t>
      </w:r>
      <w:r>
        <w:t xml:space="preserve">sits at</w:t>
      </w:r>
      <w:r>
        <w:t xml:space="preserve"> </w:t>
      </w:r>
      <m:oMath>
        <m:r>
          <m:rPr>
            <m:scr m:val="script"/>
            <m:sty m:val="p"/>
          </m:rPr>
          <m:t>O</m:t>
        </m:r>
        <m:r>
          <m:rPr>
            <m:sty m:val="p"/>
          </m:rPr>
          <m:t>(</m:t>
        </m:r>
        <m:r>
          <m:t>1</m:t>
        </m:r>
        <m:r>
          <m:rPr>
            <m:sty m:val="p"/>
          </m:rPr>
          <m:t>)</m:t>
        </m:r>
      </m:oMath>
      <w:r>
        <w:t xml:space="preserve"> </w:t>
      </w:r>
      <w:r>
        <w:t xml:space="preserve">at convergence (values in Table S3). Optimiser AdamW, peak LR</w:t>
      </w:r>
      <w:r>
        <w:t xml:space="preserve"> </w:t>
      </w:r>
      <m:oMath>
        <m:r>
          <m:t>2</m:t>
        </m:r>
        <m:r>
          <m:rPr>
            <m:sty m:val="p"/>
          </m:rPr>
          <m:t>×</m:t>
        </m:r>
        <m:sSup>
          <m:e>
            <m:r>
              <m:t>10</m:t>
            </m:r>
          </m:e>
          <m:sup>
            <m:r>
              <m:rPr>
                <m:sty m:val="p"/>
              </m:rPr>
              <m:t>−</m:t>
            </m:r>
            <m:r>
              <m:t>4</m:t>
            </m:r>
          </m:sup>
        </m:sSup>
      </m:oMath>
      <w:r>
        <w:t xml:space="preserve">, cosine decay, batch 1024,</w:t>
      </w:r>
      <w:r>
        <w:t xml:space="preserve"> </w:t>
      </w:r>
      <m:oMath>
        <m:r>
          <m:rPr>
            <m:sty m:val="p"/>
          </m:rPr>
          <m:t>∼</m:t>
        </m:r>
      </m:oMath>
      <w:r>
        <w:t xml:space="preserve">40k steps, EMA decay 0.999.</w:t>
      </w:r>
    </w:p>
    <w:p xmlns:a="http://schemas.openxmlformats.org/drawingml/2006/main" xmlns:pic="http://schemas.openxmlformats.org/drawingml/2006/picture">
      <w:pPr>
        <w:pStyle w:val="MDPI52figure"/>
        <w:ind w:left="2608"/>
        <w:jc w:val="center"/>
      </w:pPr>
      <w:r>
        <w:drawing>
          <wp:inline>
            <wp:extent cx="4989830" cy="2809951"/>
            <wp:effectExtent b="0" l="0" r="0" t="0"/>
            <wp:docPr descr="DGLD guidance training: shared FiLM-MLP trunk + 4 heads + per-head losses" title="" id="104" name="Picture"/>
            <a:graphic>
              <a:graphicData uri="http://schemas.openxmlformats.org/drawingml/2006/picture">
                <pic:pic>
                  <pic:nvPicPr>
                    <pic:cNvPr descr="../figs/fig4e1_guide_train.png" id="105" name="Picture"/>
                    <pic:cNvPicPr>
                      <a:picLocks noChangeArrowheads="1" noChangeAspect="1"/>
                    </pic:cNvPicPr>
                  </pic:nvPicPr>
                  <pic:blipFill>
                    <a:blip r:embed="rId35"/>
                    <a:stretch>
                      <a:fillRect/>
                    </a:stretch>
                  </pic:blipFill>
                  <pic:spPr bwMode="auto">
                    <a:xfrm>
                      <a:off x="0" y="0"/>
                      <a:ext cx="4989830" cy="2809951"/>
                    </a:xfrm>
                    <a:prstGeom prst="rect">
                      <a:avLst/>
                    </a:prstGeom>
                    <a:noFill/>
                    <a:ln w="9525">
                      <a:noFill/>
                      <a:headEnd/>
                      <a:tailEnd/>
                    </a:ln>
                  </pic:spPr>
                </pic:pic>
              </a:graphicData>
            </a:graphic>
          </wp:inline>
        </w:drawing>
      </w:r>
    </w:p>
    <w:p>
      <w:pPr>
        <w:pStyle w:val="MDPI51figurecaption"/>
        <w:ind w:left="2608"/>
      </w:pPr>
      <w:r>
        <w:rPr>
          <w:b/>
          <w:bCs/>
        </w:rPr>
        <w:t xml:space="preserve">Figure 18.</w:t>
      </w:r>
      <w:r>
        <w:t xml:space="preserve"> </w:t>
      </w:r>
      <w:r>
        <w:t xml:space="preserve">Forward-diffused latent</w:t>
      </w:r>
      <w:r>
        <w:t xml:space="preserve"> </w:t>
      </w:r>
      <m:oMath>
        <m:sSub>
          <m:e>
            <m:r>
              <m:t>z</m:t>
            </m:r>
          </m:e>
          <m:sub>
            <m:r>
              <m:t>t</m:t>
            </m:r>
          </m:sub>
        </m:sSub>
      </m:oMath>
      <w:r>
        <w:t xml:space="preserve"> </w:t>
      </w:r>
      <w:r>
        <w:t xml:space="preserve">and the</w:t>
      </w:r>
      <w:r>
        <w:t xml:space="preserve"> </w:t>
      </w:r>
      <m:oMath>
        <m:sSub>
          <m:e>
            <m:r>
              <m:t>σ</m:t>
            </m:r>
          </m:e>
          <m:sub>
            <m:r>
              <m:t>t</m:t>
            </m:r>
          </m:sub>
        </m:sSub>
      </m:oMath>
      <w:r>
        <w:t xml:space="preserve"> </w:t>
      </w:r>
      <w:r>
        <w:t xml:space="preserve">sinusoidal embedding feed a shared 4-block FiLM-MLP trunk (1024-d) to six heads: Viability and Hazard (sigmoid/BCE), Sensitivity (SmoothL1), Performance (SmoothL1,</w:t>
      </w:r>
      <w:r>
        <w:t xml:space="preserve"> </w:t>
      </w:r>
      <m:oMath>
        <m:r>
          <m:t>ρ</m:t>
        </m:r>
        <m:r>
          <m:rPr>
            <m:sty m:val="p"/>
          </m:rPr>
          <m:t>/</m:t>
        </m:r>
        <m:r>
          <m:t>D</m:t>
        </m:r>
        <m:r>
          <m:rPr>
            <m:sty m:val="p"/>
          </m:rPr>
          <m:t>/</m:t>
        </m:r>
        <m:r>
          <m:t>P</m:t>
        </m:r>
        <m:r>
          <m:rPr>
            <m:sty m:val="p"/>
          </m:rPr>
          <m:t>/</m:t>
        </m:r>
      </m:oMath>
      <w:r>
        <w:t xml:space="preserve">HOF), SA, SC. Loss is the head-availability-gated sum</w:t>
      </w:r>
      <w:r>
        <w:t xml:space="preserve"> </w:t>
      </w:r>
      <m:oMath>
        <m:nary>
          <m:naryPr>
            <m:chr m:val="∑"/>
            <m:limLoc m:val="undOvr"/>
            <m:subHide m:val="off"/>
            <m:supHide m:val="on"/>
          </m:naryPr>
          <m:sub>
            <m:r>
              <m:t>k</m:t>
            </m:r>
          </m:sub>
          <m:sup>
            <m:r>
              <m:t>​</m:t>
            </m:r>
          </m:sup>
          <m:e>
            <m:sSub>
              <m:e>
                <m:r>
                  <m:t>a</m:t>
                </m:r>
              </m:e>
              <m:sub>
                <m:r>
                  <m:t>k</m:t>
                </m:r>
              </m:sub>
            </m:sSub>
          </m:e>
        </m:nary>
        <m:sSub>
          <m:e>
            <m:r>
              <m:t>w</m:t>
            </m:r>
          </m:e>
          <m:sub>
            <m:r>
              <m:t>k</m:t>
            </m:r>
          </m:sub>
        </m:sSub>
        <m:sSub>
          <m:e>
            <m:r>
              <m:rPr>
                <m:scr m:val="script"/>
                <m:sty m:val="p"/>
              </m:rPr>
              <m:t>L</m:t>
            </m:r>
          </m:e>
          <m:sub>
            <m:r>
              <m:t>k</m:t>
            </m:r>
          </m:sub>
        </m:sSub>
      </m:oMath>
      <w:r>
        <w:t xml:space="preserve">; AdamW + EMA. Trains on Figure 17 base labels; the Viability head is then refined via Figure 19 (Self-distillation). At sample time only Viability, Sensitivity, and Hazard contribute steering signals; Performance, SA, and SC are auxiliary multi-task heads (Supplementary Section B.4).</w:t>
      </w:r>
    </w:p>
    <w:p>
      <w:pPr>
        <w:pStyle w:val="MDPI31text"/>
        <w:ind w:left="2608"/>
      </w:pPr>
      <w:r>
        <w:t xml:space="preserve">The auxiliary multi-task heads (Performance, SA, SC) train on the shared trunk for regularisation only, not invoked in the production steering bus (Supplementary Section B.4). Two checkpoint variants (production 6-head hazard-aware and its 5-head predecessor) are released on Zenodo (Supplementary Section D.1).</w:t>
      </w:r>
    </w:p>
    <w:p>
      <w:pPr>
        <w:pStyle w:val="MDPI22heading2"/>
        <w:ind w:left="2608"/>
      </w:pPr>
      <w:r>
        <w:t xml:space="preserve">4.11 Self-distillation refinement of the viability head</w:t>
      </w:r>
    </w:p>
    <w:p>
      <w:pPr>
        <w:pStyle w:val="MDPI32textnoindent"/>
        <w:ind w:left="2608"/>
      </w:pPr>
      <w:r>
        <w:t xml:space="preserve">Round-0 viability labels combine SMARTS pass/fail with a Random Forest classifier trained on (energetic corpus, ZINC drug-like), a coarse two-class boundary. Self-distillation closes the gap between that boundary and the latent regions the diffusion sampler actually inhabits, by mining the model's own surrogate-gaming false positives and re-feeding them as labelled hard negatives.</w:t>
      </w:r>
    </w:p>
    <w:p>
      <w:pPr>
        <w:pStyle w:val="MDPI31text"/>
        <w:ind w:left="2608"/>
      </w:pPr>
      <w:r>
        <w:t xml:space="preserve">The FROZEN banner of Figure 19 is read literally. Across all rounds the LIMO encoder, LIMO decoder, Section 4.8 denoisers, the Random Forest, and the SMARTS rulebook do not retrain. The score-model trunk and heads are the only thing that updates between rounds. Within the score model, hard-negative latents are labelled</w:t>
      </w:r>
      <w:r>
        <w:t xml:space="preserve"> </w:t>
      </w:r>
      <m:oMath>
        <m:sSub>
          <m:e>
            <m:r>
              <m:t>y</m:t>
            </m:r>
          </m:e>
          <m:sub>
            <m:r>
              <m:rPr>
                <m:nor/>
                <m:sty m:val="p"/>
              </m:rPr>
              <m:t>viab</m:t>
            </m:r>
          </m:sub>
        </m:sSub>
        <m:r>
          <m:rPr>
            <m:sty m:val="p"/>
          </m:rPr>
          <m:t>=</m:t>
        </m:r>
        <m:r>
          <m:t>0</m:t>
        </m:r>
      </m:oMath>
      <w:r>
        <w:t xml:space="preserve"> </w:t>
      </w:r>
      <w:r>
        <w:t xml:space="preserve">only; the other heads see those rows with</w:t>
      </w:r>
      <w:r>
        <w:t xml:space="preserve"> </w:t>
      </w:r>
      <m:oMath>
        <m:sSub>
          <m:e>
            <m:r>
              <m:t>a</m:t>
            </m:r>
          </m:e>
          <m:sub>
            <m:r>
              <m:t>k</m:t>
            </m:r>
          </m:sub>
        </m:sSub>
        <m:r>
          <m:rPr>
            <m:sty m:val="p"/>
          </m:rPr>
          <m:t>=</m:t>
        </m:r>
        <m:r>
          <m:t>0</m:t>
        </m:r>
      </m:oMath>
      <w:r>
        <w:t xml:space="preserve"> </w:t>
      </w:r>
      <w:r>
        <w:t xml:space="preserve">(unlabelled).</w:t>
      </w:r>
    </w:p>
    <w:p>
      <w:pPr>
        <w:pStyle w:val="MDPI31text"/>
        <w:ind w:left="2608"/>
      </w:pPr>
      <w:r>
        <w:t xml:space="preserve">The five-step protocol (sample → mine → encode → retrain → probe) is detailed in Supplementary Section B.1. The hard-negative ticker on Figure 19 shows 0 </w:t>
      </w:r>
      <m:oMath>
        <m:r>
          <m:rPr>
            <m:sty m:val="p"/>
          </m:rPr>
          <m:t>→</m:t>
        </m:r>
      </m:oMath>
      <w:r>
        <w:t xml:space="preserve"> 137 </w:t>
      </w:r>
      <m:oMath>
        <m:r>
          <m:rPr>
            <m:sty m:val="p"/>
          </m:rPr>
          <m:t>→</m:t>
        </m:r>
      </m:oMath>
      <w:r>
        <w:t xml:space="preserve"> 918 cumulative negatives over rounds 0/1/2. (round-0 training uses 0 hard negatives; round-0 mining produces 137; round-1 training uses 137; round-1 mining cumulates to 918; round-2 / production training uses 918.)</w:t>
      </w:r>
    </w:p>
    <w:p xmlns:a="http://schemas.openxmlformats.org/drawingml/2006/main" xmlns:pic="http://schemas.openxmlformats.org/drawingml/2006/picture">
      <w:pPr>
        <w:pStyle w:val="MDPI52figure"/>
        <w:ind w:left="2608"/>
        <w:jc w:val="center"/>
      </w:pPr>
      <w:r>
        <w:drawing>
          <wp:inline>
            <wp:extent cx="4989830" cy="2808271"/>
            <wp:effectExtent b="0" l="0" r="0" t="0"/>
            <wp:docPr descr="DGLD viability-head self-distillation: 3 rounds of mine-then-retrain, with frozen-component banner and hard-negative growth ticker" title="" id="109" name="Picture"/>
            <a:graphic>
              <a:graphicData uri="http://schemas.openxmlformats.org/drawingml/2006/picture">
                <pic:pic>
                  <pic:nvPicPr>
                    <pic:cNvPr descr="../figs/fig4f_self_distillation.png" id="110" name="Picture"/>
                    <pic:cNvPicPr>
                      <a:picLocks noChangeArrowheads="1" noChangeAspect="1"/>
                    </pic:cNvPicPr>
                  </pic:nvPicPr>
                  <pic:blipFill>
                    <a:blip r:embed="rId36"/>
                    <a:stretch>
                      <a:fillRect/>
                    </a:stretch>
                  </pic:blipFill>
                  <pic:spPr bwMode="auto">
                    <a:xfrm>
                      <a:off x="0" y="0"/>
                      <a:ext cx="4989830" cy="2808271"/>
                    </a:xfrm>
                    <a:prstGeom prst="rect">
                      <a:avLst/>
                    </a:prstGeom>
                    <a:noFill/>
                    <a:ln w="9525">
                      <a:noFill/>
                      <a:headEnd/>
                      <a:tailEnd/>
                    </a:ln>
                  </pic:spPr>
                </pic:pic>
              </a:graphicData>
            </a:graphic>
          </wp:inline>
        </w:drawing>
      </w:r>
    </w:p>
    <w:p>
      <w:pPr>
        <w:pStyle w:val="MDPI51figurecaption"/>
        <w:ind w:left="2608"/>
      </w:pPr>
      <w:r>
        <w:rPr>
          <w:b/>
          <w:bCs/>
        </w:rPr>
        <w:t xml:space="preserve">Figure 19.</w:t>
      </w:r>
      <w:r>
        <w:t xml:space="preserve"> </w:t>
      </w:r>
      <w:r>
        <w:t xml:space="preserve">Three rounds of mine-then-retrain that refine the</w:t>
      </w:r>
      <w:r>
        <w:t xml:space="preserve"> </w:t>
      </w:r>
      <w:r>
        <w:rPr>
          <w:b/>
          <w:bCs/>
        </w:rPr>
        <w:t xml:space="preserve">Viability head only</w:t>
      </w:r>
      <w:r>
        <w:t xml:space="preserve"> </w:t>
      </w:r>
      <w:r>
        <w:t xml:space="preserve">of the Figure 18 score model; the denoiser (Figure 16) and LIMO VAE (Figure 14) are frozen. Each round samples, gates with Figure 21 (Filtering), encodes false-positives through frozen LIMO as viab</w:t>
      </w:r>
      <m:oMath>
        <m:r>
          <m:rPr>
            <m:sty m:val="p"/>
          </m:rPr>
          <m:t>=</m:t>
        </m:r>
      </m:oMath>
      <w:r>
        <w:t xml:space="preserve">0 hard negatives, and folds them into the next round's training set (137</w:t>
      </w:r>
      <w:r>
        <w:t xml:space="preserve"> </w:t>
      </w:r>
      <m:oMath>
        <m:r>
          <m:rPr>
            <m:sty m:val="p"/>
          </m:rPr>
          <m:t>→</m:t>
        </m:r>
      </m:oMath>
      <w:r>
        <w:t xml:space="preserve"> </w:t>
      </w:r>
      <w:r>
        <w:t xml:space="preserve">918 negatives). Stopping criterion in Supplementary Section B.1.</w:t>
      </w:r>
    </w:p>
    <w:p>
      <w:pPr>
        <w:pStyle w:val="MDPI31text"/>
        <w:ind w:left="2608"/>
      </w:pPr>
      <w:r>
        <w:t xml:space="preserve">The stopping criterion is shown in the right-margin box of Figure 19: a held-out probe (7 anchors {RDX, HMX, TNT, FOX-7, PETN, TATB, NTO} and 5 gaming molecules) must show every anchor at</w:t>
      </w:r>
      <w:r>
        <w:t xml:space="preserve"> </w:t>
      </w:r>
      <m:oMath>
        <m:r>
          <m:rPr>
            <m:sty m:val="p"/>
          </m:rPr>
          <m:t>≥</m:t>
        </m:r>
      </m:oMath>
      <w:r>
        <w:t xml:space="preserve"> 0.86 AND every gaming molecule at</w:t>
      </w:r>
      <w:r>
        <w:t xml:space="preserve"> </w:t>
      </w:r>
      <m:oMath>
        <m:r>
          <m:rPr>
            <m:sty m:val="p"/>
          </m:rPr>
          <m:t>≤</m:t>
        </m:r>
      </m:oMath>
      <w:r>
        <w:t xml:space="preserve"> 0.84. Empirically 3 rounds satisfy this; round 2 (corpus + 918 hard negatives) is the production checkpoint. Pseudocode in Supplementary Section B.1.</w:t>
      </w:r>
    </w:p>
    <w:p>
      <w:pPr>
        <w:pStyle w:val="MDPI22heading2"/>
        <w:ind w:left="2608"/>
      </w:pPr>
      <w:r>
        <w:t xml:space="preserve">4.12 Sampling</w:t>
      </w:r>
    </w:p>
    <w:p>
      <w:pPr>
        <w:pStyle w:val="MDPI32textnoindent"/>
        <w:ind w:left="2608"/>
      </w:pPr>
      <w:r>
        <w:t xml:space="preserve">At sample time, three of the six trained heads (Viability, Sensitivity, Hazard) supply gradient steering signals at every DDIM (denoising diffusion implicit model) step on top of classifier-free guidance. The denoiser remains the same checkpoint as Section 4.7; only the sampler changes.</w:t>
      </w:r>
    </w:p>
    <w:p>
      <w:pPr>
        <w:pStyle w:val="MDPI31text"/>
        <w:ind w:left="2608"/>
      </w:pPr>
      <w:r>
        <w:t xml:space="preserve">Figure 20 walks sampling. A latent</w:t>
      </w:r>
      <w:r>
        <w:t xml:space="preserve"> </w:t>
      </w:r>
      <m:oMath>
        <m:sSub>
          <m:e>
            <m:r>
              <m:t>z</m:t>
            </m:r>
          </m:e>
          <m:sub>
            <m:r>
              <m:t>T</m:t>
            </m:r>
          </m:sub>
        </m:sSub>
        <m:r>
          <m:rPr>
            <m:sty m:val="p"/>
          </m:rPr>
          <m:t>∼</m:t>
        </m:r>
        <m:r>
          <m:rPr>
            <m:scr m:val="script"/>
            <m:sty m:val="p"/>
          </m:rPr>
          <m:t>N</m:t>
        </m:r>
        <m:r>
          <m:rPr>
            <m:sty m:val="p"/>
          </m:rPr>
          <m:t>(</m:t>
        </m:r>
        <m:r>
          <m:t>0</m:t>
        </m:r>
        <m:r>
          <m:rPr>
            <m:sty m:val="p"/>
          </m:rPr>
          <m:t>,</m:t>
        </m:r>
        <m:sSub>
          <m:e>
            <m:r>
              <m:t>I</m:t>
            </m:r>
          </m:e>
          <m:sub>
            <m:r>
              <m:t>1024</m:t>
            </m:r>
          </m:sub>
        </m:sSub>
        <m:r>
          <m:rPr>
            <m:sty m:val="p"/>
          </m:rPr>
          <m:t>)</m:t>
        </m:r>
      </m:oMath>
      <w:r>
        <w:t xml:space="preserve"> </w:t>
      </w:r>
      <w:r>
        <w:t xml:space="preserve">is denoised over</w:t>
      </w:r>
      <w:r>
        <w:t xml:space="preserve"> </w:t>
      </w:r>
      <m:oMath>
        <m:r>
          <m:t>t</m:t>
        </m:r>
        <m:r>
          <m:rPr>
            <m:sty m:val="p"/>
          </m:rPr>
          <m:t>=</m:t>
        </m:r>
        <m:r>
          <m:t>T</m:t>
        </m:r>
        <m:r>
          <m:rPr>
            <m:sty m:val="p"/>
          </m:rPr>
          <m:t>→</m:t>
        </m:r>
        <m:r>
          <m:t>1</m:t>
        </m:r>
      </m:oMath>
      <w:r>
        <w:t xml:space="preserve"> </w:t>
      </w:r>
      <w:r>
        <w:t xml:space="preserve">in 40 DDIM steps. At each step,</w:t>
      </w:r>
    </w:p>
    <w:p>
      <w:pPr>
        <w:pStyle w:val="MDPI39equation"/>
        <w:ind w:left="2608"/>
      </w:pPr>
      <m:oMathPara>
        <m:oMathParaPr>
          <m:jc m:val="center"/>
        </m:oMathParaPr>
        <m:oMath>
          <m:acc>
            <m:accPr>
              <m:chr m:val="̂"/>
            </m:accPr>
            <m:e>
              <m:r>
                <m:t>ϵ</m:t>
              </m:r>
            </m:e>
          </m:acc>
          <m:r>
            <m:t> </m:t>
          </m:r>
          <m:r>
            <m:rPr>
              <m:sty m:val="p"/>
            </m:rPr>
            <m:t>=</m:t>
          </m:r>
          <m:r>
            <m:t> </m:t>
          </m:r>
          <m:sSubSup>
            <m:e>
              <m:r>
                <m:t>ϵ</m:t>
              </m:r>
            </m:e>
            <m:sub>
              <m:r>
                <m:t>θ</m:t>
              </m:r>
            </m:sub>
            <m:sup>
              <m:r>
                <m:rPr>
                  <m:nor/>
                  <m:sty m:val="p"/>
                </m:rPr>
                <m:t>cfg</m:t>
              </m:r>
            </m:sup>
          </m:sSubSup>
          <m:r>
            <m:rPr>
              <m:sty m:val="p"/>
            </m:rPr>
            <m:t>(</m:t>
          </m:r>
          <m:sSub>
            <m:e>
              <m:r>
                <m:t>z</m:t>
              </m:r>
            </m:e>
            <m:sub>
              <m:r>
                <m:t>t</m:t>
              </m:r>
            </m:sub>
          </m:sSub>
          <m:r>
            <m:rPr>
              <m:sty m:val="p"/>
            </m:rPr>
            <m:t>,</m:t>
          </m:r>
          <m:r>
            <m:t>t</m:t>
          </m:r>
          <m:r>
            <m:rPr>
              <m:sty m:val="p"/>
            </m:rPr>
            <m:t>,</m:t>
          </m:r>
          <m:r>
            <m:t>c</m:t>
          </m:r>
          <m:r>
            <m:rPr>
              <m:sty m:val="p"/>
            </m:rPr>
            <m:t>)</m:t>
          </m:r>
          <m:r>
            <m:t> </m:t>
          </m:r>
          <m:r>
            <m:rPr>
              <m:sty m:val="p"/>
            </m:rPr>
            <m:t>−</m:t>
          </m:r>
          <m:r>
            <m:t> </m:t>
          </m:r>
          <m:sSub>
            <m:e>
              <m:r>
                <m:t>σ</m:t>
              </m:r>
            </m:e>
            <m:sub>
              <m:r>
                <m:t>t</m:t>
              </m:r>
            </m:sub>
          </m:sSub>
          <m:nary>
            <m:naryPr>
              <m:chr m:val="∑"/>
              <m:limLoc m:val="undOvr"/>
              <m:subHide m:val="off"/>
              <m:supHide m:val="on"/>
            </m:naryPr>
            <m:sub>
              <m:r>
                <m:t>h</m:t>
              </m:r>
              <m:r>
                <m:rPr>
                  <m:sty m:val="p"/>
                </m:rPr>
                <m:t>∈</m:t>
              </m:r>
              <m:r>
                <m:rPr>
                  <m:sty m:val="p"/>
                </m:rPr>
                <m:t>{</m:t>
              </m:r>
              <m:r>
                <m:rPr>
                  <m:nor/>
                  <m:sty m:val="p"/>
                </m:rPr>
                <m:t>viab</m:t>
              </m:r>
              <m:r>
                <m:rPr>
                  <m:sty m:val="p"/>
                </m:rPr>
                <m:t>,</m:t>
              </m:r>
              <m:r>
                <m:rPr>
                  <m:nor/>
                  <m:sty m:val="p"/>
                </m:rPr>
                <m:t>sens</m:t>
              </m:r>
              <m:r>
                <m:rPr>
                  <m:sty m:val="p"/>
                </m:rPr>
                <m:t>,</m:t>
              </m:r>
              <m:r>
                <m:rPr>
                  <m:nor/>
                  <m:sty m:val="p"/>
                </m:rPr>
                <m:t>hazard</m:t>
              </m:r>
              <m:r>
                <m:rPr>
                  <m:sty m:val="p"/>
                </m:rPr>
                <m:t>}</m:t>
              </m:r>
            </m:sub>
            <m:sup>
              <m:r>
                <m:t>​</m:t>
              </m:r>
            </m:sup>
            <m:e>
              <m:sSub>
                <m:e>
                  <m:r>
                    <m:t>s</m:t>
                  </m:r>
                </m:e>
                <m:sub>
                  <m:r>
                    <m:t>h</m:t>
                  </m:r>
                </m:sub>
              </m:sSub>
            </m:e>
          </m:nary>
          <m:r>
            <m:t> </m:t>
          </m:r>
          <m:sSub>
            <m:e>
              <m:r>
                <m:rPr>
                  <m:sty m:val="p"/>
                </m:rPr>
                <m:t>∇</m:t>
              </m:r>
            </m:e>
            <m:sub>
              <m:sSub>
                <m:e>
                  <m:r>
                    <m:t>z</m:t>
                  </m:r>
                </m:e>
                <m:sub>
                  <m:r>
                    <m:t>t</m:t>
                  </m:r>
                </m:sub>
              </m:sSub>
            </m:sub>
          </m:sSub>
          <m:r>
            <m:t> </m:t>
          </m:r>
          <m:sSub>
            <m:e>
              <m:r>
                <m:rPr>
                  <m:scr m:val="script"/>
                  <m:sty m:val="p"/>
                </m:rPr>
                <m:t>L</m:t>
              </m:r>
            </m:e>
            <m:sub>
              <m:r>
                <m:t>h</m:t>
              </m:r>
            </m:sub>
          </m:sSub>
          <m:d>
            <m:dPr>
              <m:begChr m:val="("/>
              <m:sepChr m:val=""/>
              <m:endChr m:val=")"/>
              <m:grow/>
            </m:dPr>
            <m:e>
              <m:sSub>
                <m:e>
                  <m:r>
                    <m:t>z</m:t>
                  </m:r>
                </m:e>
                <m:sub>
                  <m:r>
                    <m:t>t</m:t>
                  </m:r>
                </m:sub>
              </m:sSub>
              <m:r>
                <m:rPr>
                  <m:sty m:val="p"/>
                </m:rPr>
                <m:t>,</m:t>
              </m:r>
              <m:sSub>
                <m:e>
                  <m:r>
                    <m:t>σ</m:t>
                  </m:r>
                </m:e>
                <m:sub>
                  <m:r>
                    <m:t>t</m:t>
                  </m:r>
                </m:sub>
              </m:sSub>
            </m:e>
          </m:d>
          <m:r>
            <m:rPr>
              <m:sty m:val="p"/>
            </m:rPr>
            <m:t>,</m:t>
          </m:r>
        </m:oMath>
      </m:oMathPara>
    </w:p>
    <w:p>
      <w:pPr>
        <w:pStyle w:val="MDPI32textnoindent"/>
        <w:ind w:left="2608"/>
      </w:pPr>
      <w:r>
        <w:t xml:space="preserve">where</w:t>
      </w:r>
      <w:r>
        <w:t xml:space="preserve"> </w:t>
      </w:r>
      <m:oMath>
        <m:sSubSup>
          <m:e>
            <m:r>
              <m:t>ϵ</m:t>
            </m:r>
          </m:e>
          <m:sub>
            <m:r>
              <m:t>θ</m:t>
            </m:r>
          </m:sub>
          <m:sup>
            <m:r>
              <m:rPr>
                <m:nor/>
                <m:sty m:val="p"/>
              </m:rPr>
              <m:t>cfg</m:t>
            </m:r>
          </m:sup>
        </m:sSubSup>
      </m:oMath>
      <w:r>
        <w:t xml:space="preserve"> </w:t>
      </w:r>
      <w:r>
        <w:t xml:space="preserve">is the standard CFG noise estimate over the frozen denoiser of Section 4.8 (Figure 16). The per-head losses are</w:t>
      </w:r>
      <w:r>
        <w:t xml:space="preserve"> </w:t>
      </w:r>
      <m:oMath>
        <m:r>
          <m:rPr>
            <m:sty m:val="p"/>
          </m:rPr>
          <m:t>−</m:t>
        </m:r>
        <m:r>
          <m:rPr>
            <m:sty m:val="p"/>
          </m:rPr>
          <m:t>log</m:t>
        </m:r>
        <m:sSub>
          <m:e>
            <m:r>
              <m:t>P</m:t>
            </m:r>
          </m:e>
          <m:sub>
            <m:r>
              <m:rPr>
                <m:nor/>
                <m:sty m:val="p"/>
              </m:rPr>
              <m:t>viab</m:t>
            </m:r>
          </m:sub>
        </m:sSub>
      </m:oMath>
      <w:r>
        <w:t xml:space="preserve"> </w:t>
      </w:r>
      <w:r>
        <w:t xml:space="preserve">(ascend),</w:t>
      </w:r>
      <w:r>
        <w:t xml:space="preserve"> </w:t>
      </w:r>
      <m:oMath>
        <m:sSub>
          <m:e>
            <m:r>
              <m:rPr>
                <m:sty m:val="p"/>
              </m:rPr>
              <m:t>s</m:t>
            </m:r>
            <m:r>
              <m:rPr>
                <m:sty m:val="p"/>
              </m:rPr>
              <m:t>e</m:t>
            </m:r>
            <m:r>
              <m:rPr>
                <m:sty m:val="p"/>
              </m:rPr>
              <m:t>n</m:t>
            </m:r>
            <m:r>
              <m:rPr>
                <m:sty m:val="p"/>
              </m:rPr>
              <m:t>s</m:t>
            </m:r>
          </m:e>
          <m:sub>
            <m:r>
              <m:t>z</m:t>
            </m:r>
          </m:sub>
        </m:sSub>
      </m:oMath>
      <w:r>
        <w:t xml:space="preserve"> </w:t>
      </w:r>
      <w:r>
        <w:t xml:space="preserve">(descend), and</w:t>
      </w:r>
      <w:r>
        <w:t xml:space="preserve"> </w:t>
      </w:r>
      <m:oMath>
        <m:r>
          <m:rPr>
            <m:sty m:val="p"/>
          </m:rPr>
          <m:t>−</m:t>
        </m:r>
        <m:r>
          <m:rPr>
            <m:sty m:val="p"/>
          </m:rPr>
          <m:t>log</m:t>
        </m:r>
        <m:r>
          <m:rPr>
            <m:sty m:val="p"/>
          </m:rPr>
          <m:t>(</m:t>
        </m:r>
        <m:r>
          <m:t>1</m:t>
        </m:r>
        <m:r>
          <m:rPr>
            <m:sty m:val="p"/>
          </m:rPr>
          <m:t>−</m:t>
        </m:r>
        <m:sSub>
          <m:e>
            <m:r>
              <m:t>P</m:t>
            </m:r>
          </m:e>
          <m:sub>
            <m:r>
              <m:rPr>
                <m:nor/>
                <m:sty m:val="p"/>
              </m:rPr>
              <m:t>hazard</m:t>
            </m:r>
          </m:sub>
        </m:sSub>
        <m:r>
          <m:rPr>
            <m:sty m:val="p"/>
          </m:rPr>
          <m:t>)</m:t>
        </m:r>
      </m:oMath>
      <w:r>
        <w:t xml:space="preserve"> </w:t>
      </w:r>
      <w:r>
        <w:t xml:space="preserve">(descend hazard). Production scales are</w:t>
      </w:r>
      <w:r>
        <w:t xml:space="preserve"> </w:t>
      </w:r>
      <m:oMath>
        <m:sSub>
          <m:e>
            <m:r>
              <m:t>s</m:t>
            </m:r>
          </m:e>
          <m:sub>
            <m:r>
              <m:rPr>
                <m:nor/>
                <m:sty m:val="p"/>
              </m:rPr>
              <m:t>viab</m:t>
            </m:r>
          </m:sub>
        </m:sSub>
        <m:r>
          <m:rPr>
            <m:sty m:val="p"/>
          </m:rPr>
          <m:t>=</m:t>
        </m:r>
        <m:r>
          <m:t>1.0</m:t>
        </m:r>
      </m:oMath>
      <w:r>
        <w:t xml:space="preserve">,</w:t>
      </w:r>
      <w:r>
        <w:t xml:space="preserve"> </w:t>
      </w:r>
      <m:oMath>
        <m:sSub>
          <m:e>
            <m:r>
              <m:t>s</m:t>
            </m:r>
          </m:e>
          <m:sub>
            <m:r>
              <m:rPr>
                <m:nor/>
                <m:sty m:val="p"/>
              </m:rPr>
              <m:t>sens</m:t>
            </m:r>
          </m:sub>
        </m:sSub>
        <m:r>
          <m:rPr>
            <m:sty m:val="p"/>
          </m:rPr>
          <m:t>=</m:t>
        </m:r>
        <m:r>
          <m:t>0.3</m:t>
        </m:r>
      </m:oMath>
      <w:r>
        <w:t xml:space="preserve">,</w:t>
      </w:r>
      <w:r>
        <w:t xml:space="preserve"> </w:t>
      </w:r>
      <m:oMath>
        <m:sSub>
          <m:e>
            <m:r>
              <m:t>s</m:t>
            </m:r>
          </m:e>
          <m:sub>
            <m:r>
              <m:rPr>
                <m:nor/>
                <m:sty m:val="p"/>
              </m:rPr>
              <m:t>hazard</m:t>
            </m:r>
          </m:sub>
        </m:sSub>
        <m:r>
          <m:rPr>
            <m:sty m:val="p"/>
          </m:rPr>
          <m:t>=</m:t>
        </m:r>
        <m:r>
          <m:t>1.0</m:t>
        </m:r>
      </m:oMath>
      <w:r>
        <w:t xml:space="preserve"> </w:t>
      </w:r>
      <w:r>
        <w:t xml:space="preserve">(selection rationale in Section 4.15). The final</w:t>
      </w:r>
      <w:r>
        <w:t xml:space="preserve"> </w:t>
      </w:r>
      <m:oMath>
        <m:sSub>
          <m:e>
            <m:r>
              <m:t>z</m:t>
            </m:r>
          </m:e>
          <m:sub>
            <m:r>
              <m:t>0</m:t>
            </m:r>
          </m:sub>
        </m:sSub>
      </m:oMath>
      <w:r>
        <w:t xml:space="preserve"> </w:t>
      </w:r>
      <w:r>
        <w:t xml:space="preserve">decodes through the frozen LIMO decoder to a SMILES pool consumed by Figure 22.</w:t>
      </w:r>
    </w:p>
    <w:p xmlns:a="http://schemas.openxmlformats.org/drawingml/2006/main" xmlns:pic="http://schemas.openxmlformats.org/drawingml/2006/picture">
      <w:pPr>
        <w:pStyle w:val="MDPI52figure"/>
        <w:ind w:left="2608"/>
        <w:jc w:val="center"/>
      </w:pPr>
      <w:r>
        <w:drawing>
          <wp:inline>
            <wp:extent cx="4989830" cy="2806779"/>
            <wp:effectExtent b="0" l="0" r="0" t="0"/>
            <wp:docPr descr="DGLD sampling: DDIM denoise with multi-task steering signals" title="" id="114" name="Picture"/>
            <a:graphic>
              <a:graphicData uri="http://schemas.openxmlformats.org/drawingml/2006/picture">
                <pic:pic>
                  <pic:nvPicPr>
                    <pic:cNvPr descr="../figs/fig4c_sampling_guidance.png" id="115" name="Picture"/>
                    <pic:cNvPicPr>
                      <a:picLocks noChangeArrowheads="1" noChangeAspect="1"/>
                    </pic:cNvPicPr>
                  </pic:nvPicPr>
                  <pic:blipFill>
                    <a:blip r:embed="rId37"/>
                    <a:stretch>
                      <a:fillRect/>
                    </a:stretch>
                  </pic:blipFill>
                  <pic:spPr bwMode="auto">
                    <a:xfrm>
                      <a:off x="0" y="0"/>
                      <a:ext cx="4989830" cy="2806779"/>
                    </a:xfrm>
                    <a:prstGeom prst="rect">
                      <a:avLst/>
                    </a:prstGeom>
                    <a:noFill/>
                    <a:ln w="9525">
                      <a:noFill/>
                      <a:headEnd/>
                      <a:tailEnd/>
                    </a:ln>
                  </pic:spPr>
                </pic:pic>
              </a:graphicData>
            </a:graphic>
          </wp:inline>
        </w:drawing>
      </w:r>
    </w:p>
    <w:p>
      <w:pPr>
        <w:pStyle w:val="MDPI51figurecaption"/>
        <w:ind w:left="2608"/>
      </w:pPr>
      <w:r>
        <w:rPr>
          <w:b/>
          <w:bCs/>
        </w:rPr>
        <w:t xml:space="preserve">Figure 20.</w:t>
      </w:r>
      <w:r>
        <w:t xml:space="preserve"> </w:t>
      </w:r>
      <w:r>
        <w:t xml:space="preserve">A latent</w:t>
      </w:r>
      <w:r>
        <w:t xml:space="preserve"> </w:t>
      </w:r>
      <m:oMath>
        <m:sSub>
          <m:e>
            <m:r>
              <m:t>z</m:t>
            </m:r>
          </m:e>
          <m:sub>
            <m:r>
              <m:t>T</m:t>
            </m:r>
          </m:sub>
        </m:sSub>
        <m:r>
          <m:rPr>
            <m:sty m:val="p"/>
          </m:rPr>
          <m:t>∼</m:t>
        </m:r>
        <m:r>
          <m:rPr>
            <m:scr m:val="script"/>
            <m:sty m:val="p"/>
          </m:rPr>
          <m:t>N</m:t>
        </m:r>
        <m:r>
          <m:rPr>
            <m:sty m:val="p"/>
          </m:rPr>
          <m:t>(</m:t>
        </m:r>
        <m:r>
          <m:t>0</m:t>
        </m:r>
        <m:r>
          <m:rPr>
            <m:sty m:val="p"/>
          </m:rPr>
          <m:t>,</m:t>
        </m:r>
        <m:sSub>
          <m:e>
            <m:r>
              <m:t>I</m:t>
            </m:r>
          </m:e>
          <m:sub>
            <m:r>
              <m:t>1024</m:t>
            </m:r>
          </m:sub>
        </m:sSub>
        <m:r>
          <m:rPr>
            <m:sty m:val="p"/>
          </m:rPr>
          <m:t>)</m:t>
        </m:r>
      </m:oMath>
      <w:r>
        <w:t xml:space="preserve"> </w:t>
      </w:r>
      <w:r>
        <w:t xml:space="preserve">is denoised over 40 DDIM steps with a steering bus</w:t>
      </w:r>
      <w:r>
        <w:t xml:space="preserve"> </w:t>
      </w:r>
      <m:oMath>
        <m:nary>
          <m:naryPr>
            <m:chr m:val="∑"/>
            <m:limLoc m:val="undOvr"/>
            <m:subHide m:val="off"/>
            <m:supHide m:val="on"/>
          </m:naryPr>
          <m:sub>
            <m:r>
              <m:t>h</m:t>
            </m:r>
            <m:r>
              <m:rPr>
                <m:sty m:val="p"/>
              </m:rPr>
              <m:t>∈</m:t>
            </m:r>
            <m:r>
              <m:rPr>
                <m:sty m:val="p"/>
              </m:rPr>
              <m:t>{</m:t>
            </m:r>
            <m:r>
              <m:rPr>
                <m:nor/>
                <m:sty m:val="p"/>
              </m:rPr>
              <m:t>viab,sens,hazard</m:t>
            </m:r>
            <m:r>
              <m:rPr>
                <m:sty m:val="p"/>
              </m:rPr>
              <m:t>}</m:t>
            </m:r>
          </m:sub>
          <m:sup>
            <m:r>
              <m:t>​</m:t>
            </m:r>
          </m:sup>
          <m:e>
            <m:sSub>
              <m:e>
                <m:r>
                  <m:t>s</m:t>
                </m:r>
              </m:e>
              <m:sub>
                <m:r>
                  <m:t>h</m:t>
                </m:r>
              </m:sub>
            </m:sSub>
          </m:e>
        </m:nary>
        <m:sSub>
          <m:e>
            <m:r>
              <m:rPr>
                <m:sty m:val="p"/>
              </m:rPr>
              <m:t>∇</m:t>
            </m:r>
          </m:e>
          <m:sub>
            <m:sSub>
              <m:e>
                <m:r>
                  <m:t>z</m:t>
                </m:r>
              </m:e>
              <m:sub>
                <m:r>
                  <m:t>t</m:t>
                </m:r>
              </m:sub>
            </m:sSub>
          </m:sub>
        </m:sSub>
        <m:r>
          <m:rPr>
            <m:sty m:val="p"/>
          </m:rPr>
          <m:t>log</m:t>
        </m:r>
        <m:sSub>
          <m:e>
            <m:r>
              <m:t>p</m:t>
            </m:r>
          </m:e>
          <m:sub>
            <m:r>
              <m:t>h</m:t>
            </m:r>
          </m:sub>
        </m:sSub>
      </m:oMath>
      <w:r>
        <w:t xml:space="preserve"> </w:t>
      </w:r>
      <w:r>
        <w:t xml:space="preserve">over the three active steering signals of Figure 18 perturbing</w:t>
      </w:r>
      <w:r>
        <w:t xml:space="preserve"> </w:t>
      </w:r>
      <m:oMath>
        <m:sSub>
          <m:e>
            <m:r>
              <m:t>ε</m:t>
            </m:r>
          </m:e>
          <m:sub>
            <m:r>
              <m:t>θ</m:t>
            </m:r>
          </m:sub>
        </m:sSub>
      </m:oMath>
      <w:r>
        <w:t xml:space="preserve"> </w:t>
      </w:r>
      <w:r>
        <w:t xml:space="preserve">at every step. The final</w:t>
      </w:r>
      <w:r>
        <w:t xml:space="preserve"> </w:t>
      </w:r>
      <m:oMath>
        <m:sSub>
          <m:e>
            <m:r>
              <m:t>z</m:t>
            </m:r>
          </m:e>
          <m:sub>
            <m:r>
              <m:t>0</m:t>
            </m:r>
          </m:sub>
        </m:sSub>
      </m:oMath>
      <w:r>
        <w:t xml:space="preserve"> </w:t>
      </w:r>
      <w:r>
        <w:t xml:space="preserve">decodes through frozen LIMO to a SMILES pool consumed by Figure 22 (Pool fusion). Per-head scales</w:t>
      </w:r>
      <w:r>
        <w:t xml:space="preserve"> </w:t>
      </w:r>
      <m:oMath>
        <m:sSub>
          <m:e>
            <m:r>
              <m:t>s</m:t>
            </m:r>
          </m:e>
          <m:sub>
            <m:r>
              <m:t>h</m:t>
            </m:r>
          </m:sub>
        </m:sSub>
      </m:oMath>
      <w:r>
        <w:t xml:space="preserve"> </w:t>
      </w:r>
      <w:r>
        <w:t xml:space="preserve">in Supplementary Section B.</w:t>
      </w:r>
    </w:p>
    <w:p>
      <w:pPr>
        <w:pStyle w:val="MDPI31text"/>
        <w:ind w:left="2608"/>
      </w:pPr>
      <w:r>
        <w:t xml:space="preserve">The classifier-guidance steering bus uses two configurable knobs: a noise-dependent annealing factor</w:t>
      </w:r>
      <w:r>
        <w:t xml:space="preserve"> </w:t>
      </w:r>
      <m:oMath>
        <m:r>
          <m:t>α</m:t>
        </m:r>
        <m:r>
          <m:rPr>
            <m:sty m:val="p"/>
          </m:rPr>
          <m:t>(</m:t>
        </m:r>
        <m:sSub>
          <m:e>
            <m:r>
              <m:t>σ</m:t>
            </m:r>
          </m:e>
          <m:sub>
            <m:r>
              <m:t>t</m:t>
            </m:r>
          </m:sub>
        </m:sSub>
        <m:r>
          <m:rPr>
            <m:sty m:val="p"/>
          </m:rPr>
          <m:t>)</m:t>
        </m:r>
        <m:r>
          <m:rPr>
            <m:sty m:val="p"/>
          </m:rPr>
          <m:t>=</m:t>
        </m:r>
        <m:r>
          <m:rPr>
            <m:sty m:val="p"/>
          </m:rPr>
          <m:t>max</m:t>
        </m:r>
        <m:r>
          <m:rPr>
            <m:sty m:val="p"/>
          </m:rPr>
          <m:t>(</m:t>
        </m:r>
        <m:r>
          <m:t>0</m:t>
        </m:r>
        <m:r>
          <m:rPr>
            <m:sty m:val="p"/>
          </m:rPr>
          <m:t>,</m:t>
        </m:r>
        <m:r>
          <m:t> </m:t>
        </m:r>
        <m:r>
          <m:t>1</m:t>
        </m:r>
        <m:r>
          <m:rPr>
            <m:sty m:val="p"/>
          </m:rPr>
          <m:t>−</m:t>
        </m:r>
        <m:sSub>
          <m:e>
            <m:r>
              <m:t>σ</m:t>
            </m:r>
          </m:e>
          <m:sub>
            <m:r>
              <m:t>t</m:t>
            </m:r>
          </m:sub>
        </m:sSub>
        <m:r>
          <m:rPr>
            <m:sty m:val="p"/>
          </m:rPr>
          <m:t>/</m:t>
        </m:r>
        <m:sSub>
          <m:e>
            <m:r>
              <m:t>σ</m:t>
            </m:r>
          </m:e>
          <m:sub>
            <m:r>
              <m:rPr>
                <m:sty m:val="p"/>
              </m:rPr>
              <m:t>max</m:t>
            </m:r>
          </m:sub>
        </m:sSub>
        <m:r>
          <m:rPr>
            <m:sty m:val="p"/>
          </m:rPr>
          <m:t>)</m:t>
        </m:r>
      </m:oMath>
      <w:r>
        <w:t xml:space="preserve"> </w:t>
      </w:r>
      <w:r>
        <w:t xml:space="preserve">that scales the bus down at high noise levels (where the score-model heads have not yet seen enough latent structure to be reliable), and a per-row gradient-norm clamp at magnitude</w:t>
      </w:r>
      <w:r>
        <w:t xml:space="preserve"> </w:t>
      </w:r>
      <m:oMath>
        <m:sSub>
          <m:e>
            <m:r>
              <m:t>C</m:t>
            </m:r>
          </m:e>
          <m:sub>
            <m:r>
              <m:t>g</m:t>
            </m:r>
          </m:sub>
        </m:sSub>
      </m:oMath>
      <w:r>
        <w:t xml:space="preserve"> </w:t>
      </w:r>
      <w:r>
        <w:t xml:space="preserve">(gradient clamp) that prevents a single row from dominating the batch. The image-domain classifier-guidance recipe of Dhariwal &amp; Nichol</w:t>
      </w:r>
      <w:r>
        <w:t xml:space="preserve"> </w:t>
      </w:r>
      <w:hyperlink w:anchor="ref-dhariwal2021diffusion">
        <w:r>
          <w:rPr>
            <w:rStyle w:val="Hyperlink"/>
          </w:rPr>
          <w:t xml:space="preserve">[26]</w:t>
        </w:r>
      </w:hyperlink>
      <w:r>
        <w:t xml:space="preserve"> </w:t>
      </w:r>
      <w:r>
        <w:t xml:space="preserve">uses</w:t>
      </w:r>
      <w:r>
        <w:t xml:space="preserve"> </w:t>
      </w:r>
      <m:oMath>
        <m:sSub>
          <m:e>
            <m:r>
              <m:t>σ</m:t>
            </m:r>
          </m:e>
          <m:sub>
            <m:r>
              <m:rPr>
                <m:sty m:val="p"/>
              </m:rPr>
              <m:t>max</m:t>
            </m:r>
          </m:sub>
        </m:sSub>
        <m:r>
          <m:rPr>
            <m:sty m:val="p"/>
          </m:rPr>
          <m:t>=</m:t>
        </m:r>
        <m:sSub>
          <m:e>
            <m:r>
              <m:t>σ</m:t>
            </m:r>
          </m:e>
          <m:sub>
            <m:r>
              <m:t>T</m:t>
            </m:r>
          </m:sub>
        </m:sSub>
      </m:oMath>
      <w:r>
        <w:t xml:space="preserve"> </w:t>
      </w:r>
      <w:r>
        <w:t xml:space="preserve">(full ramp on) and</w:t>
      </w:r>
      <w:r>
        <w:t xml:space="preserve"> </w:t>
      </w:r>
      <m:oMath>
        <m:sSub>
          <m:e>
            <m:r>
              <m:t>C</m:t>
            </m:r>
          </m:e>
          <m:sub>
            <m:r>
              <m:t>g</m:t>
            </m:r>
          </m:sub>
        </m:sSub>
        <m:r>
          <m:rPr>
            <m:sty m:val="p"/>
          </m:rPr>
          <m:t>=</m:t>
        </m:r>
        <m:r>
          <m:t>5.0</m:t>
        </m:r>
      </m:oMath>
      <w:r>
        <w:t xml:space="preserve">; this works well at 1000 sampling steps, where each step covers a small</w:t>
      </w:r>
      <w:r>
        <w:t xml:space="preserve"> </w:t>
      </w:r>
      <m:oMath>
        <m:r>
          <m:t>σ</m:t>
        </m:r>
      </m:oMath>
      <w:r>
        <w:t xml:space="preserve">-jump and the natural per-row gradient magnitudes sit well below 5. In the 40-step latent regime the same recipe zeroes the bus at the top of the trajectory (the first</w:t>
      </w:r>
      <w:r>
        <w:t xml:space="preserve"> </w:t>
      </w:r>
      <m:oMath>
        <m:r>
          <m:rPr>
            <m:sty m:val="p"/>
          </m:rPr>
          <m:t>∼</m:t>
        </m:r>
      </m:oMath>
      <w:r>
        <w:t xml:space="preserve">10 steps live near</w:t>
      </w:r>
      <w:r>
        <w:t xml:space="preserve"> </w:t>
      </w:r>
      <m:oMath>
        <m:sSub>
          <m:e>
            <m:r>
              <m:t>σ</m:t>
            </m:r>
          </m:e>
          <m:sub>
            <m:r>
              <m:t>t</m:t>
            </m:r>
          </m:sub>
        </m:sSub>
        <m:r>
          <m:rPr>
            <m:sty m:val="p"/>
          </m:rPr>
          <m:t>≈</m:t>
        </m:r>
        <m:sSub>
          <m:e>
            <m:r>
              <m:t>σ</m:t>
            </m:r>
          </m:e>
          <m:sub>
            <m:r>
              <m:t>T</m:t>
            </m:r>
          </m:sub>
        </m:sSub>
      </m:oMath>
      <w:r>
        <w:t xml:space="preserve">) and saturates the clamp at the bottom (natural gradient magnitudes at low</w:t>
      </w:r>
      <w:r>
        <w:t xml:space="preserve"> </w:t>
      </w:r>
      <m:oMath>
        <m:r>
          <m:t>σ</m:t>
        </m:r>
      </m:oMath>
      <w:r>
        <w:t xml:space="preserve"> </w:t>
      </w:r>
      <w:r>
        <w:t xml:space="preserve">are 8–30, well above 5), so the per-head scales</w:t>
      </w:r>
      <w:r>
        <w:t xml:space="preserve"> </w:t>
      </w:r>
      <m:oMath>
        <m:sSub>
          <m:e>
            <m:r>
              <m:t>s</m:t>
            </m:r>
          </m:e>
          <m:sub>
            <m:r>
              <m:t>h</m:t>
            </m:r>
          </m:sub>
        </m:sSub>
      </m:oMath>
      <w:r>
        <w:t xml:space="preserve"> </w:t>
      </w:r>
      <w:r>
        <w:t xml:space="preserve">have negligible effect on the produced chemistry. Production disables the anneal by setting</w:t>
      </w:r>
      <w:r>
        <w:t xml:space="preserve"> </w:t>
      </w:r>
      <m:oMath>
        <m:r>
          <m:t>α</m:t>
        </m:r>
        <m:r>
          <m:rPr>
            <m:sty m:val="p"/>
          </m:rPr>
          <m:t>≡</m:t>
        </m:r>
        <m:r>
          <m:t>1</m:t>
        </m:r>
      </m:oMath>
      <w:r>
        <w:t xml:space="preserve"> </w:t>
      </w:r>
      <w:r>
        <w:t xml:space="preserve">directly (equivalent to the</w:t>
      </w:r>
      <w:r>
        <w:t xml:space="preserve"> </w:t>
      </w:r>
      <m:oMath>
        <m:sSub>
          <m:e>
            <m:r>
              <m:t>σ</m:t>
            </m:r>
          </m:e>
          <m:sub>
            <m:r>
              <m:rPr>
                <m:sty m:val="p"/>
              </m:rPr>
              <m:t>max</m:t>
            </m:r>
          </m:sub>
        </m:sSub>
        <m:r>
          <m:rPr>
            <m:sty m:val="p"/>
          </m:rPr>
          <m:t>→</m:t>
        </m:r>
        <m:r>
          <m:rPr>
            <m:sty m:val="p"/>
          </m:rPr>
          <m:t>∞</m:t>
        </m:r>
      </m:oMath>
      <w:r>
        <w:t xml:space="preserve"> </w:t>
      </w:r>
      <w:r>
        <w:t xml:space="preserve">limit of the schedule above; we configure this via a guard clause on</w:t>
      </w:r>
      <w:r>
        <w:t xml:space="preserve"> </w:t>
      </w:r>
      <m:oMath>
        <m:sSub>
          <m:e>
            <m:r>
              <m:t>σ</m:t>
            </m:r>
          </m:e>
          <m:sub>
            <m:r>
              <m:rPr>
                <m:sty m:val="p"/>
              </m:rPr>
              <m:t>max</m:t>
            </m:r>
          </m:sub>
        </m:sSub>
        <m:r>
          <m:rPr>
            <m:sty m:val="p"/>
          </m:rPr>
          <m:t>=</m:t>
        </m:r>
        <m:r>
          <m:t>0</m:t>
        </m:r>
      </m:oMath>
      <w:r>
        <w:t xml:space="preserve"> </w:t>
      </w:r>
      <w:r>
        <w:t xml:space="preserve">in code, treating it as the no-anneal sentinel) and loosens the clamp (</w:t>
      </w:r>
      <m:oMath>
        <m:sSub>
          <m:e>
            <m:r>
              <m:t>C</m:t>
            </m:r>
          </m:e>
          <m:sub>
            <m:r>
              <m:t>g</m:t>
            </m:r>
          </m:sub>
        </m:sSub>
        <m:r>
          <m:rPr>
            <m:sty m:val="p"/>
          </m:rPr>
          <m:t>=</m:t>
        </m:r>
        <m:r>
          <m:t>50</m:t>
        </m:r>
      </m:oMath>
      <w:r>
        <w:t xml:space="preserve">). The four-test diagnostic that mapped per-step gradient norms across both configurations is in Supplementary Section D.5. The CFG scale</w:t>
      </w:r>
      <w:r>
        <w:t xml:space="preserve"> </w:t>
      </w:r>
      <m:oMath>
        <m:r>
          <m:t>w</m:t>
        </m:r>
      </m:oMath>
      <w:r>
        <w:t xml:space="preserve"> </w:t>
      </w:r>
      <w:r>
        <w:t xml:space="preserve">is selected from Section 4.15 sweep (Figure 23,</w:t>
      </w:r>
      <w:r>
        <w:t xml:space="preserve"> </w:t>
      </w:r>
      <m:oMath>
        <m:r>
          <m:t>w</m:t>
        </m:r>
        <m:r>
          <m:rPr>
            <m:sty m:val="p"/>
          </m:rPr>
          <m:t>∈</m:t>
        </m:r>
        <m:r>
          <m:rPr>
            <m:sty m:val="p"/>
          </m:rPr>
          <m:t>{</m:t>
        </m:r>
        <m:r>
          <m:t>5</m:t>
        </m:r>
        <m:r>
          <m:rPr>
            <m:sty m:val="p"/>
          </m:rPr>
          <m:t>,</m:t>
        </m:r>
        <m:r>
          <m:t>7</m:t>
        </m:r>
        <m:r>
          <m:rPr>
            <m:sty m:val="p"/>
          </m:rPr>
          <m:t>,</m:t>
        </m:r>
        <m:r>
          <m:t>9</m:t>
        </m:r>
        <m:r>
          <m:rPr>
            <m:sty m:val="p"/>
          </m:rPr>
          <m:t>}</m:t>
        </m:r>
      </m:oMath>
      <w:r>
        <w:t xml:space="preserve"> </w:t>
      </w:r>
      <w:r>
        <w:t xml:space="preserve">at pool=8k); per-property quantile-error breakdown is in Supplementary Section D.8.</w:t>
      </w:r>
    </w:p>
    <w:p>
      <w:pPr>
        <w:pStyle w:val="MDPI22heading2"/>
        <w:ind w:left="2608"/>
      </w:pPr>
      <w:r>
        <w:t xml:space="preserve">4.13 Filtering</w:t>
      </w:r>
    </w:p>
    <w:p>
      <w:pPr>
        <w:pStyle w:val="MDPI32textnoindent"/>
        <w:ind w:left="2608"/>
      </w:pPr>
      <w:r>
        <w:t xml:space="preserve">The decoded SMILES pool flows through a four-stage funnel that progressively raises the bar from cheap chemistry rules (SMARTS gate) to expensive first-principles audits (DFT). Stages 1+2 (ms cost per candidate) score every candidate; Stages 3+4 (CPU- and GPU-hours per candidate) run only on the top-K survivors.</w:t>
      </w:r>
    </w:p>
    <w:p>
      <w:pPr>
        <w:pStyle w:val="MDPI31text"/>
        <w:ind w:left="2608"/>
      </w:pPr>
      <w:r>
        <w:t xml:space="preserve">Figure 21 walks the four-stage filtering funnel. Each pool is canonicalised, deduplicated, and stripped of charged species and over-large molecules.</w:t>
      </w:r>
      <w:r>
        <w:t xml:space="preserve"> </w:t>
      </w:r>
      <w:r>
        <w:rPr>
          <w:b/>
          <w:bCs/>
        </w:rPr>
        <w:t xml:space="preserve">Stage 1: SMARTS gate (rules + redflags).</w:t>
      </w:r>
      <w:r>
        <w:t xml:space="preserve"> </w:t>
      </w:r>
      <w:r>
        <w:t xml:space="preserve">A chemist-curated SMARTS</w:t>
      </w:r>
      <w:r>
        <w:t xml:space="preserve"> </w:t>
      </w:r>
      <w:hyperlink w:anchor="ref-daylight-smarts">
        <w:r>
          <w:rPr>
            <w:rStyle w:val="Hyperlink"/>
          </w:rPr>
          <w:t xml:space="preserve">[71]</w:t>
        </w:r>
      </w:hyperlink>
      <w:r>
        <w:t xml:space="preserve"> </w:t>
      </w:r>
      <w:r>
        <w:t xml:space="preserve">catalog removes radicals, sulphur, halogens, mixed valence states, and other red flags; survivors are scored by the Uni-Mol smoke ensemble. SA</w:t>
      </w:r>
      <w:r>
        <w:t xml:space="preserve"> </w:t>
      </w:r>
      <w:hyperlink w:anchor="ref-ertl2009sa">
        <w:r>
          <w:rPr>
            <w:rStyle w:val="Hyperlink"/>
          </w:rPr>
          <w:t xml:space="preserve">[56]</w:t>
        </w:r>
      </w:hyperlink>
      <w:r>
        <w:t xml:space="preserve"> </w:t>
      </w:r>
      <m:oMath>
        <m:r>
          <m:rPr>
            <m:sty m:val="p"/>
          </m:rPr>
          <m:t>≤</m:t>
        </m:r>
      </m:oMath>
      <w:r>
        <w:t xml:space="preserve"> 5.0 and SCScore</w:t>
      </w:r>
      <w:r>
        <w:t xml:space="preserve"> </w:t>
      </w:r>
      <w:hyperlink w:anchor="ref-coley2018scscore">
        <w:r>
          <w:rPr>
            <w:rStyle w:val="Hyperlink"/>
          </w:rPr>
          <w:t xml:space="preserve">[57]</w:t>
        </w:r>
      </w:hyperlink>
      <w:r>
        <w:t xml:space="preserve"> </w:t>
      </w:r>
      <m:oMath>
        <m:r>
          <m:rPr>
            <m:sty m:val="p"/>
          </m:rPr>
          <m:t>≤</m:t>
        </m:r>
      </m:oMath>
      <w:r>
        <w:t xml:space="preserve"> 3.5 caps are applied. Tanimoto similarity to the nearest training-set neighbour is required to lie within</w:t>
      </w:r>
      <w:r>
        <w:t xml:space="preserve"> </w:t>
      </w:r>
      <m:oMath>
        <m:r>
          <m:rPr>
            <m:sty m:val="p"/>
          </m:rPr>
          <m:t>[</m:t>
        </m:r>
        <m:r>
          <m:t>0.20</m:t>
        </m:r>
        <m:r>
          <m:rPr>
            <m:sty m:val="p"/>
          </m:rPr>
          <m:t>,</m:t>
        </m:r>
        <m:r>
          <m:t>0.55</m:t>
        </m:r>
        <m:r>
          <m:rPr>
            <m:sty m:val="p"/>
          </m:rPr>
          <m:t>]</m:t>
        </m:r>
      </m:oMath>
      <w:r>
        <w:t xml:space="preserve">.</w:t>
      </w:r>
      <w:r>
        <w:t xml:space="preserve"> </w:t>
      </w:r>
      <w:r>
        <w:rPr>
          <w:b/>
          <w:bCs/>
        </w:rPr>
        <w:t xml:space="preserve">Stage 2: Pareto reranker.</w:t>
      </w:r>
      <w:r>
        <w:t xml:space="preserve"> </w:t>
      </w:r>
      <w:r>
        <w:t xml:space="preserve">The composite</w:t>
      </w:r>
    </w:p>
    <w:p>
      <w:pPr>
        <w:pStyle w:val="MDPI39equation"/>
        <w:ind w:left="2608"/>
      </w:pPr>
      <m:oMathPara>
        <m:oMathParaPr>
          <m:jc m:val="center"/>
        </m:oMathParaPr>
        <m:oMath>
          <m:r>
            <m:t>S</m:t>
          </m:r>
          <m:r>
            <m:rPr>
              <m:sty m:val="p"/>
            </m:rPr>
            <m:t>(</m:t>
          </m:r>
          <m:r>
            <m:t>x</m:t>
          </m:r>
          <m:r>
            <m:rPr>
              <m:sty m:val="p"/>
            </m:rPr>
            <m:t>)</m:t>
          </m:r>
          <m:r>
            <m:t> </m:t>
          </m:r>
          <m:r>
            <m:rPr>
              <m:sty m:val="p"/>
            </m:rPr>
            <m:t>=</m:t>
          </m:r>
          <m:r>
            <m:t> </m:t>
          </m:r>
          <m:r>
            <m:t>0.45</m:t>
          </m:r>
          <m:r>
            <m:t> </m:t>
          </m:r>
          <m:sSubSup>
            <m:e>
              <m:r>
                <m:t>S</m:t>
              </m:r>
            </m:e>
            <m:sub>
              <m:r>
                <m:rPr>
                  <m:nor/>
                  <m:sty m:val="p"/>
                </m:rPr>
                <m:t>perf</m:t>
              </m:r>
            </m:sub>
            <m:sup>
              <m:r>
                <m:rPr>
                  <m:nor/>
                  <m:sty m:val="p"/>
                </m:rPr>
                <m:t>band</m:t>
              </m:r>
            </m:sup>
          </m:sSubSup>
          <m:r>
            <m:rPr>
              <m:sty m:val="p"/>
            </m:rPr>
            <m:t>(</m:t>
          </m:r>
          <m:r>
            <m:t>x</m:t>
          </m:r>
          <m:r>
            <m:rPr>
              <m:sty m:val="p"/>
            </m:rPr>
            <m:t>)</m:t>
          </m:r>
          <m:r>
            <m:rPr>
              <m:sty m:val="p"/>
            </m:rPr>
            <m:t>+</m:t>
          </m:r>
          <m:r>
            <m:t>0.20</m:t>
          </m:r>
          <m:r>
            <m:t> </m:t>
          </m:r>
          <m:sSub>
            <m:e>
              <m:r>
                <m:t>S</m:t>
              </m:r>
            </m:e>
            <m:sub>
              <m:r>
                <m:rPr>
                  <m:nor/>
                  <m:sty m:val="p"/>
                </m:rPr>
                <m:t>viab</m:t>
              </m:r>
            </m:sub>
          </m:sSub>
          <m:r>
            <m:rPr>
              <m:sty m:val="p"/>
            </m:rPr>
            <m:t>(</m:t>
          </m:r>
          <m:r>
            <m:t>x</m:t>
          </m:r>
          <m:r>
            <m:rPr>
              <m:sty m:val="p"/>
            </m:rPr>
            <m:t>)</m:t>
          </m:r>
          <m:r>
            <m:rPr>
              <m:sty m:val="p"/>
            </m:rPr>
            <m:t>+</m:t>
          </m:r>
          <m:r>
            <m:t>0.15</m:t>
          </m:r>
          <m:r>
            <m:t> </m:t>
          </m:r>
          <m:sSub>
            <m:e>
              <m:r>
                <m:t>S</m:t>
              </m:r>
            </m:e>
            <m:sub>
              <m:r>
                <m:rPr>
                  <m:nor/>
                  <m:sty m:val="p"/>
                </m:rPr>
                <m:t>novel</m:t>
              </m:r>
            </m:sub>
          </m:sSub>
          <m:r>
            <m:rPr>
              <m:sty m:val="p"/>
            </m:rPr>
            <m:t>(</m:t>
          </m:r>
          <m:r>
            <m:t>x</m:t>
          </m:r>
          <m:r>
            <m:rPr>
              <m:sty m:val="p"/>
            </m:rPr>
            <m:t>)</m:t>
          </m:r>
          <m:r>
            <m:rPr>
              <m:sty m:val="p"/>
            </m:rPr>
            <m:t>+</m:t>
          </m:r>
          <m:r>
            <m:t>0.20</m:t>
          </m:r>
          <m:r>
            <m:t> </m:t>
          </m:r>
          <m:r>
            <m:rPr>
              <m:sty m:val="p"/>
            </m:rPr>
            <m:t>(</m:t>
          </m:r>
          <m:r>
            <m:t>1</m:t>
          </m:r>
          <m:r>
            <m:rPr>
              <m:sty m:val="p"/>
            </m:rPr>
            <m:t>−</m:t>
          </m:r>
          <m:sSub>
            <m:e>
              <m:r>
                <m:t>S</m:t>
              </m:r>
            </m:e>
            <m:sub>
              <m:r>
                <m:rPr>
                  <m:nor/>
                  <m:sty m:val="p"/>
                </m:rPr>
                <m:t>sens</m:t>
              </m:r>
            </m:sub>
          </m:sSub>
          <m:r>
            <m:rPr>
              <m:sty m:val="p"/>
            </m:rPr>
            <m:t>(</m:t>
          </m:r>
          <m:r>
            <m:t>x</m:t>
          </m:r>
          <m:r>
            <m:rPr>
              <m:sty m:val="p"/>
            </m:rPr>
            <m:t>)</m:t>
          </m:r>
          <m:r>
            <m:rPr>
              <m:sty m:val="p"/>
            </m:rPr>
            <m:t>)</m:t>
          </m:r>
          <m:r>
            <m:rPr>
              <m:sty m:val="p"/>
            </m:rPr>
            <m:t>−</m:t>
          </m:r>
          <m:r>
            <m:t>0.10</m:t>
          </m:r>
          <m:r>
            <m:t> </m:t>
          </m:r>
          <m:sSub>
            <m:e>
              <m:r>
                <m:t>S</m:t>
              </m:r>
            </m:e>
            <m:sub>
              <m:r>
                <m:rPr>
                  <m:nor/>
                  <m:sty m:val="p"/>
                </m:rPr>
                <m:t>alerts</m:t>
              </m:r>
            </m:sub>
          </m:sSub>
          <m:r>
            <m:rPr>
              <m:sty m:val="p"/>
            </m:rPr>
            <m:t>(</m:t>
          </m:r>
          <m:r>
            <m:t>x</m:t>
          </m:r>
          <m:r>
            <m:rPr>
              <m:sty m:val="p"/>
            </m:rPr>
            <m:t>)</m:t>
          </m:r>
        </m:oMath>
      </m:oMathPara>
    </w:p>
    <w:p>
      <w:pPr>
        <w:pStyle w:val="MDPI32textnoindent"/>
        <w:ind w:left="2608"/>
      </w:pPr>
      <w:r>
        <w:t xml:space="preserve">is computed, then a Pareto front over (</w:t>
      </w:r>
      <m:oMath>
        <m:r>
          <m:rPr>
            <m:sty m:val="p"/>
          </m:rPr>
          <m:t>−</m:t>
        </m:r>
      </m:oMath>
      <w:r>
        <w:t xml:space="preserve">perf,</w:t>
      </w:r>
      <w:r>
        <w:t xml:space="preserve"> </w:t>
      </w:r>
      <m:oMath>
        <m:r>
          <m:rPr>
            <m:sty m:val="p"/>
          </m:rPr>
          <m:t>−</m:t>
        </m:r>
      </m:oMath>
      <w:r>
        <w:t xml:space="preserve">viab, sens, alerts) is used as the outer stratifier with the composite as within-stratum tiebreak. Default top-</w:t>
      </w:r>
      <m:oMath>
        <m:r>
          <m:t>K</m:t>
        </m:r>
        <m:r>
          <m:rPr>
            <m:sty m:val="p"/>
          </m:rPr>
          <m:t>=</m:t>
        </m:r>
        <m:r>
          <m:t>100</m:t>
        </m:r>
      </m:oMath>
      <w:r>
        <w:t xml:space="preserve">. The Stage-2 reranker draws property scores (</w:t>
      </w:r>
      <m:oMath>
        <m:r>
          <m:t>ρ</m:t>
        </m:r>
        <m:r>
          <m:rPr>
            <m:sty m:val="p"/>
          </m:rPr>
          <m:t>,</m:t>
        </m:r>
        <m:r>
          <m:t>D</m:t>
        </m:r>
        <m:r>
          <m:rPr>
            <m:sty m:val="p"/>
          </m:rPr>
          <m:t>,</m:t>
        </m:r>
        <m:r>
          <m:t>P</m:t>
        </m:r>
        <m:r>
          <m:rPr>
            <m:sty m:val="p"/>
          </m:rPr>
          <m:t>,</m:t>
        </m:r>
        <m:r>
          <m:rPr>
            <m:sty m:val="p"/>
          </m:rPr>
          <m:t>H</m:t>
        </m:r>
        <m:r>
          <m:rPr>
            <m:sty m:val="p"/>
          </m:rPr>
          <m:t>O</m:t>
        </m:r>
        <m:r>
          <m:rPr>
            <m:sty m:val="p"/>
          </m:rPr>
          <m:t>F</m:t>
        </m:r>
      </m:oMath>
      <w:r>
        <w:t xml:space="preserve">) from the Uni-Mol smoke ensemble (via</w:t>
      </w:r>
      <w:r>
        <w:t xml:space="preserve"> </w:t>
      </w:r>
      <w:r>
        <w:rPr>
          <w:rStyle w:val="VerbatimChar"/>
        </w:rPr>
        <w:t xml:space="preserve">evaluate_candidates.py</w:t>
      </w:r>
      <w:r>
        <w:t xml:space="preserve"> </w:t>
      </w:r>
      <w:r>
        <w:t xml:space="preserve">+</w:t>
      </w:r>
      <w:r>
        <w:t xml:space="preserve"> </w:t>
      </w:r>
      <w:r>
        <w:rPr>
          <w:rStyle w:val="VerbatimChar"/>
        </w:rPr>
        <w:t xml:space="preserve">rerank_v2.py</w:t>
      </w:r>
      <w:r>
        <w:t xml:space="preserve">),</w:t>
      </w:r>
      <w:r>
        <w:t xml:space="preserve"> </w:t>
      </w:r>
      <w:r>
        <w:rPr>
          <w:i/>
          <w:iCs/>
        </w:rPr>
        <w:t xml:space="preserve">not</w:t>
      </w:r>
      <w:r>
        <w:t xml:space="preserve"> </w:t>
      </w:r>
      <w:r>
        <w:t xml:space="preserve">from the latent Performance head; the latent Performance head trains as a multi-task auxiliary on the shared trunk for regularisation only and is not invoked at rerank time.</w:t>
      </w:r>
      <w:r>
        <w:t xml:space="preserve"> </w:t>
      </w:r>
      <w:r>
        <w:rPr>
          <w:b/>
          <w:bCs/>
        </w:rPr>
        <w:t xml:space="preserve">Stage 3: xTB triage.</w:t>
      </w:r>
      <w:r>
        <w:t xml:space="preserve"> </w:t>
      </w:r>
      <w:r>
        <w:t xml:space="preserve">GFN2-xTB optimisation, HOMO–LUMO gap</w:t>
      </w:r>
      <w:r>
        <w:t xml:space="preserve"> </w:t>
      </w:r>
      <m:oMath>
        <m:r>
          <m:rPr>
            <m:sty m:val="p"/>
          </m:rPr>
          <m:t>≥</m:t>
        </m:r>
      </m:oMath>
      <w:r>
        <w:t xml:space="preserve"> 1.5 eV (Section 2.3).</w:t>
      </w:r>
      <w:r>
        <w:t xml:space="preserve"> </w:t>
      </w:r>
      <w:r>
        <w:rPr>
          <w:b/>
          <w:bCs/>
        </w:rPr>
        <w:t xml:space="preserve">Stage 4: DFT audit.</w:t>
      </w:r>
      <w:r>
        <w:t xml:space="preserve"> </w:t>
      </w:r>
      <w:r>
        <w:t xml:space="preserve">B3LYP/6-31G(d) optimisation +</w:t>
      </w:r>
      <w:r>
        <w:t xml:space="preserve"> </w:t>
      </w:r>
      <m:oMath>
        <m:r>
          <m:t>ω</m:t>
        </m:r>
      </m:oMath>
      <w:r>
        <w:t xml:space="preserve">B97X-D3BJ/def2-TZVP single-point + 6-anchor calibration + Kamlet–Jacobs (Section 2.3). Illustrative survivors at the Section 2 production setting: pool=40k</w:t>
      </w:r>
      <w:r>
        <w:t xml:space="preserve"> </w:t>
      </w:r>
      <m:oMath>
        <m:r>
          <m:rPr>
            <m:sty m:val="p"/>
          </m:rPr>
          <m:t>→</m:t>
        </m:r>
      </m:oMath>
      <w:r>
        <w:t xml:space="preserve"> </w:t>
      </w:r>
      <m:oMath>
        <m:r>
          <m:rPr>
            <m:sty m:val="p"/>
          </m:rPr>
          <m:t>∼</m:t>
        </m:r>
      </m:oMath>
      <w:r>
        <w:t xml:space="preserve">1 800 chem-pass after Stage 1+2 (4.6 % Stage-1+2 pass rate; 966 survive the full Uni-Mol + composite filter, Supplementary Section F.2)</w:t>
      </w:r>
      <w:r>
        <w:t xml:space="preserve"> </w:t>
      </w:r>
      <m:oMath>
        <m:r>
          <m:rPr>
            <m:sty m:val="p"/>
          </m:rPr>
          <m:t>→</m:t>
        </m:r>
      </m:oMath>
      <w:r>
        <w:t xml:space="preserve"> </w:t>
      </w:r>
      <w:r>
        <w:t xml:space="preserve">top-100 by composite re-rank</w:t>
      </w:r>
      <w:r>
        <w:t xml:space="preserve"> </w:t>
      </w:r>
      <m:oMath>
        <m:r>
          <m:rPr>
            <m:sty m:val="p"/>
          </m:rPr>
          <m:t>→</m:t>
        </m:r>
      </m:oMath>
      <w:r>
        <w:t xml:space="preserve"> </w:t>
      </w:r>
      <w:r>
        <w:t xml:space="preserve">11 DFT-validated lead cards.</w:t>
      </w:r>
    </w:p>
    <w:p xmlns:a="http://schemas.openxmlformats.org/drawingml/2006/main" xmlns:pic="http://schemas.openxmlformats.org/drawingml/2006/picture">
      <w:pPr>
        <w:pStyle w:val="MDPI52figure"/>
        <w:ind w:left="2608"/>
        <w:jc w:val="center"/>
      </w:pPr>
      <w:r>
        <w:drawing>
          <wp:inline>
            <wp:extent cx="4989830" cy="2806779"/>
            <wp:effectExtent b="0" l="0" r="0" t="0"/>
            <wp:docPr descr="DGLD post-sampling: decode, filter, rerank" title="" id="119" name="Picture"/>
            <a:graphic>
              <a:graphicData uri="http://schemas.openxmlformats.org/drawingml/2006/picture">
                <pic:pic>
                  <pic:nvPicPr>
                    <pic:cNvPr descr="../figs/fig4d_decode_rerank.png" id="120" name="Picture"/>
                    <pic:cNvPicPr>
                      <a:picLocks noChangeArrowheads="1" noChangeAspect="1"/>
                    </pic:cNvPicPr>
                  </pic:nvPicPr>
                  <pic:blipFill>
                    <a:blip r:embed="rId38"/>
                    <a:stretch>
                      <a:fillRect/>
                    </a:stretch>
                  </pic:blipFill>
                  <pic:spPr bwMode="auto">
                    <a:xfrm>
                      <a:off x="0" y="0"/>
                      <a:ext cx="4989830" cy="2806779"/>
                    </a:xfrm>
                    <a:prstGeom prst="rect">
                      <a:avLst/>
                    </a:prstGeom>
                    <a:noFill/>
                    <a:ln w="9525">
                      <a:noFill/>
                      <a:headEnd/>
                      <a:tailEnd/>
                    </a:ln>
                  </pic:spPr>
                </pic:pic>
              </a:graphicData>
            </a:graphic>
          </wp:inline>
        </w:drawing>
      </w:r>
    </w:p>
    <w:p>
      <w:pPr>
        <w:pStyle w:val="MDPI51figurecaption"/>
        <w:ind w:left="2608"/>
      </w:pPr>
      <w:r>
        <w:rPr>
          <w:b/>
          <w:bCs/>
        </w:rPr>
        <w:t xml:space="preserve">Figure 21.</w:t>
      </w:r>
      <w:r>
        <w:t xml:space="preserve"> </w:t>
      </w:r>
      <w:r>
        <w:t xml:space="preserve">Four-stage funnel on the Figure 22 Pool fusion output: Stage 1 SMARTS gate, Stage 2 Pareto reranker (this section), Stage 3 xTB triage (Section 2.3), Stage 4 DFT audit (Section 2.3). Illustrative survivors: 40k</w:t>
      </w:r>
      <w:r>
        <w:t xml:space="preserve"> </w:t>
      </w:r>
      <m:oMath>
        <m:r>
          <m:rPr>
            <m:sty m:val="p"/>
          </m:rPr>
          <m:t>→</m:t>
        </m:r>
      </m:oMath>
      <w:r>
        <w:t xml:space="preserve"> </w:t>
      </w:r>
      <m:oMath>
        <m:r>
          <m:rPr>
            <m:sty m:val="p"/>
          </m:rPr>
          <m:t>∼</m:t>
        </m:r>
      </m:oMath>
      <w:r>
        <w:t xml:space="preserve">1 800 chem-pass after Stage 1+2 (966 full-filter survivors, Supplementary Section F.2)</w:t>
      </w:r>
      <w:r>
        <w:t xml:space="preserve"> </w:t>
      </w:r>
      <m:oMath>
        <m:r>
          <m:rPr>
            <m:sty m:val="p"/>
          </m:rPr>
          <m:t>→</m:t>
        </m:r>
      </m:oMath>
      <w:r>
        <w:t xml:space="preserve"> </w:t>
      </w:r>
      <w:r>
        <w:t xml:space="preserve">top-100</w:t>
      </w:r>
      <w:r>
        <w:t xml:space="preserve"> </w:t>
      </w:r>
      <m:oMath>
        <m:r>
          <m:rPr>
            <m:sty m:val="p"/>
          </m:rPr>
          <m:t>→</m:t>
        </m:r>
      </m:oMath>
      <w:r>
        <w:t xml:space="preserve"> </w:t>
      </w:r>
      <w:r>
        <w:t xml:space="preserve">11 DFT-validated.</w:t>
      </w:r>
    </w:p>
    <w:p>
      <w:pPr>
        <w:pStyle w:val="MDPI31text"/>
        <w:ind w:left="2608"/>
      </w:pPr>
      <w:r>
        <w:t xml:space="preserve">The Pareto-front procedure in Stage 2 is the four-step sweep:</w:t>
      </w:r>
    </w:p>
    <w:p>
      <w:pPr>
        <w:pStyle w:val="Compact"/>
      </w:pPr>
      <w:r>
        <w:rPr>
          <w:b/>
          <w:bCs/>
        </w:rPr>
        <w:t xml:space="preserve">Score</w:t>
      </w:r>
      <w:r>
        <w:t xml:space="preserve"> </w:t>
      </w:r>
      <w:r>
        <w:t xml:space="preserve">each candidate with the composite</w:t>
      </w:r>
      <w:r>
        <w:t xml:space="preserve"> </w:t>
      </w:r>
      <m:oMath>
        <m:r>
          <m:t>S</m:t>
        </m:r>
        <m:r>
          <m:rPr>
            <m:sty m:val="p"/>
          </m:rPr>
          <m:t>(</m:t>
        </m:r>
        <m:r>
          <m:t>x</m:t>
        </m:r>
        <m:r>
          <m:rPr>
            <m:sty m:val="p"/>
          </m:rPr>
          <m:t>)</m:t>
        </m:r>
      </m:oMath>
      <w:r>
        <w:t xml:space="preserve"> </w:t>
      </w:r>
      <w:r>
        <w:t xml:space="preserve">defined above (perf-band, viability, novelty, sensitivity, alerts).</w:t>
      </w:r>
    </w:p>
    <w:p>
      <w:pPr>
        <w:pStyle w:val="Compact"/>
      </w:pPr>
      <w:r>
        <w:rPr>
          <w:b/>
          <w:bCs/>
        </w:rPr>
        <w:t xml:space="preserve">Mark</w:t>
      </w:r>
      <w:r>
        <w:t xml:space="preserve"> </w:t>
      </w:r>
      <w:r>
        <w:t xml:space="preserve">each candidate as on-front or dominated, against the four-objective comparison (</w:t>
      </w:r>
      <m:oMath>
        <m:r>
          <m:rPr>
            <m:sty m:val="p"/>
          </m:rPr>
          <m:t>−</m:t>
        </m:r>
      </m:oMath>
      <w:r>
        <w:t xml:space="preserve">perf,</w:t>
      </w:r>
      <w:r>
        <w:t xml:space="preserve"> </w:t>
      </w:r>
      <m:oMath>
        <m:r>
          <m:rPr>
            <m:sty m:val="p"/>
          </m:rPr>
          <m:t>−</m:t>
        </m:r>
      </m:oMath>
      <w:r>
        <w:t xml:space="preserve">viability, sensitivity, alerts) using a standard pairwise non-dominance sweep.</w:t>
      </w:r>
    </w:p>
    <w:p>
      <w:pPr>
        <w:pStyle w:val="Compact"/>
      </w:pPr>
      <w:r>
        <w:rPr>
          <w:b/>
          <w:bCs/>
        </w:rPr>
        <w:t xml:space="preserve">Sort</w:t>
      </w:r>
      <w:r>
        <w:t xml:space="preserve"> </w:t>
      </w:r>
      <w:r>
        <w:t xml:space="preserve">with a two-key order: Pareto-front candidates first, then non-front; within each stratum by composite descending.</w:t>
      </w:r>
    </w:p>
    <w:p>
      <w:pPr>
        <w:pStyle w:val="Compact"/>
      </w:pPr>
      <w:r>
        <w:rPr>
          <w:b/>
          <w:bCs/>
        </w:rPr>
        <w:t xml:space="preserve">Return</w:t>
      </w:r>
      <w:r>
        <w:t xml:space="preserve"> </w:t>
      </w:r>
      <w:r>
        <w:t xml:space="preserve">the top-</w:t>
      </w:r>
      <m:oMath>
        <m:r>
          <m:t>K</m:t>
        </m:r>
      </m:oMath>
      <w:r>
        <w:t xml:space="preserve"> </w:t>
      </w:r>
      <w:r>
        <w:t xml:space="preserve">(default</w:t>
      </w:r>
      <w:r>
        <w:t xml:space="preserve"> </w:t>
      </w:r>
      <m:oMath>
        <m:r>
          <m:t>K</m:t>
        </m:r>
        <m:r>
          <m:rPr>
            <m:sty m:val="p"/>
          </m:rPr>
          <m:t>=</m:t>
        </m:r>
        <m:r>
          <m:t>100</m:t>
        </m:r>
      </m:oMath>
      <w:r>
        <w:t xml:space="preserve">).</w:t>
      </w:r>
    </w:p>
    <w:p>
      <w:pPr>
        <w:pStyle w:val="MDPI22heading2"/>
        <w:ind w:left="2608"/>
      </w:pPr>
      <w:r>
        <w:t xml:space="preserve">4.14 Pool fusion across sampling runs</w:t>
      </w:r>
    </w:p>
    <w:p>
      <w:pPr>
        <w:pStyle w:val="MDPI32textnoindent"/>
        <w:ind w:left="2608"/>
      </w:pPr>
      <w:r>
        <w:t xml:space="preserve">A single sampling lane fixes one (denoiser, conditions, guidance) tuple. Pool fusion runs multiple lanes in parallel and unions their decoded SMILES outputs, exploiting the lanes' independent failure modes for diversity. The Section 4.13 reranker is what tie-breaks across the fused pool.</w:t>
      </w:r>
    </w:p>
    <w:p>
      <w:pPr>
        <w:pStyle w:val="MDPI31text"/>
        <w:ind w:left="2608"/>
      </w:pPr>
      <w:r>
        <w:t xml:space="preserve">Figure 22 walks pool fusion. A single sampling lane = one (denoiser, conditions, guidance) tuple, run end-to-end (</w:t>
      </w:r>
      <m:oMath>
        <m:sSub>
          <m:e>
            <m:r>
              <m:t>z</m:t>
            </m:r>
          </m:e>
          <m:sub>
            <m:r>
              <m:t>T</m:t>
            </m:r>
          </m:sub>
        </m:sSub>
      </m:oMath>
      <w:r>
        <w:t xml:space="preserve"> </w:t>
      </w:r>
      <w:r>
        <w:t xml:space="preserve">draw</w:t>
      </w:r>
      <w:r>
        <w:t xml:space="preserve"> </w:t>
      </w:r>
      <m:oMath>
        <m:r>
          <m:rPr>
            <m:sty m:val="p"/>
          </m:rPr>
          <m:t>→</m:t>
        </m:r>
      </m:oMath>
      <w:r>
        <w:t xml:space="preserve"> </w:t>
      </w:r>
      <w:r>
        <w:t xml:space="preserve">40 DDIM with that lane's config</w:t>
      </w:r>
      <w:r>
        <w:t xml:space="preserve"> </w:t>
      </w:r>
      <m:oMath>
        <m:r>
          <m:rPr>
            <m:sty m:val="p"/>
          </m:rPr>
          <m:t>→</m:t>
        </m:r>
      </m:oMath>
      <w:r>
        <w:t xml:space="preserve"> </w:t>
      </w:r>
      <w:r>
        <w:t xml:space="preserve">LIMO decode</w:t>
      </w:r>
      <w:r>
        <w:t xml:space="preserve"> </w:t>
      </w:r>
      <m:oMath>
        <m:r>
          <m:rPr>
            <m:sty m:val="p"/>
          </m:rPr>
          <m:t>→</m:t>
        </m:r>
      </m:oMath>
      <w:r>
        <w:t xml:space="preserve"> </w:t>
      </w:r>
      <w:r>
        <w:t xml:space="preserve">SMILES pool). The production methodology recipe is two lanes, one per denoiser (DGLD-H and DGLD-P), both at the headline target conditions, both at viab+sens+hazard guidance, both at CFG</w:t>
      </w:r>
      <w:r>
        <w:t xml:space="preserve"> </w:t>
      </w:r>
      <m:oMath>
        <m:r>
          <m:t>w</m:t>
        </m:r>
        <m:r>
          <m:rPr>
            <m:sty m:val="p"/>
          </m:rPr>
          <m:t>=</m:t>
        </m:r>
        <m:r>
          <m:t>7</m:t>
        </m:r>
      </m:oMath>
      <w:r>
        <w:t xml:space="preserve">, pool</w:t>
      </w:r>
      <w:r>
        <w:t xml:space="preserve"> </w:t>
      </w:r>
      <m:oMath>
        <m:r>
          <m:rPr>
            <m:sty m:val="p"/>
          </m:rPr>
          <m:t>≥</m:t>
        </m:r>
      </m:oMath>
      <w:r>
        <w:t xml:space="preserve"> 40k each. Fusion is post-decode: the lanes' pools are unioned, canonical-SMILES deduplicated, and fed into the Stage-1 reranker. The three orthogonal diversity axes are conditions, denoisers, and guidance; each breaks a different correlated failure mode. The Supplementary Section F.4 four-pool merge (which adds two unguided ablation lanes) is a presentation choice for the merged top-100 result, not the production methodology recipe.</w:t>
      </w:r>
    </w:p>
    <w:p xmlns:a="http://schemas.openxmlformats.org/drawingml/2006/main" xmlns:pic="http://schemas.openxmlformats.org/drawingml/2006/picture">
      <w:pPr>
        <w:pStyle w:val="MDPI52figure"/>
        <w:ind w:left="2608"/>
        <w:jc w:val="center"/>
      </w:pPr>
      <w:r>
        <w:drawing>
          <wp:inline>
            <wp:extent cx="4989830" cy="2808271"/>
            <wp:effectExtent b="0" l="0" r="0" t="0"/>
            <wp:docPr descr="DGLD pool fusion across sampling runs: 4 lanes (2 guided production, 2 unguided baseline) varying denoiser and guidance, fanned into Union + canonical-SMILES dedupe" title="" id="124" name="Picture"/>
            <a:graphic>
              <a:graphicData uri="http://schemas.openxmlformats.org/drawingml/2006/picture">
                <pic:pic>
                  <pic:nvPicPr>
                    <pic:cNvPr descr="../figs/fig4g_pool_fusion.png" id="125" name="Picture"/>
                    <pic:cNvPicPr>
                      <a:picLocks noChangeArrowheads="1" noChangeAspect="1"/>
                    </pic:cNvPicPr>
                  </pic:nvPicPr>
                  <pic:blipFill>
                    <a:blip r:embed="rId39"/>
                    <a:stretch>
                      <a:fillRect/>
                    </a:stretch>
                  </pic:blipFill>
                  <pic:spPr bwMode="auto">
                    <a:xfrm>
                      <a:off x="0" y="0"/>
                      <a:ext cx="4989830" cy="2808271"/>
                    </a:xfrm>
                    <a:prstGeom prst="rect">
                      <a:avLst/>
                    </a:prstGeom>
                    <a:noFill/>
                    <a:ln w="9525">
                      <a:noFill/>
                      <a:headEnd/>
                      <a:tailEnd/>
                    </a:ln>
                  </pic:spPr>
                </pic:pic>
              </a:graphicData>
            </a:graphic>
          </wp:inline>
        </w:drawing>
      </w:r>
    </w:p>
    <w:p>
      <w:pPr>
        <w:pStyle w:val="MDPI51figurecaption"/>
        <w:ind w:left="2608"/>
      </w:pPr>
      <w:r>
        <w:rPr>
          <w:b/>
          <w:bCs/>
        </w:rPr>
        <w:t xml:space="preserve">Figure 22.</w:t>
      </w:r>
      <w:r>
        <w:t xml:space="preserve"> </w:t>
      </w:r>
      <w:r>
        <w:t xml:space="preserve">Four independent end-to-end sampling lanes, each defined by a (denoiser, guidance) tuple at the headline target conditions: lanes 1-2 are guided (DGLD-H and DGLD-P at viab+sens+hazard) and form the production methodology recipe; lanes 3-4 are unguided baselines (DGLD-H and DGLD-P at CFG-only). Each lane runs end-to-end (</w:t>
      </w:r>
      <m:oMath>
        <m:sSub>
          <m:e>
            <m:r>
              <m:t>z</m:t>
            </m:r>
          </m:e>
          <m:sub>
            <m:r>
              <m:t>T</m:t>
            </m:r>
          </m:sub>
        </m:sSub>
      </m:oMath>
      <w:r>
        <w:t xml:space="preserve"> </w:t>
      </w:r>
      <w:r>
        <w:t xml:space="preserve">draw → 40 DDIM → LIMO decode); the four pools converge to a single Union + canonical-SMILES dedupe step that feeds Section 4.13 reranker (Figure 21).</w:t>
      </w:r>
    </w:p>
    <w:p>
      <w:pPr>
        <w:pStyle w:val="MDPI22heading2"/>
        <w:ind w:left="2608"/>
      </w:pPr>
      <w:r>
        <w:t xml:space="preserve">4.15 Training and hyperparameter selection</w:t>
      </w:r>
    </w:p>
    <w:p>
      <w:pPr>
        <w:pStyle w:val="MDPI32textnoindent"/>
        <w:ind w:left="2608"/>
      </w:pPr>
      <w:r>
        <w:t xml:space="preserve">Every numeric constant in Section 4.5-Section 4.14 is selected by one of four mechanisms: empirically swept, stop-criterion-driven, inherited from prior work, or chemist-set. This section walks each bucket and flags what was empirically verified versus what was a defensible default.</w:t>
      </w:r>
    </w:p>
    <w:p>
      <w:pPr>
        <w:pStyle w:val="MDPI31text"/>
        <w:ind w:left="2608"/>
      </w:pPr>
      <w:r>
        <w:t xml:space="preserve">Every numeric constant introduced in Section 4.5–Section 4.14 falls into one of four buckets, distinguished by</w:t>
      </w:r>
      <w:r>
        <w:t xml:space="preserve"> </w:t>
      </w:r>
      <w:r>
        <w:rPr>
          <w:i/>
          <w:iCs/>
        </w:rPr>
        <w:t xml:space="preserve">how</w:t>
      </w:r>
      <w:r>
        <w:t xml:space="preserve"> </w:t>
      </w:r>
      <w:r>
        <w:t xml:space="preserve">the value was set: empirical sweeps, stop-criterion-driven counts, values inherited from prior work, and chemist-set thresholds. The remainder of this section walks each bucket in turn, then closes with the limitations of the selection procedure.</w:t>
      </w:r>
    </w:p>
    <w:p>
      <w:pPr>
        <w:pStyle w:val="MDPI31text"/>
        <w:ind w:left="2608"/>
      </w:pPr>
      <w:r>
        <w:t xml:space="preserve">The first bucket is empirically swept. Two knobs were swept directly under the post-filter survival metric: the classifier-free-guidance scale</w:t>
      </w:r>
      <w:r>
        <w:t xml:space="preserve"> </w:t>
      </w:r>
      <m:oMath>
        <m:r>
          <m:t>w</m:t>
        </m:r>
      </m:oMath>
      <w:r>
        <w:t xml:space="preserve"> </w:t>
      </w:r>
      <w:r>
        <w:t xml:space="preserve">(Figure 23) and the candidate pool size (Figure 24). The CFG scale was tested at three points,</w:t>
      </w:r>
      <w:r>
        <w:t xml:space="preserve"> </w:t>
      </w:r>
      <m:oMath>
        <m:r>
          <m:t>w</m:t>
        </m:r>
        <m:r>
          <m:rPr>
            <m:sty m:val="p"/>
          </m:rPr>
          <m:t>∈</m:t>
        </m:r>
        <m:r>
          <m:rPr>
            <m:sty m:val="p"/>
          </m:rPr>
          <m:t>{</m:t>
        </m:r>
        <m:r>
          <m:t>5</m:t>
        </m:r>
        <m:r>
          <m:rPr>
            <m:sty m:val="p"/>
          </m:rPr>
          <m:t>,</m:t>
        </m:r>
        <m:r>
          <m:t>7</m:t>
        </m:r>
        <m:r>
          <m:rPr>
            <m:sty m:val="p"/>
          </m:rPr>
          <m:t>,</m:t>
        </m:r>
        <m:r>
          <m:t>9</m:t>
        </m:r>
        <m:r>
          <m:rPr>
            <m:sty m:val="p"/>
          </m:rPr>
          <m:t>}</m:t>
        </m:r>
      </m:oMath>
      <w:r>
        <w:t xml:space="preserve"> </w:t>
      </w:r>
      <w:r>
        <w:t xml:space="preserve">at pool=8k, ranked by post-filter yield;</w:t>
      </w:r>
      <w:r>
        <w:t xml:space="preserve"> </w:t>
      </w:r>
      <m:oMath>
        <m:r>
          <m:t>w</m:t>
        </m:r>
        <m:r>
          <m:rPr>
            <m:sty m:val="p"/>
          </m:rPr>
          <m:t>=</m:t>
        </m:r>
        <m:r>
          <m:t>7</m:t>
        </m:r>
      </m:oMath>
      <w:r>
        <w:t xml:space="preserve"> </w:t>
      </w:r>
      <w:r>
        <w:t xml:space="preserve">is the empirical sweet spot, with more candidates surviving than at</w:t>
      </w:r>
      <w:r>
        <w:t xml:space="preserve"> </w:t>
      </w:r>
      <m:oMath>
        <m:r>
          <m:t>w</m:t>
        </m:r>
        <m:r>
          <m:rPr>
            <m:sty m:val="p"/>
          </m:rPr>
          <m:t>=</m:t>
        </m:r>
        <m:r>
          <m:t>5</m:t>
        </m:r>
      </m:oMath>
      <w:r>
        <w:t xml:space="preserve"> </w:t>
      </w:r>
      <w:r>
        <w:t xml:space="preserve">and the tight-mode collapse at</w:t>
      </w:r>
      <w:r>
        <w:t xml:space="preserve"> </w:t>
      </w:r>
      <m:oMath>
        <m:r>
          <m:t>w</m:t>
        </m:r>
        <m:r>
          <m:rPr>
            <m:sty m:val="p"/>
          </m:rPr>
          <m:t>=</m:t>
        </m:r>
        <m:r>
          <m:t>9</m:t>
        </m:r>
      </m:oMath>
      <w:r>
        <w:t xml:space="preserve"> </w:t>
      </w:r>
      <w:r>
        <w:t xml:space="preserve">avoided. The pool-size sweep ranged from 1.5k to 40k, with both the best composite and the post-filter survival count still climbing at 40k; production uses pool</w:t>
      </w:r>
      <w:r>
        <w:t xml:space="preserve"> </w:t>
      </w:r>
      <m:oMath>
        <m:r>
          <m:rPr>
            <m:sty m:val="p"/>
          </m:rPr>
          <m:t>≥</m:t>
        </m:r>
      </m:oMath>
      <w:r>
        <w:t xml:space="preserve"> 40k per lane. The per-head guidance scales</w:t>
      </w:r>
      <w:r>
        <w:t xml:space="preserve"> </w:t>
      </w:r>
      <m:oMath>
        <m:sSub>
          <m:e>
            <m:r>
              <m:t>s</m:t>
            </m:r>
          </m:e>
          <m:sub>
            <m:r>
              <m:t>h</m:t>
            </m:r>
          </m:sub>
        </m:sSub>
      </m:oMath>
      <w:r>
        <w:t xml:space="preserve"> </w:t>
      </w:r>
      <w:r>
        <w:t xml:space="preserve">were also empirically chosen via the Supplementary Section F.4 multi-axis matrix (full grid in Supplementary Section D.6), and the score-head loss weights</w:t>
      </w:r>
      <w:r>
        <w:t xml:space="preserve"> </w:t>
      </w:r>
      <m:oMath>
        <m:sSub>
          <m:e>
            <m:r>
              <m:t>w</m:t>
            </m:r>
          </m:e>
          <m:sub>
            <m:r>
              <m:t>k</m:t>
            </m:r>
          </m:sub>
        </m:sSub>
      </m:oMath>
      <w:r>
        <w:t xml:space="preserve"> </w:t>
      </w:r>
      <w:r>
        <w:t xml:space="preserve">were hand-set so each</w:t>
      </w:r>
      <w:r>
        <w:t xml:space="preserve"> </w:t>
      </w:r>
      <m:oMath>
        <m:sSub>
          <m:e>
            <m:r>
              <m:rPr>
                <m:scr m:val="script"/>
                <m:sty m:val="p"/>
              </m:rPr>
              <m:t>L</m:t>
            </m:r>
          </m:e>
          <m:sub>
            <m:r>
              <m:t>k</m:t>
            </m:r>
          </m:sub>
        </m:sSub>
      </m:oMath>
      <w:r>
        <w:t xml:space="preserve"> </w:t>
      </w:r>
      <w:r>
        <w:t xml:space="preserve">sits at</w:t>
      </w:r>
      <w:r>
        <w:t xml:space="preserve"> </w:t>
      </w:r>
      <m:oMath>
        <m:r>
          <m:rPr>
            <m:scr m:val="script"/>
            <m:sty m:val="p"/>
          </m:rPr>
          <m:t>O</m:t>
        </m:r>
        <m:r>
          <m:rPr>
            <m:sty m:val="p"/>
          </m:rPr>
          <m:t>(</m:t>
        </m:r>
        <m:r>
          <m:t>1</m:t>
        </m:r>
        <m:r>
          <m:rPr>
            <m:sty m:val="p"/>
          </m:rPr>
          <m:t>)</m:t>
        </m:r>
      </m:oMath>
      <w:r>
        <w:t xml:space="preserve"> </w:t>
      </w:r>
      <w:r>
        <w:t xml:space="preserve">at convergence (ablation in Supplementary Section B.3).</w:t>
      </w:r>
    </w:p>
    <w:p xmlns:a="http://schemas.openxmlformats.org/drawingml/2006/main" xmlns:pic="http://schemas.openxmlformats.org/drawingml/2006/picture">
      <w:pPr>
        <w:pStyle w:val="MDPI52figure"/>
        <w:ind w:left="2608"/>
        <w:jc w:val="center"/>
      </w:pPr>
      <w:r>
        <w:drawing>
          <wp:inline>
            <wp:extent cx="4989830" cy="2952209"/>
            <wp:effectExtent b="0" l="0" r="0" t="0"/>
            <wp:docPr descr="CFG sweep" title="" id="129" name="Picture"/>
            <a:graphic>
              <a:graphicData uri="http://schemas.openxmlformats.org/drawingml/2006/picture">
                <pic:pic>
                  <pic:nvPicPr>
                    <pic:cNvPr descr="../figs/fig2_cfg_sweep.png" id="130" name="Picture"/>
                    <pic:cNvPicPr>
                      <a:picLocks noChangeArrowheads="1" noChangeAspect="1"/>
                    </pic:cNvPicPr>
                  </pic:nvPicPr>
                  <pic:blipFill>
                    <a:blip r:embed="rId40"/>
                    <a:stretch>
                      <a:fillRect/>
                    </a:stretch>
                  </pic:blipFill>
                  <pic:spPr bwMode="auto">
                    <a:xfrm>
                      <a:off x="0" y="0"/>
                      <a:ext cx="4989830" cy="2952209"/>
                    </a:xfrm>
                    <a:prstGeom prst="rect">
                      <a:avLst/>
                    </a:prstGeom>
                    <a:noFill/>
                    <a:ln w="9525">
                      <a:noFill/>
                      <a:headEnd/>
                      <a:tailEnd/>
                    </a:ln>
                  </pic:spPr>
                </pic:pic>
              </a:graphicData>
            </a:graphic>
          </wp:inline>
        </w:drawing>
      </w:r>
    </w:p>
    <w:p>
      <w:pPr>
        <w:pStyle w:val="MDPI51figurecaption"/>
        <w:ind w:left="2608"/>
      </w:pPr>
      <w:r>
        <w:rPr>
          <w:b/>
          <w:bCs/>
        </w:rPr>
        <w:t xml:space="preserve">Figure 23.</w:t>
      </w:r>
      <w:r>
        <w:t xml:space="preserve"> </w:t>
      </w:r>
      <w:r>
        <w:t xml:space="preserve">Classifier-free guidance scale</w:t>
      </w:r>
      <w:r>
        <w:t xml:space="preserve"> </w:t>
      </w:r>
      <m:oMath>
        <m:r>
          <m:t>w</m:t>
        </m:r>
      </m:oMath>
      <w:r>
        <w:t xml:space="preserve"> </w:t>
      </w:r>
      <w:r>
        <w:t xml:space="preserve">sweep at pool=8 000 per setting, ranked by the two-denoiser pool.</w:t>
      </w:r>
      <w:r>
        <w:t xml:space="preserve"> </w:t>
      </w:r>
      <m:oMath>
        <m:r>
          <m:t>w</m:t>
        </m:r>
        <m:r>
          <m:rPr>
            <m:sty m:val="p"/>
          </m:rPr>
          <m:t>=</m:t>
        </m:r>
        <m:r>
          <m:t>7</m:t>
        </m:r>
      </m:oMath>
      <w:r>
        <w:t xml:space="preserve"> </w:t>
      </w:r>
      <w:r>
        <w:t xml:space="preserve">is the empirical sweet spot.</w:t>
      </w:r>
    </w:p>
    <w:p xmlns:a="http://schemas.openxmlformats.org/drawingml/2006/main" xmlns:pic="http://schemas.openxmlformats.org/drawingml/2006/picture">
      <w:pPr>
        <w:pStyle w:val="MDPI52figure"/>
        <w:ind w:left="2608"/>
        <w:jc w:val="center"/>
      </w:pPr>
      <w:r>
        <w:drawing>
          <wp:inline>
            <wp:extent cx="4989830" cy="2811325"/>
            <wp:effectExtent b="0" l="0" r="0" t="0"/>
            <wp:docPr descr="Pool size scaling" title="" id="132" name="Picture"/>
            <a:graphic>
              <a:graphicData uri="http://schemas.openxmlformats.org/drawingml/2006/picture">
                <pic:pic>
                  <pic:nvPicPr>
                    <pic:cNvPr descr="../figs/fig1_pool_scaling.png" id="133" name="Picture"/>
                    <pic:cNvPicPr>
                      <a:picLocks noChangeArrowheads="1" noChangeAspect="1"/>
                    </pic:cNvPicPr>
                  </pic:nvPicPr>
                  <pic:blipFill>
                    <a:blip r:embed="rId41"/>
                    <a:stretch>
                      <a:fillRect/>
                    </a:stretch>
                  </pic:blipFill>
                  <pic:spPr bwMode="auto">
                    <a:xfrm>
                      <a:off x="0" y="0"/>
                      <a:ext cx="4989830" cy="2811325"/>
                    </a:xfrm>
                    <a:prstGeom prst="rect">
                      <a:avLst/>
                    </a:prstGeom>
                    <a:noFill/>
                    <a:ln w="9525">
                      <a:noFill/>
                      <a:headEnd/>
                      <a:tailEnd/>
                    </a:ln>
                  </pic:spPr>
                </pic:pic>
              </a:graphicData>
            </a:graphic>
          </wp:inline>
        </w:drawing>
      </w:r>
    </w:p>
    <w:p>
      <w:pPr>
        <w:pStyle w:val="MDPI51figurecaption"/>
        <w:ind w:left="2608"/>
      </w:pPr>
      <w:r>
        <w:rPr>
          <w:b/>
          <w:bCs/>
        </w:rPr>
        <w:t xml:space="preserve">Figure 24.</w:t>
      </w:r>
      <w:r>
        <w:t xml:space="preserve"> </w:t>
      </w:r>
      <w:r>
        <w:t xml:space="preserve">Pool size vs. (i) best composite score over top-1 candidate, (ii) number of candidates passing every filter. Both curves are still moving at pool=40k; the M7 five-lane 100k run (Supplementary Section F.5) confirms the trend: 4 639 passing candidates (4.8× the 40k baseline) with scaffold count expanding from 7 to 24.</w:t>
      </w:r>
    </w:p>
    <w:p>
      <w:pPr>
        <w:pStyle w:val="MDPI31text"/>
        <w:ind w:left="2608"/>
      </w:pPr>
      <w:r>
        <w:t xml:space="preserve">The second bucket is stop-criterion-driven. The self-distillation round count was set by the held-out probe described in Section 4.11, which requires every anchor at</w:t>
      </w:r>
      <w:r>
        <w:t xml:space="preserve"> </w:t>
      </w:r>
      <m:oMath>
        <m:r>
          <m:rPr>
            <m:sty m:val="p"/>
          </m:rPr>
          <m:t>≥</m:t>
        </m:r>
      </m:oMath>
      <w:r>
        <w:t xml:space="preserve"> 0.86 and every gaming molecule at</w:t>
      </w:r>
      <w:r>
        <w:t xml:space="preserve"> </w:t>
      </w:r>
      <m:oMath>
        <m:r>
          <m:rPr>
            <m:sty m:val="p"/>
          </m:rPr>
          <m:t>≤</m:t>
        </m:r>
      </m:oMath>
      <w:r>
        <w:t xml:space="preserve"> 0.84; the production budget-918 checkpoint is round 2 of self-distillation (round 0 = score-model trained on corpus only with Random-Forest-derived viability labels and 0 hard negatives, round 1 = corpus + 137 mined hard negatives, round 2 = corpus + 918 cumulative hard negatives + aromatic-heterocycle boost), the configuration that demotes the worst gaming molecule (gem-tetranitro) furthest, to viability 0.74. The hard-negative count (918) is the cumulative round-2 mining yield, not a tuned target.</w:t>
      </w:r>
    </w:p>
    <w:p>
      <w:pPr>
        <w:pStyle w:val="MDPI31text"/>
        <w:ind w:left="2608"/>
      </w:pPr>
      <w:r>
        <w:t xml:space="preserve">The third bucket is inherited from prior work or community convention and is not retuned in this paper. The KL weight</w:t>
      </w:r>
      <w:r>
        <w:t xml:space="preserve"> </w:t>
      </w:r>
      <m:oMath>
        <m:r>
          <m:t>β</m:t>
        </m:r>
        <m:r>
          <m:rPr>
            <m:sty m:val="p"/>
          </m:rPr>
          <m:t>=</m:t>
        </m:r>
        <m:r>
          <m:t>0.01</m:t>
        </m:r>
      </m:oMath>
      <w:r>
        <w:t xml:space="preserve"> </w:t>
      </w:r>
      <w:r>
        <w:t xml:space="preserve">is the LIMO original; the DDPM uses the cosine</w:t>
      </w:r>
      <w:r>
        <w:t xml:space="preserve"> </w:t>
      </w:r>
      <m:oMath>
        <m:r>
          <m:t>T</m:t>
        </m:r>
        <m:r>
          <m:rPr>
            <m:sty m:val="p"/>
          </m:rPr>
          <m:t>=</m:t>
        </m:r>
        <m:r>
          <m:t>1000</m:t>
        </m:r>
      </m:oMath>
      <w:r>
        <w:t xml:space="preserve"> </w:t>
      </w:r>
      <w:r>
        <w:t xml:space="preserve">schedule of Ho et al.</w:t>
      </w:r>
      <w:r>
        <w:t xml:space="preserve"> </w:t>
      </w:r>
      <w:hyperlink w:anchor="ref-ho2020ddpm">
        <w:r>
          <w:rPr>
            <w:rStyle w:val="Hyperlink"/>
          </w:rPr>
          <w:t xml:space="preserve">[22]</w:t>
        </w:r>
      </w:hyperlink>
      <w:r>
        <w:t xml:space="preserve">; the per-property dropout rate of 0.30 follows FiLM convention; the CFG dropout rate of 0.10 follows Ho and Salimans 2022; AdamW with peak LR</w:t>
      </w:r>
      <w:r>
        <w:t xml:space="preserve"> </w:t>
      </w:r>
      <m:oMath>
        <m:sSup>
          <m:e>
            <m:r>
              <m:t>10</m:t>
            </m:r>
          </m:e>
          <m:sup>
            <m:r>
              <m:rPr>
                <m:sty m:val="p"/>
              </m:rPr>
              <m:t>−</m:t>
            </m:r>
            <m:r>
              <m:t>4</m:t>
            </m:r>
          </m:sup>
        </m:sSup>
      </m:oMath>
      <w:r>
        <w:t xml:space="preserve"> </w:t>
      </w:r>
      <w:r>
        <w:t xml:space="preserve">on a cosine schedule plus EMA decay 0.999 is the standard diffusion-training recipe.</w:t>
      </w:r>
    </w:p>
    <w:p>
      <w:pPr>
        <w:pStyle w:val="MDPI31text"/>
        <w:ind w:left="2608"/>
      </w:pPr>
      <w:r>
        <w:t xml:space="preserve">The fourth bucket is chemist-set thresholds, fixed by domain conventions rather than by sweep. The xTB HOMO–LUMO cut is</w:t>
      </w:r>
      <w:r>
        <w:t xml:space="preserve"> </w:t>
      </w:r>
      <m:oMath>
        <m:r>
          <m:rPr>
            <m:sty m:val="p"/>
          </m:rPr>
          <m:t>≥</m:t>
        </m:r>
      </m:oMath>
      <w:r>
        <w:t xml:space="preserve"> 1.5 eV; the DFT calibration set is the 6-anchor panel (RDX, TATB, HMX, PETN, FOX-7, NTO); the Tanimoto novelty window is</w:t>
      </w:r>
      <w:r>
        <w:t xml:space="preserve"> </w:t>
      </w:r>
      <m:oMath>
        <m:r>
          <m:rPr>
            <m:sty m:val="p"/>
          </m:rPr>
          <m:t>[</m:t>
        </m:r>
        <m:r>
          <m:t>0.20</m:t>
        </m:r>
        <m:r>
          <m:rPr>
            <m:sty m:val="p"/>
          </m:rPr>
          <m:t>,</m:t>
        </m:r>
        <m:r>
          <m:t>0.55</m:t>
        </m:r>
        <m:r>
          <m:rPr>
            <m:sty m:val="p"/>
          </m:rPr>
          <m:t>]</m:t>
        </m:r>
      </m:oMath>
      <w:r>
        <w:t xml:space="preserve"> </w:t>
      </w:r>
      <w:r>
        <w:t xml:space="preserve">(operational novelty criterion for this pipeline; absolute scaffold novelty in the high-energy-density-materials (HEDM) literature requires additional expert review); molecular-weight floor is 130 Da and the oxygen-balance cap is</w:t>
      </w:r>
      <w:r>
        <w:t xml:space="preserve"> </w:t>
      </w:r>
      <m:oMath>
        <m:r>
          <m:rPr>
            <m:sty m:val="p"/>
          </m:rPr>
          <m:t>+</m:t>
        </m:r>
        <m:r>
          <m:t>25</m:t>
        </m:r>
        <m:r>
          <m:t> </m:t>
        </m:r>
        <m:r>
          <m:rPr>
            <m:sty m:val="p"/>
          </m:rPr>
          <m:t>%</m:t>
        </m:r>
      </m:oMath>
      <w:r>
        <w:t xml:space="preserve">.</w:t>
      </w:r>
    </w:p>
    <w:p>
      <w:pPr>
        <w:pStyle w:val="MDPI31text"/>
        <w:ind w:left="2608"/>
      </w:pPr>
      <w:r>
        <w:t xml:space="preserve">The selection procedure uses 1D ablations throughout: each hyperparameter is fixed by a per-axis sweep, a stop-criterion count, a prior-art default, or a chemist-set threshold, with the full grids in Section 2 and Supplementary Section D. A joint optimisation over (</w:t>
      </w:r>
      <m:oMath>
        <m:r>
          <m:t>w</m:t>
        </m:r>
      </m:oMath>
      <w:r>
        <w:t xml:space="preserve">,</w:t>
      </w:r>
      <w:r>
        <w:t xml:space="preserve"> </w:t>
      </w:r>
      <m:oMath>
        <m:sSub>
          <m:e>
            <m:r>
              <m:t>s</m:t>
            </m:r>
          </m:e>
          <m:sub>
            <m:r>
              <m:t>h</m:t>
            </m:r>
          </m:sub>
        </m:sSub>
      </m:oMath>
      <w:r>
        <w:t xml:space="preserve">, pool size) and per-target retuning are scoped as future work. Section 2.6 hosts only the</w:t>
      </w:r>
      <w:r>
        <w:t xml:space="preserve"> </w:t>
      </w:r>
      <w:r>
        <w:rPr>
          <w:i/>
          <w:iCs/>
        </w:rPr>
        <w:t xml:space="preserve">use</w:t>
      </w:r>
      <w:r>
        <w:t xml:space="preserve"> </w:t>
      </w:r>
      <w:r>
        <w:t xml:space="preserve">of these settings (baseline comparisons, top-1 metrics) and Supplementary Section D gives the full per-axis grids; the selection process lives here. The full compute footprint is summarised in Supplementary Section D.2.</w:t>
      </w:r>
    </w:p>
    <w:p>
      <w:pPr>
        <w:pStyle w:val="MDPI22heading2"/>
        <w:ind w:left="2608"/>
      </w:pPr>
      <w:r>
        <w:t xml:space="preserve">4.16 Baseline generators</w:t>
      </w:r>
    </w:p>
    <w:p>
      <w:pPr>
        <w:pStyle w:val="MDPI32textnoindent"/>
        <w:ind w:left="2608"/>
      </w:pPr>
      <w:r>
        <w:t xml:space="preserve">Four no-diffusion baselines are run through the identical downstream validation pipeline (canonicalisation, chemistry filters, Uni-Mol surrogate scoring, novelty window) on the same training corpus, so that any difference reflects the generator rather than the evaluation.</w:t>
      </w:r>
    </w:p>
    <w:p>
      <w:pPr>
        <w:pStyle w:val="MDPI31text"/>
        <w:ind w:left="2608"/>
      </w:pPr>
      <w:r>
        <w:rPr>
          <w:b/>
          <w:bCs/>
        </w:rPr>
        <w:t xml:space="preserve">SMILES-LSTM.</w:t>
      </w:r>
      <w:r>
        <w:t xml:space="preserve"> </w:t>
      </w:r>
      <w:r>
        <w:t xml:space="preserve">A character-level LSTM (embedding</w:t>
      </w:r>
      <w:r>
        <w:t xml:space="preserve"> </w:t>
      </w:r>
      <m:oMath>
        <m:r>
          <m:rPr>
            <m:sty m:val="p"/>
          </m:rPr>
          <m:t>→</m:t>
        </m:r>
      </m:oMath>
      <w:r>
        <w:t xml:space="preserve"> </w:t>
      </w:r>
      <w:r>
        <w:t xml:space="preserve">2-layer LSTM, 512 hidden units,</w:t>
      </w:r>
      <w:r>
        <w:t xml:space="preserve"> </w:t>
      </w:r>
      <m:oMath>
        <m:r>
          <m:rPr>
            <m:sty m:val="p"/>
          </m:rPr>
          <m:t>∼</m:t>
        </m:r>
      </m:oMath>
      <w:r>
        <w:t xml:space="preserve">6 M parameters) trained from scratch on the 326 k-molecule energetic SMILES corpus (AdamW, learning rate</w:t>
      </w:r>
      <w:r>
        <w:t xml:space="preserve"> </w:t>
      </w:r>
      <m:oMath>
        <m:sSup>
          <m:e>
            <m:r>
              <m:t>10</m:t>
            </m:r>
          </m:e>
          <m:sup>
            <m:r>
              <m:rPr>
                <m:sty m:val="p"/>
              </m:rPr>
              <m:t>−</m:t>
            </m:r>
            <m:r>
              <m:t>3</m:t>
            </m:r>
          </m:sup>
        </m:sSup>
      </m:oMath>
      <w:r>
        <w:t xml:space="preserve">, weight decay</w:t>
      </w:r>
      <w:r>
        <w:t xml:space="preserve"> </w:t>
      </w:r>
      <m:oMath>
        <m:sSup>
          <m:e>
            <m:r>
              <m:t>10</m:t>
            </m:r>
          </m:e>
          <m:sup>
            <m:r>
              <m:rPr>
                <m:sty m:val="p"/>
              </m:rPr>
              <m:t>−</m:t>
            </m:r>
            <m:r>
              <m:t>4</m:t>
            </m:r>
          </m:sup>
        </m:sSup>
      </m:oMath>
      <w:r>
        <w:t xml:space="preserve">, batch 128, gradient clip 1.0, 5 epochs, sequence length</w:t>
      </w:r>
      <w:r>
        <w:t xml:space="preserve"> </w:t>
      </w:r>
      <m:oMath>
        <m:r>
          <m:rPr>
            <m:sty m:val="p"/>
          </m:rPr>
          <m:t>≤</m:t>
        </m:r>
      </m:oMath>
      <w:r>
        <w:t xml:space="preserve"> 120). Ten thousand SMILES are sampled autoregressively at temperature 1.0 for each of three seeds. This baseline matches DGLD's corpus and parameter budget but omits diffusion and score-model guidance.</w:t>
      </w:r>
    </w:p>
    <w:p>
      <w:pPr>
        <w:pStyle w:val="MDPI31text"/>
        <w:ind w:left="2608"/>
      </w:pPr>
      <w:r>
        <w:rPr>
          <w:b/>
          <w:bCs/>
        </w:rPr>
        <w:t xml:space="preserve">SELFIES-GA.</w:t>
      </w:r>
      <w:r>
        <w:t xml:space="preserve"> </w:t>
      </w:r>
      <w:r>
        <w:t xml:space="preserve">A genetic algorithm over SELFIES (</w:t>
      </w:r>
      <w:r>
        <w:rPr>
          <w:rStyle w:val="VerbatimChar"/>
        </w:rPr>
        <w:t xml:space="preserve">selfies</w:t>
      </w:r>
      <w:r>
        <w:t xml:space="preserve"> 2.1.1: token substitution/insertion/deletion up to three mutations, single-point crossover), initialised from the same corpus and optimising the DGLD Pareto composite (viability, sensitivity, novelty, performance) each generation. The primary run evolves a population of 2 000 over 30 generations (elite fraction 0.50, new fraction 0.20, crossover fraction 0.15, seed 42); a compute-matched variant evolves 40 000 over 15 generations. Every candidate is scored each generation by the same Uni-Mol surrogate; the 40 000-pool best-novel candidate is carried through the full B3LYP/6-31G(d)</w:t>
      </w:r>
      <w:r>
        <w:t xml:space="preserve"> </w:t>
      </w:r>
      <m:oMath>
        <m:r>
          <m:rPr>
            <m:sty m:val="p"/>
          </m:rPr>
          <m:t>→</m:t>
        </m:r>
      </m:oMath>
      <w:r>
        <w:t xml:space="preserve"> </w:t>
      </w:r>
      <m:oMath>
        <m:r>
          <m:t>ω</m:t>
        </m:r>
      </m:oMath>
      <w:r>
        <w:t xml:space="preserve">B97X-D3BJ/def2-TZVP</w:t>
      </w:r>
      <w:r>
        <w:t xml:space="preserve"> </w:t>
      </w:r>
      <m:oMath>
        <m:r>
          <m:rPr>
            <m:sty m:val="p"/>
          </m:rPr>
          <m:t>→</m:t>
        </m:r>
      </m:oMath>
      <w:r>
        <w:t xml:space="preserve"> </w:t>
      </w:r>
      <w:r>
        <w:t xml:space="preserve">Kamlet–Jacobs DFT audit.</w:t>
      </w:r>
    </w:p>
    <w:p>
      <w:pPr>
        <w:pStyle w:val="MDPI31text"/>
        <w:ind w:left="2608"/>
      </w:pPr>
      <w:r>
        <w:rPr>
          <w:b/>
          <w:bCs/>
        </w:rPr>
        <w:t xml:space="preserve">MolMIM 70 M.</w:t>
      </w:r>
      <w:r>
        <w:t xml:space="preserve"> </w:t>
      </w:r>
      <w:r>
        <w:t xml:space="preserve">NVIDIA MolMIM (</w:t>
      </w:r>
      <m:oMath>
        <m:r>
          <m:rPr>
            <m:sty m:val="p"/>
          </m:rPr>
          <m:t>∼</m:t>
        </m:r>
      </m:oMath>
      <w:r>
        <w:t xml:space="preserve">70 M parameters,</w:t>
      </w:r>
      <w:r>
        <w:t xml:space="preserve"> </w:t>
      </w:r>
      <w:r>
        <w:rPr>
          <w:rStyle w:val="VerbatimChar"/>
        </w:rPr>
        <w:t xml:space="preserve">molmim_70m_24_3</w:t>
      </w:r>
      <w:r>
        <w:t xml:space="preserve"> </w:t>
      </w:r>
      <w:r>
        <w:t xml:space="preserve">checkpoint, BioNeMo 1.5), used pretrained without energetic-domain fine-tuning as an out-of-domain reference. Molecules are produced by greedy–perturbate latent decoding (scaled radius 1.0, single seed), yielding 5 598 samples that are scored on the same surrogate. Its composite is on an uncalibrated scale and is not comparable to the other methods.</w:t>
      </w:r>
    </w:p>
    <w:p>
      <w:pPr>
        <w:pStyle w:val="MDPI31text"/>
        <w:ind w:left="2608"/>
      </w:pPr>
      <w:r>
        <w:rPr>
          <w:b/>
          <w:bCs/>
        </w:rPr>
        <w:t xml:space="preserve">REINVENT 4.</w:t>
      </w:r>
      <w:r>
        <w:t xml:space="preserve"> </w:t>
      </w:r>
      <w:r>
        <w:t xml:space="preserve">AstraZeneca REINVENT 4 (v4.4.12) with reinforcement-learning fine-tuning of its built-in SMILES-transformer prior under an N-fraction-oriented reward (N-rich substructure match, synthetic-accessibility penalty, molecular-weight floor, CHNO alerts), with no DGLD-corpus pretraining. The 40 000-target run uses 8 000 reinforcement-learning steps; a multi-seed variant uses staged learning (2 000 steps, DAP,</w:t>
      </w:r>
      <w:r>
        <w:t xml:space="preserve"> </w:t>
      </w:r>
      <m:oMath>
        <m:r>
          <m:t>σ</m:t>
        </m:r>
        <m:r>
          <m:rPr>
            <m:sty m:val="p"/>
          </m:rPr>
          <m:t>=</m:t>
        </m:r>
        <m:r>
          <m:t>128</m:t>
        </m:r>
      </m:oMath>
      <w:r>
        <w:t xml:space="preserve">, seeds 42/1/2). Because the reward does not target</w:t>
      </w:r>
      <w:r>
        <w:t xml:space="preserve"> </w:t>
      </w:r>
      <m:oMath>
        <m:r>
          <m:t>ρ</m:t>
        </m:r>
      </m:oMath>
      <w:r>
        <w:t xml:space="preserve">/</w:t>
      </w:r>
      <m:oMath>
        <m:r>
          <m:t>D</m:t>
        </m:r>
      </m:oMath>
      <w:r>
        <w:t xml:space="preserve">/</w:t>
      </w:r>
      <m:oMath>
        <m:r>
          <m:t>P</m:t>
        </m:r>
      </m:oMath>
      <w:r>
        <w:t xml:space="preserve"> </w:t>
      </w:r>
      <w:r>
        <w:t xml:space="preserve">directly, the top-100 by N-fraction are scored post hoc on the same surrogate.</w:t>
      </w:r>
    </w:p>
    <w:p>
      <w:pPr>
        <w:pStyle w:val="MDPI31text"/>
        <w:ind w:left="2608"/>
      </w:pPr>
      <w:r>
        <w:t xml:space="preserve">All four baselines are scored on the same Uni-Mol surrogate; only the SELFIES-GA best-novel candidate is carried to DFT. The reranker composite is generator-internal for SELFIES-GA, an N-fraction proxy for REINVENT 4, and uncalibrated for MolMIM, so composite values are compared within, not across, methods.</w:t>
      </w:r>
    </w:p>
    <w:p>
      <w:pPr>
        <w:pStyle w:val="MDPI21heading1"/>
        <w:ind w:left="2608"/>
      </w:pPr>
      <w:r>
        <w:t xml:space="preserve">5. Conclusions</w:t>
      </w:r>
    </w:p>
    <w:p>
      <w:pPr>
        <w:pStyle w:val="MDPI32textnoindent"/>
        <w:ind w:left="2608"/>
      </w:pPr>
      <w:r>
        <w:t xml:space="preserve">DGLD demonstrates that a label-quality gate at training time, multi-head score-model guidance at sample time, and a four-stage chemistry-validation funnel are sufficient to produce novel CHNO leads in the HMX/PETN performance band on commodity hardware. Eleven lead cards (10 unique compounds; L3 and L16 coincide) are DFT-confirmed local minima; the headline compound (L1, 3,4,5-trinitro-1,2-isoxazole) reaches</w:t>
      </w:r>
      <w:r>
        <w:t xml:space="preserve"> </w:t>
      </w:r>
      <m:oMath>
        <m:sSub>
          <m:e>
            <m:r>
              <m:t>ρ</m:t>
            </m:r>
          </m:e>
          <m:sub>
            <m:r>
              <m:rPr>
                <m:nor/>
                <m:sty m:val="p"/>
              </m:rPr>
              <m:t>cal</m:t>
            </m:r>
          </m:sub>
        </m:sSub>
        <m:r>
          <m:rPr>
            <m:sty m:val="p"/>
          </m:rPr>
          <m:t>=</m:t>
        </m:r>
        <m:r>
          <m:t>2.09</m:t>
        </m:r>
      </m:oMath>
      <w:r>
        <w:t xml:space="preserve"> g cm</w:t>
      </w:r>
      <w:r>
        <w:rPr>
          <w:vertAlign w:val="superscript"/>
        </w:rPr>
        <w:t xml:space="preserve">−3</w:t>
      </w:r>
      <w:r>
        <w:t xml:space="preserve"> </w:t>
      </w:r>
      <w:r>
        <w:t xml:space="preserve">and</w:t>
      </w:r>
      <w:r>
        <w:t xml:space="preserve"> </w:t>
      </w:r>
      <m:oMath>
        <m:sSub>
          <m:e>
            <m:r>
              <m:t>D</m:t>
            </m:r>
          </m:e>
          <m:sub>
            <m:r>
              <m:rPr>
                <m:nor/>
                <m:sty m:val="p"/>
              </m:rPr>
              <m:t>K-J,cal</m:t>
            </m:r>
          </m:sub>
        </m:sSub>
        <m:r>
          <m:rPr>
            <m:sty m:val="p"/>
          </m:rPr>
          <m:t>=</m:t>
        </m:r>
        <m:r>
          <m:t>8.25</m:t>
        </m:r>
      </m:oMath>
      <w:r>
        <w:t xml:space="preserve"> km s</w:t>
      </w:r>
      <w:r>
        <w:rPr>
          <w:vertAlign w:val="superscript"/>
        </w:rPr>
        <w:t xml:space="preserve">−1</w:t>
      </w:r>
      <w:r>
        <w:t xml:space="preserve"> </w:t>
      </w:r>
      <w:r>
        <w:t xml:space="preserve">and is structurally dissimilar from all 65 980 training molecules (nearest-neighbour Tanimoto 0.27). Three strong energetics-domain baselines fail the novel-and-on-target test on the same compute: SMILES-LSTM memorises 18.3% of outputs; SELFIES-GA sees its best novel candidate collapse to</w:t>
      </w:r>
      <w:r>
        <w:t xml:space="preserve"> </w:t>
      </w:r>
      <m:oMath>
        <m:sSub>
          <m:e>
            <m:r>
              <m:t>D</m:t>
            </m:r>
          </m:e>
          <m:sub>
            <m:r>
              <m:rPr>
                <m:nor/>
                <m:sty m:val="p"/>
              </m:rPr>
              <m:t>DFT</m:t>
            </m:r>
          </m:sub>
        </m:sSub>
        <m:r>
          <m:rPr>
            <m:sty m:val="p"/>
          </m:rPr>
          <m:t>=</m:t>
        </m:r>
        <m:r>
          <m:t>6.28</m:t>
        </m:r>
      </m:oMath>
      <w:r>
        <w:t xml:space="preserve"> km s</w:t>
      </w:r>
      <w:r>
        <w:rPr>
          <w:vertAlign w:val="superscript"/>
        </w:rPr>
        <w:t xml:space="preserve">−1</w:t>
      </w:r>
      <w:r>
        <w:t xml:space="preserve"> </w:t>
      </w:r>
      <w:r>
        <w:t xml:space="preserve">under DFT audit; REINVENT 4 generates novel high-N heterocycles but peaks at</w:t>
      </w:r>
      <w:r>
        <w:t xml:space="preserve"> </w:t>
      </w:r>
      <m:oMath>
        <m:r>
          <m:t>D</m:t>
        </m:r>
        <m:r>
          <m:rPr>
            <m:sty m:val="p"/>
          </m:rPr>
          <m:t>=</m:t>
        </m:r>
        <m:r>
          <m:t>9.02</m:t>
        </m:r>
      </m:oMath>
      <w:r>
        <w:t xml:space="preserve"> km s</w:t>
      </w:r>
      <w:r>
        <w:rPr>
          <w:vertAlign w:val="superscript"/>
        </w:rPr>
        <w:t xml:space="preserve">−1</w:t>
      </w:r>
      <w:r>
        <w:t xml:space="preserve">. Across all four baselines, among the baselines only SELFIES-GA's top candidate was DFT-audited (and collapsed); DGLD is the only method with productive-quadrant coverage confirmed at DFT level. (Kamlet–Jacobs relative ranking throughout; absolute</w:t>
      </w:r>
      <w:r>
        <w:t xml:space="preserve"> </w:t>
      </w:r>
      <m:oMath>
        <m:r>
          <m:t>D</m:t>
        </m:r>
      </m:oMath>
      <w:r>
        <w:t xml:space="preserve"> </w:t>
      </w:r>
      <w:r>
        <w:t xml:space="preserve">requires a thermochemical-equilibrium solver, Section 3.)</w:t>
      </w:r>
    </w:p>
    <w:p>
      <w:pPr>
        <w:pStyle w:val="MDPI31text"/>
        <w:ind w:left="2608"/>
      </w:pPr>
      <w:r>
        <w:t xml:space="preserve">On the same sampling run the sampler recovered the known oxatriazole E1 (Section 2.4), whose calibrated</w:t>
      </w:r>
      <w:r>
        <w:t xml:space="preserve"> </w:t>
      </w:r>
      <m:oMath>
        <m:sSub>
          <m:e>
            <m:r>
              <m:t>D</m:t>
            </m:r>
          </m:e>
          <m:sub>
            <m:r>
              <m:rPr>
                <m:nor/>
                <m:sty m:val="p"/>
              </m:rPr>
              <m:t>K-J,cal</m:t>
            </m:r>
          </m:sub>
        </m:sSub>
        <m:r>
          <m:rPr>
            <m:sty m:val="p"/>
          </m:rPr>
          <m:t>=</m:t>
        </m:r>
        <m:r>
          <m:t>9.00</m:t>
        </m:r>
      </m:oMath>
      <w:r>
        <w:t xml:space="preserve"> km s</w:t>
      </w:r>
      <w:r>
        <w:rPr>
          <w:vertAlign w:val="superscript"/>
        </w:rPr>
        <w:t xml:space="preserve">−1</w:t>
      </w:r>
      <w:r>
        <w:t xml:space="preserve"> </w:t>
      </w:r>
      <w:r>
        <w:t xml:space="preserve">comes from a scaffold family disjoint from L1; its recovery validates the sampler's scaffold reach rather than adding a novel lead, and its calibrated D is an upper bound pending thermal stability confirmation and a 1,2,3,5-oxatriazole-class DFT anchor (Section 3).</w:t>
      </w:r>
    </w:p>
    <w:p>
      <w:pPr>
        <w:pStyle w:val="MDPI31text"/>
        <w:ind w:left="2608"/>
      </w:pPr>
      <w:r>
        <w:rPr>
          <w:b/>
          <w:bCs/>
        </w:rPr>
        <w:t xml:space="preserve">Recommendation for synthesis-and-characterisation.</w:t>
      </w:r>
      <w:r>
        <w:t xml:space="preserve"> </w:t>
      </w:r>
      <w:r>
        <w:t xml:space="preserve">L1 meets five criteria for an experimental campaign: it is absent from PubChem, SureChEMBL patent structures, and the 65 980-row labelled master, AiZynthFinder finds a 4-step productive route (the energetic-domain intermediates are flagged</w:t>
      </w:r>
      <w:r>
        <w:t xml:space="preserve"> </w:t>
      </w:r>
      <w:r>
        <w:rPr>
          <w:rStyle w:val="VerbatimChar"/>
        </w:rPr>
        <w:t xml:space="preserve">in_stock: false</w:t>
      </w:r>
      <w:r>
        <w:t xml:space="preserve"> </w:t>
      </w:r>
      <w:r>
        <w:t xml:space="preserve">against ZINC, Section 2.4; subject to the Supplementary Section D.14 acyl-azide intermediate hazard noted there: DPPA Curtius rearrangement, the acyl-azide is a primary-explosive-class motif requiring careful handling), the GFN2-xTB HOMO–LUMO gap is 2.6 eV, the GFN2-xTB weakest-bond BDE is 86 kcal mol</w:t>
      </w:r>
      <w:r>
        <w:rPr>
          <w:vertAlign w:val="superscript"/>
        </w:rPr>
        <w:t xml:space="preserve">−1</w:t>
      </w:r>
      <w:r>
        <w:t xml:space="preserve"> </w:t>
      </w:r>
      <w:r>
        <w:t xml:space="preserve">on a C–NO</w:t>
      </w:r>
      <w:r>
        <w:rPr>
          <w:vertAlign w:val="subscript"/>
        </w:rPr>
        <w:t xml:space="preserve">2</w:t>
      </w:r>
      <w:r>
        <w:t xml:space="preserve"> </w:t>
      </w:r>
      <w:r>
        <w:t xml:space="preserve">bond (the dominant decomposition channel; nitro loss, with no sub-80 kcal mol</w:t>
      </w:r>
      <w:r>
        <w:rPr>
          <w:vertAlign w:val="superscript"/>
        </w:rPr>
        <w:t xml:space="preserve">−1</w:t>
      </w:r>
      <w:r>
        <w:t xml:space="preserve"> </w:t>
      </w:r>
      <w:r>
        <w:t xml:space="preserve">primary-explosive sensitivity flag), and DFT confirms a real local minimum. Polymorph screening and crystal-density refinement (Section 3) are required before any density-derived performance claim can be considered quantitative.</w:t>
      </w:r>
    </w:p>
    <w:p>
      <w:pPr>
        <w:pStyle w:val="MDPI31text"/>
        <w:ind w:left="2608"/>
      </w:pPr>
      <w:r>
        <w:t xml:space="preserve">Three extensions would close the remaining gaps. First, replace the closed-form Kamlet–Jacobs step with a thermochemical-equilibrium covolume CJ solver. The open-source Cantera-based Shock and Detonation Toolbox is the practical path; EXPLO5 and Cheetah-2 are commercial alternatives. Either choice, applied to the 6-anchor-calibrated DFT inputs, converts relative-ranking-grade predictions into absolute-value-grade ones and removes the K-J caveat from the headline. Second, an energetics-domain retrosynthetic template library covering nitration, N</w:t>
      </w:r>
      <w:r>
        <w:rPr>
          <w:vertAlign w:val="subscript"/>
        </w:rPr>
        <w:t xml:space="preserve">2</w:t>
      </w:r>
      <w:r>
        <w:t xml:space="preserve">O</w:t>
      </w:r>
      <w:r>
        <w:rPr>
          <w:vertAlign w:val="subscript"/>
        </w:rPr>
        <w:t xml:space="preserve">5</w:t>
      </w:r>
      <w:r>
        <w:t xml:space="preserve"> </w:t>
      </w:r>
      <w:r>
        <w:t xml:space="preserve">nitrolysis, and ring-cyclisation reactions would close the 1/11 USPTO-template hit rate observed here, making the synthesis-plausibility check informative across the full lead set. Third, an active-learning loop closing the diffusion-sampler / first-principles-audit cycle would continuously expand the high-tier label pool from inside the system rather than from external curation. The full pipeline (LIMO checkpoint, two conditional latent denoisers, two multi-head score models, the 4-stage validation funnel, and the 918 mined hard negatives) is released as a runnable code bundle on Zenodo (Section 5), so the next compound to enter the HMX-class band can be discovered, validated, and recommended for synthesis at the cost of a few GPU-days.</w:t>
      </w:r>
    </w:p>
    <w:p>
      <w:pPr>
        <w:pStyle w:val="MDPI21heading1"/>
        <w:ind w:left="2608"/>
      </w:pPr>
      <w:r>
        <w:t xml:space="preserve">Supplementary Materials</w:t>
      </w:r>
    </w:p>
    <w:p>
      <w:pPr>
        <w:pStyle w:val="MDPI32textnoindent"/>
        <w:ind w:left="2608"/>
      </w:pPr>
      <w:r>
        <w:t xml:space="preserve">The following supporting information can be downloaded alongside this article: Supplementary</w:t>
      </w:r>
      <w:r>
        <w:t xml:space="preserve"> </w:t>
      </w:r>
      <w:r>
        <w:t xml:space="preserve">Information (Appendix A–F) containing full dataset provenance, complete model architecture and</w:t>
      </w:r>
      <w:r>
        <w:t xml:space="preserve"> </w:t>
      </w:r>
      <w:r>
        <w:t xml:space="preserve">hyperparameter tables, the first-principles (DFT) methodology and uncertainty bounds, reproducibility</w:t>
      </w:r>
      <w:r>
        <w:t xml:space="preserve"> </w:t>
      </w:r>
      <w:r>
        <w:t xml:space="preserve">details and extended ablations, baseline-method example outputs, and the detailed per-condition</w:t>
      </w:r>
      <w:r>
        <w:t xml:space="preserve"> </w:t>
      </w:r>
      <w:r>
        <w:t xml:space="preserve">ablations. File:</w:t>
      </w:r>
      <w:r>
        <w:t xml:space="preserve"> </w:t>
      </w:r>
      <w:r>
        <w:rPr>
          <w:rStyle w:val="VerbatimChar"/>
        </w:rPr>
        <w:t xml:space="preserve">molecules_paper_SI.html</w:t>
      </w:r>
      <w:r>
        <w:t xml:space="preserve"> </w:t>
      </w:r>
      <w:r>
        <w:t xml:space="preserve">(compiled to</w:t>
      </w:r>
      <w:r>
        <w:t xml:space="preserve"> </w:t>
      </w:r>
      <w:r>
        <w:rPr>
          <w:rStyle w:val="VerbatimChar"/>
        </w:rPr>
        <w:t xml:space="preserve">molecules_paper_SI.docx</w:t>
      </w:r>
      <w:r>
        <w:t xml:space="preserve">).</w:t>
      </w:r>
    </w:p>
    <w:p>
      <w:pPr>
        <w:pStyle w:val="MDPI21heading1"/>
        <w:ind w:left="2608"/>
      </w:pPr>
      <w:r>
        <w:t xml:space="preserve">Author Contributions</w:t>
      </w:r>
    </w:p>
    <w:p>
      <w:pPr>
        <w:pStyle w:val="MDPI32textnoindent"/>
        <w:ind w:left="2608"/>
      </w:pPr>
      <w:r>
        <w:t xml:space="preserve">Conceptualization, Y.A. and A.A.; methodology, Y.A. and A.A.; software, Y.A. and A.A.;</w:t>
      </w:r>
      <w:r>
        <w:t xml:space="preserve"> </w:t>
      </w:r>
      <w:r>
        <w:t xml:space="preserve">validation, Y.A. and A.A.; formal analysis, Y.A. and A.A.; investigation, Y.A. and A.A.;</w:t>
      </w:r>
      <w:r>
        <w:t xml:space="preserve"> </w:t>
      </w:r>
      <w:r>
        <w:t xml:space="preserve">data curation, Y.A. and A.A.; writing, original draft preparation, Y.A. and A.A.;</w:t>
      </w:r>
      <w:r>
        <w:t xml:space="preserve"> </w:t>
      </w:r>
      <w:r>
        <w:t xml:space="preserve">writing, review and editing, Y.A. and A.A.; visualization, Y.A. and A.A. All authors have read</w:t>
      </w:r>
      <w:r>
        <w:t xml:space="preserve"> </w:t>
      </w:r>
      <w:r>
        <w:t xml:space="preserve">and agreed to the published version of the manuscript.</w:t>
      </w:r>
    </w:p>
    <w:p>
      <w:pPr>
        <w:pStyle w:val="MDPI21heading1"/>
        <w:ind w:left="2608"/>
      </w:pPr>
      <w:r>
        <w:t xml:space="preserve">Funding</w:t>
      </w:r>
    </w:p>
    <w:p>
      <w:pPr>
        <w:pStyle w:val="MDPI32textnoindent"/>
        <w:ind w:left="2608"/>
      </w:pPr>
      <w:r>
        <w:t xml:space="preserve">This research received no external funding.</w:t>
      </w:r>
    </w:p>
    <w:p>
      <w:pPr>
        <w:pStyle w:val="MDPI21heading1"/>
        <w:ind w:left="2608"/>
      </w:pPr>
      <w:r>
        <w:t xml:space="preserve">Institutional Review Board Statement</w:t>
      </w:r>
    </w:p>
    <w:p>
      <w:pPr>
        <w:pStyle w:val="MDPI32textnoindent"/>
        <w:ind w:left="2608"/>
      </w:pPr>
      <w:r>
        <w:t xml:space="preserve">Not applicable.</w:t>
      </w:r>
    </w:p>
    <w:p>
      <w:pPr>
        <w:pStyle w:val="MDPI21heading1"/>
        <w:ind w:left="2608"/>
      </w:pPr>
      <w:r>
        <w:t xml:space="preserve">Informed Consent Statement</w:t>
      </w:r>
    </w:p>
    <w:p>
      <w:pPr>
        <w:pStyle w:val="MDPI32textnoindent"/>
        <w:ind w:left="2608"/>
      </w:pPr>
      <w:r>
        <w:t xml:space="preserve">Not applicable.</w:t>
      </w:r>
    </w:p>
    <w:p>
      <w:pPr>
        <w:pStyle w:val="MDPI21heading1"/>
        <w:ind w:left="2608"/>
      </w:pPr>
      <w:r>
        <w:t xml:space="preserve">Data Availability Statement</w:t>
      </w:r>
    </w:p>
    <w:p>
      <w:pPr>
        <w:pStyle w:val="MDPI32textnoindent"/>
        <w:ind w:left="2608"/>
      </w:pPr>
      <w:r>
        <w:t xml:space="preserve">All code, data, and trained models are released together as a single archived package on Zenodo at</w:t>
      </w:r>
      <w:r>
        <w:t xml:space="preserve"> </w:t>
      </w:r>
      <w:r>
        <w:t xml:space="preserve">DOI</w:t>
      </w:r>
      <w:r>
        <w:t xml:space="preserve"> </w:t>
      </w:r>
      <w:hyperlink r:id="rId42">
        <w:r>
          <w:rPr>
            <w:rStyle w:val="Hyperlink"/>
          </w:rPr>
          <w:t xml:space="preserve">10.5281/zenodo.19821952</w:t>
        </w:r>
      </w:hyperlink>
      <w:r>
        <w:t xml:space="preserve"> </w:t>
      </w:r>
      <w:r>
        <w:t xml:space="preserve">(code under Apache-2.0;</w:t>
      </w:r>
      <w:r>
        <w:t xml:space="preserve"> </w:t>
      </w:r>
      <w:r>
        <w:t xml:space="preserve">data and model checkpoints under CC-BY-4.0). The package contains: the code (LIMO fine-tuning, denoiser</w:t>
      </w:r>
      <w:r>
        <w:t xml:space="preserve"> </w:t>
      </w:r>
      <w:r>
        <w:t xml:space="preserve">and score-model training, sampling, the four-stage validation funnel, and the figure-generation</w:t>
      </w:r>
      <w:r>
        <w:t xml:space="preserve"> </w:t>
      </w:r>
      <w:r>
        <w:t xml:space="preserve">pipeline); the trained checkpoints (the LIMO VAE, two conditional latent denoisers DGLD-H and DGLD-P,</w:t>
      </w:r>
      <w:r>
        <w:t xml:space="preserve"> </w:t>
      </w:r>
      <w:r>
        <w:t xml:space="preserve">two multi-head latent score models, the SELFIES alphabet, and run metadata); and the data (the</w:t>
      </w:r>
      <w:r>
        <w:t xml:space="preserve"> </w:t>
      </w:r>
      <w:r>
        <w:t xml:space="preserve">65,980-row labelled CHNO master, the augmented unlabelled corpus, and the 918 mined hard-negative</w:t>
      </w:r>
      <w:r>
        <w:t xml:space="preserve"> </w:t>
      </w:r>
      <w:r>
        <w:t xml:space="preserve">latents), redistributed in canonicalised form with row-level provenance. The code is additionally</w:t>
      </w:r>
      <w:r>
        <w:t xml:space="preserve"> </w:t>
      </w:r>
      <w:r>
        <w:t xml:space="preserve">mirrored at</w:t>
      </w:r>
      <w:r>
        <w:t xml:space="preserve"> </w:t>
      </w:r>
      <w:hyperlink r:id="rId43">
        <w:r>
          <w:rPr>
            <w:rStyle w:val="Hyperlink"/>
          </w:rPr>
          <w:t xml:space="preserve">github.com/ApartsinProjects/DGLD4Energetic</w:t>
        </w:r>
      </w:hyperlink>
      <w:r>
        <w:t xml:space="preserve">.</w:t>
      </w:r>
    </w:p>
    <w:p>
      <w:pPr>
        <w:pStyle w:val="MDPI21heading1"/>
        <w:ind w:left="2608"/>
      </w:pPr>
      <w:r>
        <w:t xml:space="preserve">Conflicts of Interest</w:t>
      </w:r>
    </w:p>
    <w:p>
      <w:pPr>
        <w:pStyle w:val="MDPI32textnoindent"/>
        <w:ind w:left="2608"/>
      </w:pPr>
      <w:r>
        <w:t xml:space="preserve">The authors declare no conflicts of interest.</w:t>
      </w:r>
    </w:p>
    <w:p>
      <w:pPr>
        <w:pStyle w:val="MDPI21heading1"/>
        <w:ind w:left="2608"/>
      </w:pPr>
      <w:r>
        <w:t xml:space="preserve">References</w:t>
      </w:r>
    </w:p>
    <w:p>
      <w:pPr>
        <w:pStyle w:val="MDPI81references"/>
        <w:numPr>
          <w:ilvl w:val="0"/>
          <w:numId w:val="0"/>
        </w:numPr>
        <w:ind w:left="180" w:hanging="180"/>
      </w:pPr>
      <w:bookmarkStart w:id="147" w:name="ref-kamlet1968detonation"/>
      <w:r>
        <w:t xml:space="preserve">Kamlet, M. J., &amp; Jacobs, S. J. (1968). Chemistry of Detonations. I. A Simple Method for Calculating Detonation Properties of C-H-N-O Explosives.</w:t>
      </w:r>
      <w:r>
        <w:t xml:space="preserve"> </w:t>
      </w:r>
      <w:r>
        <w:rPr>
          <w:i/>
          <w:iCs/>
        </w:rPr>
        <w:t xml:space="preserve">J. Chem. Phys. 48</w:t>
      </w:r>
      <w:r>
        <w:t xml:space="preserve">:23–55. doi:10.1063/1.1667908.</w:t>
      </w:r>
      <w:bookmarkEnd w:id="147"/>
    </w:p>
    <w:p>
      <w:pPr>
        <w:pStyle w:val="MDPI81references"/>
        <w:numPr>
          <w:ilvl w:val="0"/>
          <w:numId w:val="0"/>
        </w:numPr>
        <w:ind w:left="180" w:hanging="180"/>
      </w:pPr>
      <w:bookmarkStart w:id="148" w:name="ref-casey2020prediction"/>
      <w:r>
        <w:t xml:space="preserve">Casey, A. D., Son, S. F., Bilionis, I., &amp; Barnes, B. C. (2020). Prediction of Energetic Material Properties from Electronic Structure Using 3D Convolutional Neural Networks.</w:t>
      </w:r>
      <w:r>
        <w:t xml:space="preserve"> </w:t>
      </w:r>
      <w:r>
        <w:rPr>
          <w:i/>
          <w:iCs/>
        </w:rPr>
        <w:t xml:space="preserve">J. Chem. Inf. Model. 60(10)</w:t>
      </w:r>
      <w:r>
        <w:t xml:space="preserve">:4457–4473. doi:10.1021/acs.jcim.0c00259.</w:t>
      </w:r>
      <w:bookmarkEnd w:id="148"/>
    </w:p>
    <w:p>
      <w:pPr>
        <w:pStyle w:val="MDPI81references"/>
        <w:numPr>
          <w:ilvl w:val="0"/>
          <w:numId w:val="0"/>
        </w:numPr>
        <w:ind w:left="180" w:hanging="180"/>
      </w:pPr>
      <w:bookmarkStart w:id="149" w:name="ref-zhou2023unimol"/>
      <w:r>
        <w:t xml:space="preserve">Zhou, G. et al. (2023). Uni-Mol: A Universal 3D Molecular Representation Learning Framework.</w:t>
      </w:r>
      <w:r>
        <w:t xml:space="preserve"> </w:t>
      </w:r>
      <w:r>
        <w:rPr>
          <w:i/>
          <w:iCs/>
        </w:rPr>
        <w:t xml:space="preserve">ICLR 2023</w:t>
      </w:r>
      <w:r>
        <w:t xml:space="preserve">.</w:t>
      </w:r>
      <w:bookmarkEnd w:id="149"/>
    </w:p>
    <w:p>
      <w:pPr>
        <w:pStyle w:val="MDPI81references"/>
        <w:numPr>
          <w:ilvl w:val="0"/>
          <w:numId w:val="0"/>
        </w:numPr>
        <w:ind w:left="180" w:hanging="180"/>
      </w:pPr>
      <w:bookmarkStart w:id="150" w:name="ref-ho2022cfg"/>
      <w:r>
        <w:t xml:space="preserve">Ho, J., &amp; Salimans, T. (2022). Classifier-Free Diffusion Guidance. arXiv:2207.12598.</w:t>
      </w:r>
      <w:bookmarkEnd w:id="150"/>
    </w:p>
    <w:p>
      <w:pPr>
        <w:pStyle w:val="MDPI81references"/>
        <w:numPr>
          <w:ilvl w:val="0"/>
          <w:numId w:val="0"/>
        </w:numPr>
        <w:ind w:left="180" w:hanging="180"/>
      </w:pPr>
      <w:bookmarkStart w:id="151" w:name="ref-surechembl"/>
      <w:r>
        <w:t xml:space="preserve">Papadatos, G. et al. (2016). SureChEMBL: a large-scale, chemically annotated patent document database.</w:t>
      </w:r>
      <w:r>
        <w:t xml:space="preserve"> </w:t>
      </w:r>
      <w:r>
        <w:rPr>
          <w:i/>
          <w:iCs/>
        </w:rPr>
        <w:t xml:space="preserve">Nucleic Acids Res.</w:t>
      </w:r>
      <w:r>
        <w:t xml:space="preserve"> </w:t>
      </w:r>
      <w:r>
        <w:t xml:space="preserve">44(D1):D1220–D1228. doi:10.1093/nar/gkv1253.</w:t>
      </w:r>
      <w:bookmarkEnd w:id="151"/>
    </w:p>
    <w:p>
      <w:pPr>
        <w:pStyle w:val="MDPI81references"/>
        <w:numPr>
          <w:ilvl w:val="0"/>
          <w:numId w:val="0"/>
        </w:numPr>
        <w:ind w:left="180" w:hanging="180"/>
      </w:pPr>
      <w:bookmarkStart w:id="152" w:name="ref-gomez2018automatic"/>
      <w:r>
        <w:t xml:space="preserve">Gómez-Bombarelli, R. et al. (2018). Automatic Chemical Design Using a Data-Driven Continuous Representation of Molecules.</w:t>
      </w:r>
      <w:r>
        <w:t xml:space="preserve"> </w:t>
      </w:r>
      <w:r>
        <w:rPr>
          <w:i/>
          <w:iCs/>
        </w:rPr>
        <w:t xml:space="preserve">ACS Central Science 4(2)</w:t>
      </w:r>
      <w:r>
        <w:t xml:space="preserve">:268–276. doi:10.1021/acscentsci.7b00572.</w:t>
      </w:r>
      <w:bookmarkEnd w:id="152"/>
    </w:p>
    <w:p>
      <w:pPr>
        <w:pStyle w:val="MDPI81references"/>
        <w:numPr>
          <w:ilvl w:val="0"/>
          <w:numId w:val="0"/>
        </w:numPr>
        <w:ind w:left="180" w:hanging="180"/>
      </w:pPr>
      <w:bookmarkStart w:id="153" w:name="ref-jin2018junction"/>
      <w:r>
        <w:t xml:space="preserve">Jin, W., Barzilay, R., &amp; Jaakkola, T. (2018). Junction Tree Variational Autoencoder for Molecular Graph Generation.</w:t>
      </w:r>
      <w:r>
        <w:t xml:space="preserve"> </w:t>
      </w:r>
      <w:r>
        <w:rPr>
          <w:i/>
          <w:iCs/>
        </w:rPr>
        <w:t xml:space="preserve">ICML 2018</w:t>
      </w:r>
      <w:r>
        <w:t xml:space="preserve">. arXiv:1802.04364.</w:t>
      </w:r>
      <w:bookmarkEnd w:id="153"/>
    </w:p>
    <w:p>
      <w:pPr>
        <w:pStyle w:val="MDPI81references"/>
        <w:numPr>
          <w:ilvl w:val="0"/>
          <w:numId w:val="0"/>
        </w:numPr>
        <w:ind w:left="180" w:hanging="180"/>
      </w:pPr>
      <w:bookmarkStart w:id="154" w:name="ref-winter2019cddd"/>
      <w:r>
        <w:t xml:space="preserve">Winter, R., Montanari, F., Noé, F., &amp; Clevert, D.-A. (2019). Learning continuous and data-driven molecular descriptors by translating equivalent chemical representations.</w:t>
      </w:r>
      <w:r>
        <w:t xml:space="preserve"> </w:t>
      </w:r>
      <w:r>
        <w:rPr>
          <w:i/>
          <w:iCs/>
        </w:rPr>
        <w:t xml:space="preserve">Chem. Sci. 10(6)</w:t>
      </w:r>
      <w:r>
        <w:t xml:space="preserve">:1692–1701. doi:10.1039/C8SC04175J.</w:t>
      </w:r>
      <w:bookmarkEnd w:id="154"/>
    </w:p>
    <w:p>
      <w:pPr>
        <w:pStyle w:val="MDPI81references"/>
        <w:numPr>
          <w:ilvl w:val="0"/>
          <w:numId w:val="0"/>
        </w:numPr>
        <w:ind w:left="180" w:hanging="180"/>
      </w:pPr>
      <w:bookmarkStart w:id="155" w:name="ref-maziarka2020molcyclegan"/>
      <w:r>
        <w:t xml:space="preserve">Maziarka, Ł., Pocha, A., Kaczmarczyk, J., Rataj, K., Danel, T., &amp; Warchoł, M. (2020). Mol-CycleGAN: a generative model for molecular optimization.</w:t>
      </w:r>
      <w:r>
        <w:t xml:space="preserve"> </w:t>
      </w:r>
      <w:r>
        <w:rPr>
          <w:i/>
          <w:iCs/>
        </w:rPr>
        <w:t xml:space="preserve">J. Cheminformatics 12</w:t>
      </w:r>
      <w:r>
        <w:t xml:space="preserve">:2. doi:10.1186/s13321-019-0404-1.</w:t>
      </w:r>
      <w:bookmarkEnd w:id="155"/>
    </w:p>
    <w:p>
      <w:pPr>
        <w:pStyle w:val="MDPI81references"/>
        <w:numPr>
          <w:ilvl w:val="0"/>
          <w:numId w:val="0"/>
        </w:numPr>
        <w:ind w:left="180" w:hanging="180"/>
      </w:pPr>
      <w:bookmarkStart w:id="156" w:name="ref-krenn2020selfies"/>
      <w:r>
        <w:t xml:space="preserve">Krenn, M., Häse, F., Nigam, A., Friederich, P., &amp; Aspuru-Guzik, A. (2020). Self-Referencing Embedded Strings (SELFIES): A 100% Robust Molecular String Representation.</w:t>
      </w:r>
      <w:r>
        <w:t xml:space="preserve"> </w:t>
      </w:r>
      <w:r>
        <w:rPr>
          <w:i/>
          <w:iCs/>
        </w:rPr>
        <w:t xml:space="preserve">Mach. Learn.: Sci. Tech. 1</w:t>
      </w:r>
      <w:r>
        <w:t xml:space="preserve">:045024.</w:t>
      </w:r>
      <w:bookmarkEnd w:id="156"/>
    </w:p>
    <w:p>
      <w:pPr>
        <w:pStyle w:val="MDPI81references"/>
        <w:numPr>
          <w:ilvl w:val="0"/>
          <w:numId w:val="0"/>
        </w:numPr>
        <w:ind w:left="180" w:hanging="180"/>
      </w:pPr>
      <w:bookmarkStart w:id="157" w:name="ref-eckmann2022limo"/>
      <w:r>
        <w:t xml:space="preserve">Eckmann, P., Sun, K., Zhao, B., Feng, M., Gilson, M. K., &amp; Yu, R. (2022). LIMO: Latent Inceptionism for Targeted Molecule Generation.</w:t>
      </w:r>
      <w:r>
        <w:t xml:space="preserve"> </w:t>
      </w:r>
      <w:r>
        <w:rPr>
          <w:i/>
          <w:iCs/>
        </w:rPr>
        <w:t xml:space="preserve">ICML 2022</w:t>
      </w:r>
      <w:r>
        <w:t xml:space="preserve">. arXiv:2206.09010.</w:t>
      </w:r>
      <w:bookmarkEnd w:id="157"/>
    </w:p>
    <w:p>
      <w:pPr>
        <w:pStyle w:val="MDPI81references"/>
        <w:numPr>
          <w:ilvl w:val="0"/>
          <w:numId w:val="0"/>
        </w:numPr>
        <w:ind w:left="180" w:hanging="180"/>
      </w:pPr>
      <w:bookmarkStart w:id="158" w:name="ref-reidenbach2023molmim"/>
      <w:r>
        <w:t xml:space="preserve">Reidenbach, D., Livne, M., Ilango, R. K., Gill, M., &amp; Israeli, J. (2023). MolMIM: A Molecular Language Model for Property-Guided Molecule Generation via Mutual Information Machines. (MLDD Workshop, ICLR 2023; arXiv:2208.09016).</w:t>
      </w:r>
      <w:bookmarkEnd w:id="158"/>
    </w:p>
    <w:p>
      <w:pPr>
        <w:pStyle w:val="MDPI81references"/>
        <w:numPr>
          <w:ilvl w:val="0"/>
          <w:numId w:val="0"/>
        </w:numPr>
        <w:ind w:left="180" w:hanging="180"/>
      </w:pPr>
      <w:bookmarkStart w:id="159" w:name="ref-jaegle2021perceiver"/>
      <w:r>
        <w:t xml:space="preserve">Jaegle, A. et al. (2021). Perceiver: General Perception with Iterative Attention.</w:t>
      </w:r>
      <w:r>
        <w:t xml:space="preserve"> </w:t>
      </w:r>
      <w:r>
        <w:rPr>
          <w:i/>
          <w:iCs/>
        </w:rPr>
        <w:t xml:space="preserve">ICML 2021</w:t>
      </w:r>
      <w:r>
        <w:t xml:space="preserve">. arXiv:2103.03206.</w:t>
      </w:r>
      <w:bookmarkEnd w:id="159"/>
    </w:p>
    <w:p>
      <w:pPr>
        <w:pStyle w:val="MDPI81references"/>
        <w:numPr>
          <w:ilvl w:val="0"/>
          <w:numId w:val="0"/>
        </w:numPr>
        <w:ind w:left="180" w:hanging="180"/>
      </w:pPr>
      <w:bookmarkStart w:id="160" w:name="ref-olivecrona2017reinvent"/>
      <w:r>
        <w:t xml:space="preserve">Olivecrona, M., Blaschke, T., Engkvist, O., &amp; Chen, H. (2017). Molecular de-novo design through deep reinforcement learning.</w:t>
      </w:r>
      <w:r>
        <w:t xml:space="preserve"> </w:t>
      </w:r>
      <w:r>
        <w:rPr>
          <w:i/>
          <w:iCs/>
        </w:rPr>
        <w:t xml:space="preserve">J. Cheminformatics 9</w:t>
      </w:r>
      <w:r>
        <w:t xml:space="preserve">:48. doi:10.1186/s13321-017-0235-x.</w:t>
      </w:r>
      <w:bookmarkEnd w:id="160"/>
    </w:p>
    <w:p>
      <w:pPr>
        <w:pStyle w:val="MDPI81references"/>
        <w:numPr>
          <w:ilvl w:val="0"/>
          <w:numId w:val="0"/>
        </w:numPr>
        <w:ind w:left="180" w:hanging="180"/>
      </w:pPr>
      <w:bookmarkStart w:id="161" w:name="ref-loeffler2024reinvent4"/>
      <w:r>
        <w:t xml:space="preserve">Loeffler, H. H., He, J., Tibo, A., Janet, J. P., Voronov, A., Mervin, L. H., &amp; Engkvist, O. (2024). REINVENT 4: Modern AI-driven generative molecule design.</w:t>
      </w:r>
      <w:r>
        <w:t xml:space="preserve"> </w:t>
      </w:r>
      <w:r>
        <w:rPr>
          <w:i/>
          <w:iCs/>
        </w:rPr>
        <w:t xml:space="preserve">J. Cheminformatics 16</w:t>
      </w:r>
      <w:r>
        <w:t xml:space="preserve">:20. doi:10.1186/s13321-024-00812-5.</w:t>
      </w:r>
      <w:bookmarkEnd w:id="161"/>
    </w:p>
    <w:p>
      <w:pPr>
        <w:pStyle w:val="MDPI81references"/>
        <w:numPr>
          <w:ilvl w:val="0"/>
          <w:numId w:val="0"/>
        </w:numPr>
        <w:ind w:left="180" w:hanging="180"/>
      </w:pPr>
      <w:bookmarkStart w:id="162" w:name="ref-yang2017chemts"/>
      <w:r>
        <w:t xml:space="preserve">Yang, X., Zhang, J., Yoshizoe, K., Terayama, K., &amp; Tsuda, K. (2017). ChemTS: An efficient python library for de novo molecular generation.</w:t>
      </w:r>
      <w:r>
        <w:t xml:space="preserve"> </w:t>
      </w:r>
      <w:r>
        <w:rPr>
          <w:i/>
          <w:iCs/>
        </w:rPr>
        <w:t xml:space="preserve">Sci. Tech. Adv. Mater. 18(1)</w:t>
      </w:r>
      <w:r>
        <w:t xml:space="preserve">:972–976. doi:10.1080/14686996.2017.1401424.</w:t>
      </w:r>
      <w:bookmarkEnd w:id="162"/>
    </w:p>
    <w:p>
      <w:pPr>
        <w:pStyle w:val="MDPI81references"/>
        <w:numPr>
          <w:ilvl w:val="0"/>
          <w:numId w:val="0"/>
        </w:numPr>
        <w:ind w:left="180" w:hanging="180"/>
      </w:pPr>
      <w:bookmarkStart w:id="163" w:name="ref-bagal2022molgpt"/>
      <w:r>
        <w:t xml:space="preserve">Bagal, V., Aggarwal, R., Vinod, P. K., &amp; Priyakumar, U. D. (2022). MolGPT: Molecular Generation Using a Transformer-Decoder Model.</w:t>
      </w:r>
      <w:r>
        <w:t xml:space="preserve"> </w:t>
      </w:r>
      <w:r>
        <w:rPr>
          <w:i/>
          <w:iCs/>
        </w:rPr>
        <w:t xml:space="preserve">J. Chem. Inf. Model. 62(9)</w:t>
      </w:r>
      <w:r>
        <w:t xml:space="preserve">:2064–2076. doi:10.1021/acs.jcim.1c00600.</w:t>
      </w:r>
      <w:bookmarkEnd w:id="163"/>
    </w:p>
    <w:p>
      <w:pPr>
        <w:pStyle w:val="MDPI81references"/>
        <w:numPr>
          <w:ilvl w:val="0"/>
          <w:numId w:val="0"/>
        </w:numPr>
        <w:ind w:left="180" w:hanging="180"/>
      </w:pPr>
      <w:bookmarkStart w:id="164" w:name="ref-ross2022molformer"/>
      <w:r>
        <w:t xml:space="preserve">Ross, J. et al. (2022). Large-Scale Chemical Language Representations Capture Molecular Structure and Properties.</w:t>
      </w:r>
      <w:r>
        <w:t xml:space="preserve"> </w:t>
      </w:r>
      <w:r>
        <w:rPr>
          <w:i/>
          <w:iCs/>
        </w:rPr>
        <w:t xml:space="preserve">Nature Machine Intelligence 4</w:t>
      </w:r>
      <w:r>
        <w:t xml:space="preserve">:1256–1264. doi:10.1038/s42256-022-00580-7.</w:t>
      </w:r>
      <w:bookmarkEnd w:id="164"/>
    </w:p>
    <w:p>
      <w:pPr>
        <w:pStyle w:val="MDPI81references"/>
        <w:numPr>
          <w:ilvl w:val="0"/>
          <w:numId w:val="0"/>
        </w:numPr>
        <w:ind w:left="180" w:hanging="180"/>
      </w:pPr>
      <w:bookmarkStart w:id="165" w:name="ref-irwin2022chemformer"/>
      <w:r>
        <w:t xml:space="preserve">Irwin, R., Dimitriadis, S., He, J., &amp; Bjerrum, E. J. (2022). Chemformer: A Pre-Trained Transformer for Computational Chemistry.</w:t>
      </w:r>
      <w:r>
        <w:t xml:space="preserve"> </w:t>
      </w:r>
      <w:r>
        <w:rPr>
          <w:i/>
          <w:iCs/>
        </w:rPr>
        <w:t xml:space="preserve">Mach. Learn.: Sci. Tech. 3</w:t>
      </w:r>
      <w:r>
        <w:t xml:space="preserve">:015022. doi:10.1088/2632-2153/ac3ffb.</w:t>
      </w:r>
      <w:bookmarkEnd w:id="165"/>
    </w:p>
    <w:p>
      <w:pPr>
        <w:pStyle w:val="MDPI81references"/>
        <w:numPr>
          <w:ilvl w:val="0"/>
          <w:numId w:val="0"/>
        </w:numPr>
        <w:ind w:left="180" w:hanging="180"/>
      </w:pPr>
      <w:bookmarkStart w:id="166" w:name="ref-bengio2021gflownet"/>
      <w:r>
        <w:t xml:space="preserve">Bengio, E., Jain, M., Korablyov, M., Precup, D., &amp; Bengio, Y. (2021). Flow Network Based Generative Models for Non-Iterative Diverse Candidate Generation.</w:t>
      </w:r>
      <w:r>
        <w:t xml:space="preserve"> </w:t>
      </w:r>
      <w:r>
        <w:rPr>
          <w:i/>
          <w:iCs/>
        </w:rPr>
        <w:t xml:space="preserve">NeurIPS 2021</w:t>
      </w:r>
      <w:r>
        <w:t xml:space="preserve">. arXiv:2106.04399.</w:t>
      </w:r>
      <w:bookmarkEnd w:id="166"/>
    </w:p>
    <w:p>
      <w:pPr>
        <w:pStyle w:val="MDPI81references"/>
        <w:numPr>
          <w:ilvl w:val="0"/>
          <w:numId w:val="0"/>
        </w:numPr>
        <w:ind w:left="180" w:hanging="180"/>
      </w:pPr>
      <w:bookmarkStart w:id="167" w:name="ref-vignac2023digress"/>
      <w:r>
        <w:t xml:space="preserve">Vignac, C. et al. (2023). DiGress: Discrete Denoising Diffusion for Graph Generation.</w:t>
      </w:r>
      <w:r>
        <w:t xml:space="preserve"> </w:t>
      </w:r>
      <w:r>
        <w:rPr>
          <w:i/>
          <w:iCs/>
        </w:rPr>
        <w:t xml:space="preserve">ICLR 2023</w:t>
      </w:r>
      <w:r>
        <w:t xml:space="preserve">. arXiv:2209.14734.</w:t>
      </w:r>
      <w:bookmarkEnd w:id="167"/>
    </w:p>
    <w:p>
      <w:pPr>
        <w:pStyle w:val="MDPI81references"/>
        <w:numPr>
          <w:ilvl w:val="0"/>
          <w:numId w:val="0"/>
        </w:numPr>
        <w:ind w:left="180" w:hanging="180"/>
      </w:pPr>
      <w:bookmarkStart w:id="168" w:name="ref-ho2020ddpm"/>
      <w:r>
        <w:t xml:space="preserve">Ho, J., Jain, A., &amp; Abbeel, P. (2020). Denoising Diffusion Probabilistic Models.</w:t>
      </w:r>
      <w:r>
        <w:t xml:space="preserve"> </w:t>
      </w:r>
      <w:r>
        <w:rPr>
          <w:i/>
          <w:iCs/>
        </w:rPr>
        <w:t xml:space="preserve">NeurIPS 2020</w:t>
      </w:r>
      <w:r>
        <w:t xml:space="preserve">. arXiv:2006.11239.</w:t>
      </w:r>
      <w:bookmarkEnd w:id="168"/>
    </w:p>
    <w:p>
      <w:pPr>
        <w:pStyle w:val="MDPI81references"/>
        <w:numPr>
          <w:ilvl w:val="0"/>
          <w:numId w:val="0"/>
        </w:numPr>
        <w:ind w:left="180" w:hanging="180"/>
      </w:pPr>
      <w:bookmarkStart w:id="169" w:name="ref-song2019score"/>
      <w:r>
        <w:t xml:space="preserve">Song, Y., &amp; Ermon, S. (2019). Generative Modeling by Estimating Gradients of the Data Distribution.</w:t>
      </w:r>
      <w:r>
        <w:t xml:space="preserve"> </w:t>
      </w:r>
      <w:r>
        <w:rPr>
          <w:i/>
          <w:iCs/>
        </w:rPr>
        <w:t xml:space="preserve">NeurIPS 2019</w:t>
      </w:r>
      <w:r>
        <w:t xml:space="preserve">. arXiv:1907.05600.</w:t>
      </w:r>
      <w:bookmarkEnd w:id="169"/>
    </w:p>
    <w:p>
      <w:pPr>
        <w:pStyle w:val="MDPI81references"/>
        <w:numPr>
          <w:ilvl w:val="0"/>
          <w:numId w:val="0"/>
        </w:numPr>
        <w:ind w:left="180" w:hanging="180"/>
      </w:pPr>
      <w:bookmarkStart w:id="170" w:name="ref-song2021sde"/>
      <w:r>
        <w:t xml:space="preserve">Song, Y. et al. (2021). Score-Based Generative Modeling through Stochastic Differential Equations.</w:t>
      </w:r>
      <w:r>
        <w:t xml:space="preserve"> </w:t>
      </w:r>
      <w:r>
        <w:rPr>
          <w:i/>
          <w:iCs/>
        </w:rPr>
        <w:t xml:space="preserve">ICLR 2021</w:t>
      </w:r>
      <w:r>
        <w:t xml:space="preserve">. arXiv:2011.13456.</w:t>
      </w:r>
      <w:bookmarkEnd w:id="170"/>
    </w:p>
    <w:p>
      <w:pPr>
        <w:pStyle w:val="MDPI81references"/>
        <w:numPr>
          <w:ilvl w:val="0"/>
          <w:numId w:val="0"/>
        </w:numPr>
        <w:ind w:left="180" w:hanging="180"/>
      </w:pPr>
      <w:bookmarkStart w:id="171" w:name="ref-rombach2022ldm"/>
      <w:r>
        <w:t xml:space="preserve">Rombach, R., Blattmann, A., Lorenz, D., Esser, P., &amp; Ommer, B. (2022). High-Resolution Image Synthesis with Latent Diffusion Models.</w:t>
      </w:r>
      <w:r>
        <w:t xml:space="preserve"> </w:t>
      </w:r>
      <w:r>
        <w:rPr>
          <w:i/>
          <w:iCs/>
        </w:rPr>
        <w:t xml:space="preserve">CVPR 2022</w:t>
      </w:r>
      <w:r>
        <w:t xml:space="preserve">. arXiv:2112.10752.</w:t>
      </w:r>
      <w:bookmarkEnd w:id="171"/>
    </w:p>
    <w:p>
      <w:pPr>
        <w:pStyle w:val="MDPI81references"/>
        <w:numPr>
          <w:ilvl w:val="0"/>
          <w:numId w:val="0"/>
        </w:numPr>
        <w:ind w:left="180" w:hanging="180"/>
      </w:pPr>
      <w:bookmarkStart w:id="172" w:name="ref-dhariwal2021diffusion"/>
      <w:r>
        <w:t xml:space="preserve">Dhariwal, P., &amp; Nichol, A. (2021). Diffusion Models Beat GANs on Image Synthesis.</w:t>
      </w:r>
      <w:r>
        <w:t xml:space="preserve"> </w:t>
      </w:r>
      <w:r>
        <w:rPr>
          <w:i/>
          <w:iCs/>
        </w:rPr>
        <w:t xml:space="preserve">NeurIPS 2021</w:t>
      </w:r>
      <w:r>
        <w:t xml:space="preserve">. arXiv:2105.05233.</w:t>
      </w:r>
      <w:bookmarkEnd w:id="172"/>
    </w:p>
    <w:p>
      <w:pPr>
        <w:pStyle w:val="MDPI81references"/>
        <w:numPr>
          <w:ilvl w:val="0"/>
          <w:numId w:val="0"/>
        </w:numPr>
        <w:ind w:left="180" w:hanging="180"/>
      </w:pPr>
      <w:bookmarkStart w:id="173" w:name="ref-perez2018film"/>
      <w:r>
        <w:t xml:space="preserve">Perez, E., Strub, F., de Vries, H., Dumoulin, V., &amp; Courville, A. (2018). FiLM: Visual Reasoning with a General Conditioning Layer.</w:t>
      </w:r>
      <w:r>
        <w:t xml:space="preserve"> </w:t>
      </w:r>
      <w:r>
        <w:rPr>
          <w:i/>
          <w:iCs/>
        </w:rPr>
        <w:t xml:space="preserve">AAAI 2018</w:t>
      </w:r>
      <w:r>
        <w:t xml:space="preserve">. arXiv:1709.07871.</w:t>
      </w:r>
      <w:bookmarkEnd w:id="173"/>
    </w:p>
    <w:p>
      <w:pPr>
        <w:pStyle w:val="MDPI81references"/>
        <w:numPr>
          <w:ilvl w:val="0"/>
          <w:numId w:val="0"/>
        </w:numPr>
        <w:ind w:left="180" w:hanging="180"/>
      </w:pPr>
      <w:bookmarkStart w:id="174" w:name="ref-hoogeboom2022edm"/>
      <w:r>
        <w:t xml:space="preserve">Hoogeboom, E., Garcia Satorras, V., Vignac, C., &amp; Welling, M. (2022). Equivariant Diffusion for Molecule Generation in 3D.</w:t>
      </w:r>
      <w:r>
        <w:t xml:space="preserve"> </w:t>
      </w:r>
      <w:r>
        <w:rPr>
          <w:i/>
          <w:iCs/>
        </w:rPr>
        <w:t xml:space="preserve">ICML 2022</w:t>
      </w:r>
      <w:r>
        <w:t xml:space="preserve">. arXiv:2203.17003.</w:t>
      </w:r>
      <w:bookmarkEnd w:id="174"/>
    </w:p>
    <w:p>
      <w:pPr>
        <w:pStyle w:val="MDPI81references"/>
        <w:numPr>
          <w:ilvl w:val="0"/>
          <w:numId w:val="0"/>
        </w:numPr>
        <w:ind w:left="180" w:hanging="180"/>
      </w:pPr>
      <w:bookmarkStart w:id="175" w:name="ref-schneuing2022diffsbdd"/>
      <w:r>
        <w:t xml:space="preserve">Schneuing, A. et al. (2022). Structure-based Drug Design with Equivariant Diffusion Models.</w:t>
      </w:r>
      <w:r>
        <w:t xml:space="preserve"> </w:t>
      </w:r>
      <w:r>
        <w:rPr>
          <w:i/>
          <w:iCs/>
        </w:rPr>
        <w:t xml:space="preserve">NeurIPS 2022 AI4Science Workshop</w:t>
      </w:r>
      <w:r>
        <w:t xml:space="preserve">. arXiv:2210.13695.</w:t>
      </w:r>
      <w:bookmarkEnd w:id="175"/>
    </w:p>
    <w:p>
      <w:pPr>
        <w:pStyle w:val="MDPI81references"/>
        <w:numPr>
          <w:ilvl w:val="0"/>
          <w:numId w:val="0"/>
        </w:numPr>
        <w:ind w:left="180" w:hanging="180"/>
      </w:pPr>
      <w:bookmarkStart w:id="176" w:name="ref-guan2023targetdiff"/>
      <w:r>
        <w:t xml:space="preserve">Guan, J. et al. (2023). 3D Equivariant Diffusion for Target-Aware Molecule Generation and Affinity Prediction.</w:t>
      </w:r>
      <w:r>
        <w:t xml:space="preserve"> </w:t>
      </w:r>
      <w:r>
        <w:rPr>
          <w:i/>
          <w:iCs/>
        </w:rPr>
        <w:t xml:space="preserve">ICLR 2023</w:t>
      </w:r>
      <w:r>
        <w:t xml:space="preserve">. arXiv:2303.03543.</w:t>
      </w:r>
      <w:bookmarkEnd w:id="176"/>
    </w:p>
    <w:p>
      <w:pPr>
        <w:pStyle w:val="MDPI81references"/>
        <w:numPr>
          <w:ilvl w:val="0"/>
          <w:numId w:val="0"/>
        </w:numPr>
        <w:ind w:left="180" w:hanging="180"/>
      </w:pPr>
      <w:bookmarkStart w:id="177" w:name="ref-peng2022pocket2mol"/>
      <w:r>
        <w:t xml:space="preserve">Peng, X., Luo, S., Guan, J., Xie, Q., Peng, J., &amp; Ma, J. (2022). Pocket2Mol: Efficient Molecular Sampling Based on 3D Protein Pockets.</w:t>
      </w:r>
      <w:r>
        <w:t xml:space="preserve"> </w:t>
      </w:r>
      <w:r>
        <w:rPr>
          <w:i/>
          <w:iCs/>
        </w:rPr>
        <w:t xml:space="preserve">ICML 2022</w:t>
      </w:r>
      <w:r>
        <w:t xml:space="preserve">. arXiv:2205.07249.</w:t>
      </w:r>
      <w:bookmarkEnd w:id="177"/>
    </w:p>
    <w:p>
      <w:pPr>
        <w:pStyle w:val="MDPI81references"/>
        <w:numPr>
          <w:ilvl w:val="0"/>
          <w:numId w:val="0"/>
        </w:numPr>
        <w:ind w:left="180" w:hanging="180"/>
      </w:pPr>
      <w:bookmarkStart w:id="178" w:name="ref-corso2023diffdock"/>
      <w:r>
        <w:t xml:space="preserve">Corso, G., Stärk, H., Jing, B., Barzilay, R., &amp; Jaakkola, T. (2023). DiffDock: Diffusion Steps, Twists, and Turns for Molecular Docking.</w:t>
      </w:r>
      <w:r>
        <w:t xml:space="preserve"> </w:t>
      </w:r>
      <w:r>
        <w:rPr>
          <w:i/>
          <w:iCs/>
        </w:rPr>
        <w:t xml:space="preserve">ICLR 2023</w:t>
      </w:r>
      <w:r>
        <w:t xml:space="preserve">. arXiv:2210.01776.</w:t>
      </w:r>
      <w:bookmarkEnd w:id="178"/>
    </w:p>
    <w:p>
      <w:pPr>
        <w:pStyle w:val="MDPI81references"/>
        <w:numPr>
          <w:ilvl w:val="0"/>
          <w:numId w:val="0"/>
        </w:numPr>
        <w:ind w:left="180" w:hanging="180"/>
      </w:pPr>
      <w:bookmarkStart w:id="179" w:name="ref-peng2023moldiff"/>
      <w:r>
        <w:t xml:space="preserve">Peng, X., Guan, J., Liu, Q., &amp; Ma, J. (2023). MolDiff: Addressing the Atom-Bond Inconsistency Problem in 3D Molecule Diffusion Generation.</w:t>
      </w:r>
      <w:r>
        <w:t xml:space="preserve"> </w:t>
      </w:r>
      <w:r>
        <w:rPr>
          <w:i/>
          <w:iCs/>
        </w:rPr>
        <w:t xml:space="preserve">ICML 2023</w:t>
      </w:r>
      <w:r>
        <w:t xml:space="preserve">. arXiv:2305.07508.</w:t>
      </w:r>
      <w:bookmarkEnd w:id="179"/>
    </w:p>
    <w:p>
      <w:pPr>
        <w:pStyle w:val="MDPI81references"/>
        <w:numPr>
          <w:ilvl w:val="0"/>
          <w:numId w:val="0"/>
        </w:numPr>
        <w:ind w:left="180" w:hanging="180"/>
      </w:pPr>
      <w:bookmarkStart w:id="180" w:name="ref-xu2023geoldm"/>
      <w:r>
        <w:t xml:space="preserve">Xu, M., Powers, A., Dror, R. O., Ermon, S., &amp; Leskovec, J. (2023). Geometric Latent Diffusion Models for 3D Molecule Generation.</w:t>
      </w:r>
      <w:r>
        <w:t xml:space="preserve"> </w:t>
      </w:r>
      <w:r>
        <w:rPr>
          <w:i/>
          <w:iCs/>
        </w:rPr>
        <w:t xml:space="preserve">ICML 2023</w:t>
      </w:r>
      <w:r>
        <w:t xml:space="preserve">. arXiv:2305.01140.</w:t>
      </w:r>
      <w:bookmarkEnd w:id="180"/>
    </w:p>
    <w:p>
      <w:pPr>
        <w:pStyle w:val="MDPI81references"/>
        <w:numPr>
          <w:ilvl w:val="0"/>
          <w:numId w:val="0"/>
        </w:numPr>
        <w:ind w:left="180" w:hanging="180"/>
      </w:pPr>
      <w:bookmarkStart w:id="181" w:name="ref-elton2018applying"/>
      <w:r>
        <w:t xml:space="preserve">Elton, D. C., Boukouvalas, Z., Butrico, M. S., Fuge, M. D., &amp; Chung, P. W. (2018). Applying Machine Learning Techniques to Predict the Properties of Energetic Materials.</w:t>
      </w:r>
      <w:r>
        <w:t xml:space="preserve"> </w:t>
      </w:r>
      <w:r>
        <w:rPr>
          <w:i/>
          <w:iCs/>
        </w:rPr>
        <w:t xml:space="preserve">Sci. Rep. 8</w:t>
      </w:r>
      <w:r>
        <w:t xml:space="preserve">:9059.</w:t>
      </w:r>
      <w:bookmarkEnd w:id="181"/>
    </w:p>
    <w:p>
      <w:pPr>
        <w:pStyle w:val="MDPI81references"/>
        <w:numPr>
          <w:ilvl w:val="0"/>
          <w:numId w:val="0"/>
        </w:numPr>
        <w:ind w:left="180" w:hanging="180"/>
      </w:pPr>
      <w:bookmarkStart w:id="182" w:name="ref-politzer2014some"/>
      <w:r>
        <w:t xml:space="preserve">Politzer, P., &amp; Murray, J. S. (2014). Some Perspectives on Estimating Detonation Properties of C, H, N, O Compounds.</w:t>
      </w:r>
      <w:r>
        <w:t xml:space="preserve"> </w:t>
      </w:r>
      <w:r>
        <w:rPr>
          <w:i/>
          <w:iCs/>
        </w:rPr>
        <w:t xml:space="preserve">Cent. Eur. J. Energ. Mater. 11(4)</w:t>
      </w:r>
      <w:r>
        <w:t xml:space="preserve">:459–474.</w:t>
      </w:r>
      <w:bookmarkEnd w:id="182"/>
    </w:p>
    <w:p>
      <w:pPr>
        <w:pStyle w:val="MDPI81references"/>
        <w:numPr>
          <w:ilvl w:val="0"/>
          <w:numId w:val="0"/>
        </w:numPr>
        <w:ind w:left="180" w:hanging="180"/>
      </w:pPr>
      <w:bookmarkStart w:id="183" w:name="ref-mathieu2017sensitivity"/>
      <w:r>
        <w:t xml:space="preserve">Mathieu, D. (2017). Sensitivity of Energetic Materials: Theoretical Relationships to Detonation Performance and Molecular Structure.</w:t>
      </w:r>
      <w:r>
        <w:t xml:space="preserve"> </w:t>
      </w:r>
      <w:r>
        <w:rPr>
          <w:i/>
          <w:iCs/>
        </w:rPr>
        <w:t xml:space="preserve">Ind. Eng. Chem. Res. 56(31)</w:t>
      </w:r>
      <w:r>
        <w:t xml:space="preserve">:8191–8201. doi:10.1021/acs.iecr.7b02021.</w:t>
      </w:r>
      <w:bookmarkEnd w:id="183"/>
    </w:p>
    <w:p>
      <w:pPr>
        <w:pStyle w:val="MDPI81references"/>
        <w:numPr>
          <w:ilvl w:val="0"/>
          <w:numId w:val="0"/>
        </w:numPr>
        <w:ind w:left="180" w:hanging="180"/>
      </w:pPr>
      <w:bookmarkStart w:id="184" w:name="ref-suceska2018explo5"/>
      <w:r>
        <w:t xml:space="preserve">Sućeska, M. (2018). EXPLO5 v6.05.04 User's Manual. Brodarski Institute, Zagreb, Croatia. Computer program for calculation of detonation parameters from molecular formula, density, and heat of formation via thermochemical-equilibrium Chapman–Jouguet solver with covolume EOS.</w:t>
      </w:r>
      <w:bookmarkEnd w:id="184"/>
    </w:p>
    <w:p>
      <w:pPr>
        <w:pStyle w:val="MDPI81references"/>
        <w:numPr>
          <w:ilvl w:val="0"/>
          <w:numId w:val="0"/>
        </w:numPr>
        <w:ind w:left="180" w:hanging="180"/>
      </w:pPr>
      <w:bookmarkStart w:id="185" w:name="ref-fried2014cheetah"/>
      <w:r>
        <w:t xml:space="preserve">Fried, L. E., Howard, W. M., Souers, P. C., &amp; Vitello, P. A. (2014). Cheetah 7.0 User's Manual. Lawrence Livermore National Laboratory technical report LLNL-SM-664002. Thermochemical-equilibrium detonation code with JCZ3 / BKWS covolume EOS.</w:t>
      </w:r>
      <w:bookmarkEnd w:id="185"/>
    </w:p>
    <w:p>
      <w:pPr>
        <w:pStyle w:val="MDPI81references"/>
        <w:numPr>
          <w:ilvl w:val="0"/>
          <w:numId w:val="0"/>
        </w:numPr>
        <w:ind w:left="180" w:hanging="180"/>
      </w:pPr>
      <w:bookmarkStart w:id="186" w:name="ref-choi2023prep"/>
      <w:r>
        <w:t xml:space="preserve">Choi, J. B., Nguyen, P. C. H., Sen, O., Udaykumar, H. S., &amp; Baek, S. (2023). Artificial Intelligence Approaches for Energetic Materials by Design: State of the Art, Challenges, and Future Directions.</w:t>
      </w:r>
      <w:r>
        <w:t xml:space="preserve"> </w:t>
      </w:r>
      <w:r>
        <w:rPr>
          <w:i/>
          <w:iCs/>
        </w:rPr>
        <w:t xml:space="preserve">Propellants, Explosives, Pyrotechnics 48(4)</w:t>
      </w:r>
      <w:r>
        <w:t xml:space="preserve">, e202200276. doi:10.1002/prep.202200276.</w:t>
      </w:r>
      <w:bookmarkEnd w:id="186"/>
    </w:p>
    <w:p>
      <w:pPr>
        <w:pStyle w:val="MDPI81references"/>
        <w:numPr>
          <w:ilvl w:val="0"/>
          <w:numId w:val="0"/>
        </w:numPr>
        <w:ind w:left="180" w:hanging="180"/>
      </w:pPr>
      <w:bookmarkStart w:id="187" w:name="ref-mlcrystdens-cm-2024"/>
      <w:r>
        <w:t xml:space="preserve">Davis, J. V., Marrs III, F. W., Cawkwell, M. J., &amp; Manner, V. W. (2024). Machine Learning Models for High Explosive Crystal Density and Performance.</w:t>
      </w:r>
      <w:r>
        <w:t xml:space="preserve"> </w:t>
      </w:r>
      <w:r>
        <w:rPr>
          <w:i/>
          <w:iCs/>
        </w:rPr>
        <w:t xml:space="preserve">Chemistry of Materials 36(22)</w:t>
      </w:r>
      <w:r>
        <w:t xml:space="preserve">, 11109–11118. doi:10.1021/acs.chemmater.4c01978.</w:t>
      </w:r>
      <w:bookmarkEnd w:id="187"/>
    </w:p>
    <w:p>
      <w:pPr>
        <w:pStyle w:val="MDPI81references"/>
        <w:numPr>
          <w:ilvl w:val="0"/>
          <w:numId w:val="0"/>
        </w:numPr>
        <w:ind w:left="180" w:hanging="180"/>
      </w:pPr>
      <w:bookmarkStart w:id="188" w:name="ref-bondi1964vdw"/>
      <w:r>
        <w:t xml:space="preserve">Bondi, A. (1964). van der Waals Volumes and Radii.</w:t>
      </w:r>
      <w:r>
        <w:t xml:space="preserve"> </w:t>
      </w:r>
      <w:r>
        <w:rPr>
          <w:i/>
          <w:iCs/>
        </w:rPr>
        <w:t xml:space="preserve">J. Phys. Chem. 68(3)</w:t>
      </w:r>
      <w:r>
        <w:t xml:space="preserve">:441–451. doi:10.1021/j100785a001.</w:t>
      </w:r>
      <w:bookmarkEnd w:id="188"/>
    </w:p>
    <w:p>
      <w:pPr>
        <w:pStyle w:val="MDPI81references"/>
        <w:numPr>
          <w:ilvl w:val="0"/>
          <w:numId w:val="0"/>
        </w:numPr>
        <w:ind w:left="180" w:hanging="180"/>
      </w:pPr>
      <w:bookmarkStart w:id="189" w:name="ref-nefati1996ann"/>
      <w:r>
        <w:t xml:space="preserve">Nefati, H., Cense, J.-M., &amp; Legendre, J.-J. (1996). Prediction of the Impact Sensitivity by Neural Networks.</w:t>
      </w:r>
      <w:r>
        <w:t xml:space="preserve"> </w:t>
      </w:r>
      <w:r>
        <w:rPr>
          <w:i/>
          <w:iCs/>
        </w:rPr>
        <w:t xml:space="preserve">J. Chem. Inf. Comput. Sci. 36(4)</w:t>
      </w:r>
      <w:r>
        <w:t xml:space="preserve">:804–810. doi:10.1021/ci950223m.</w:t>
      </w:r>
      <w:bookmarkEnd w:id="189"/>
    </w:p>
    <w:p>
      <w:pPr>
        <w:pStyle w:val="MDPI81references"/>
        <w:numPr>
          <w:ilvl w:val="0"/>
          <w:numId w:val="0"/>
        </w:numPr>
        <w:ind w:left="180" w:hanging="180"/>
      </w:pPr>
      <w:bookmarkStart w:id="190" w:name="ref-huang2021applying"/>
      <w:r>
        <w:t xml:space="preserve">Huang, X. et al. (2021). Applying Machine Learning to Balance Performance and Stability of High Energy Density Materials.</w:t>
      </w:r>
      <w:r>
        <w:t xml:space="preserve"> </w:t>
      </w:r>
      <w:r>
        <w:rPr>
          <w:i/>
          <w:iCs/>
        </w:rPr>
        <w:t xml:space="preserve">iScience 24</w:t>
      </w:r>
      <w:r>
        <w:t xml:space="preserve">:102240.</w:t>
      </w:r>
      <w:bookmarkEnd w:id="190"/>
    </w:p>
    <w:p>
      <w:pPr>
        <w:pStyle w:val="MDPI81references"/>
        <w:numPr>
          <w:ilvl w:val="0"/>
          <w:numId w:val="0"/>
        </w:numPr>
        <w:ind w:left="180" w:hanging="180"/>
      </w:pPr>
      <w:bookmarkStart w:id="191" w:name="ref-klapotke2017nitrogen"/>
      <w:r>
        <w:t xml:space="preserve">Klapötke, T. M.</w:t>
      </w:r>
      <w:r>
        <w:t xml:space="preserve"> </w:t>
      </w:r>
      <w:r>
        <w:rPr>
          <w:i/>
          <w:iCs/>
        </w:rPr>
        <w:t xml:space="preserve">Chemistry of High-Energy Materials</w:t>
      </w:r>
      <w:r>
        <w:t xml:space="preserve">, 5th ed. (de Gruyter, 2019). doi:10.1515/9783110624571.</w:t>
      </w:r>
      <w:bookmarkEnd w:id="191"/>
    </w:p>
    <w:p>
      <w:pPr>
        <w:pStyle w:val="MDPI81references"/>
        <w:numPr>
          <w:ilvl w:val="0"/>
          <w:numId w:val="0"/>
        </w:numPr>
        <w:ind w:left="180" w:hanging="180"/>
      </w:pPr>
      <w:bookmarkStart w:id="192" w:name="ref-griffiths2020constrained"/>
      <w:r>
        <w:t xml:space="preserve">Griffiths, R.-R., &amp; Hernández-Lobato, J. M. (2020). Constrained Bayesian optimization for automatic chemical design using variational autoencoders.</w:t>
      </w:r>
      <w:r>
        <w:t xml:space="preserve"> </w:t>
      </w:r>
      <w:r>
        <w:rPr>
          <w:i/>
          <w:iCs/>
        </w:rPr>
        <w:t xml:space="preserve">Chem. Sci. 11(2)</w:t>
      </w:r>
      <w:r>
        <w:t xml:space="preserve">:577–586. doi:10.1039/C9SC04026A.</w:t>
      </w:r>
      <w:bookmarkEnd w:id="192"/>
    </w:p>
    <w:p>
      <w:pPr>
        <w:pStyle w:val="MDPI81references"/>
        <w:numPr>
          <w:ilvl w:val="0"/>
          <w:numId w:val="0"/>
        </w:numPr>
        <w:ind w:left="180" w:hanging="180"/>
      </w:pPr>
      <w:bookmarkStart w:id="193" w:name="ref-npjcompmat2025"/>
      <w:r>
        <w:t xml:space="preserve">Liu, J., et al. (2025). De novo multi-objective generation framework for energetic materials with trading off energy and stability.</w:t>
      </w:r>
      <w:r>
        <w:t xml:space="preserve"> </w:t>
      </w:r>
      <w:r>
        <w:rPr>
          <w:i/>
          <w:iCs/>
        </w:rPr>
        <w:t xml:space="preserve">npj Computational Materials</w:t>
      </w:r>
      <w:r>
        <w:t xml:space="preserve">. doi:10.1038/s41524-025-01845-6.</w:t>
      </w:r>
      <w:bookmarkEnd w:id="193"/>
    </w:p>
    <w:p>
      <w:pPr>
        <w:pStyle w:val="MDPI81references"/>
        <w:numPr>
          <w:ilvl w:val="0"/>
          <w:numId w:val="0"/>
        </w:numPr>
        <w:ind w:left="180" w:hanging="180"/>
      </w:pPr>
      <w:bookmarkStart w:id="194" w:name="ref-yang2019chemprop"/>
      <w:r>
        <w:t xml:space="preserve">Yang, K. et al. (2019). Analyzing Learned Molecular Representations for Property Prediction.</w:t>
      </w:r>
      <w:r>
        <w:t xml:space="preserve"> </w:t>
      </w:r>
      <w:r>
        <w:rPr>
          <w:i/>
          <w:iCs/>
        </w:rPr>
        <w:t xml:space="preserve">J. Chem. Inf. Model. 59(8)</w:t>
      </w:r>
      <w:r>
        <w:t xml:space="preserve">:3370–3388. doi:10.1021/acs.jcim.9b00237.</w:t>
      </w:r>
      <w:bookmarkEnd w:id="194"/>
    </w:p>
    <w:p>
      <w:pPr>
        <w:pStyle w:val="MDPI81references"/>
        <w:numPr>
          <w:ilvl w:val="0"/>
          <w:numId w:val="0"/>
        </w:numPr>
        <w:ind w:left="180" w:hanging="180"/>
      </w:pPr>
      <w:bookmarkStart w:id="195" w:name="ref-schutt2018schnet"/>
      <w:r>
        <w:t xml:space="preserve">Schütt, K. T., Sauceda, H. E., Kindermans, P.-J., Tkatchenko, A., &amp; Müller, K.-R. (2018). SchNet: A deep learning architecture for molecules and materials.</w:t>
      </w:r>
      <w:r>
        <w:t xml:space="preserve"> </w:t>
      </w:r>
      <w:r>
        <w:rPr>
          <w:i/>
          <w:iCs/>
        </w:rPr>
        <w:t xml:space="preserve">J. Chem. Phys. 148</w:t>
      </w:r>
      <w:r>
        <w:t xml:space="preserve">:241722. doi:10.1063/1.5019779.</w:t>
      </w:r>
      <w:bookmarkEnd w:id="195"/>
    </w:p>
    <w:p>
      <w:pPr>
        <w:pStyle w:val="MDPI81references"/>
        <w:numPr>
          <w:ilvl w:val="0"/>
          <w:numId w:val="0"/>
        </w:numPr>
        <w:ind w:left="180" w:hanging="180"/>
      </w:pPr>
      <w:bookmarkStart w:id="196" w:name="ref-qiao2020orbnet"/>
      <w:r>
        <w:t xml:space="preserve">Qiao, Z., Welborn, M., Anandkumar, A., Manby, F. R., &amp; Miller III, T. F. (2020). OrbNet: Deep learning for quantum chemistry using symmetry-adapted atomic-orbital features.</w:t>
      </w:r>
      <w:r>
        <w:t xml:space="preserve"> </w:t>
      </w:r>
      <w:r>
        <w:rPr>
          <w:i/>
          <w:iCs/>
        </w:rPr>
        <w:t xml:space="preserve">J. Chem. Phys. 153</w:t>
      </w:r>
      <w:r>
        <w:t xml:space="preserve">:124111. doi:10.1063/5.0021955.</w:t>
      </w:r>
      <w:bookmarkEnd w:id="196"/>
    </w:p>
    <w:p>
      <w:pPr>
        <w:pStyle w:val="MDPI81references"/>
        <w:numPr>
          <w:ilvl w:val="0"/>
          <w:numId w:val="0"/>
        </w:numPr>
        <w:ind w:left="180" w:hanging="180"/>
      </w:pPr>
      <w:bookmarkStart w:id="197" w:name="ref-polykovskiy2020moses"/>
      <w:r>
        <w:t xml:space="preserve">Polykovskiy, D. et al. (2020). Molecular Sets (MOSES): A Benchmarking Platform for Molecular Generation Models.</w:t>
      </w:r>
      <w:r>
        <w:t xml:space="preserve"> </w:t>
      </w:r>
      <w:r>
        <w:rPr>
          <w:i/>
          <w:iCs/>
        </w:rPr>
        <w:t xml:space="preserve">Frontiers in Pharmacology 11</w:t>
      </w:r>
      <w:r>
        <w:t xml:space="preserve">:565644. doi:10.3389/fphar.2020.565644.</w:t>
      </w:r>
      <w:bookmarkEnd w:id="197"/>
    </w:p>
    <w:p>
      <w:pPr>
        <w:pStyle w:val="MDPI81references"/>
        <w:numPr>
          <w:ilvl w:val="0"/>
          <w:numId w:val="0"/>
        </w:numPr>
        <w:ind w:left="180" w:hanging="180"/>
      </w:pPr>
      <w:bookmarkStart w:id="198" w:name="ref-brown2019guacamol"/>
      <w:r>
        <w:t xml:space="preserve">Brown, N., Fiscato, M., Segler, M. H. S., &amp; Vaucher, A. C. (2019). GuacaMol: Benchmarking Models for de Novo Molecular Design.</w:t>
      </w:r>
      <w:r>
        <w:t xml:space="preserve"> </w:t>
      </w:r>
      <w:r>
        <w:rPr>
          <w:i/>
          <w:iCs/>
        </w:rPr>
        <w:t xml:space="preserve">J. Chem. Inf. Model. 59(3)</w:t>
      </w:r>
      <w:r>
        <w:t xml:space="preserve">:1096–1108. doi:10.1021/acs.jcim.8b00839.</w:t>
      </w:r>
      <w:bookmarkEnd w:id="198"/>
    </w:p>
    <w:p>
      <w:pPr>
        <w:pStyle w:val="MDPI81references"/>
        <w:numPr>
          <w:ilvl w:val="0"/>
          <w:numId w:val="0"/>
        </w:numPr>
        <w:ind w:left="180" w:hanging="180"/>
      </w:pPr>
      <w:bookmarkStart w:id="199" w:name="ref-preuer2018fcd"/>
      <w:r>
        <w:t xml:space="preserve">Preuer, K., Renz, P., Unterthiner, T., Hochreiter, S., &amp; Klambauer, G. (2018). Fréchet ChemNet Distance: A Metric for Generative Models for Molecules in Drug Discovery.</w:t>
      </w:r>
      <w:r>
        <w:t xml:space="preserve"> </w:t>
      </w:r>
      <w:r>
        <w:rPr>
          <w:i/>
          <w:iCs/>
        </w:rPr>
        <w:t xml:space="preserve">J. Chem. Inf. Model. 58(9)</w:t>
      </w:r>
      <w:r>
        <w:t xml:space="preserve">:1736–1741.</w:t>
      </w:r>
      <w:bookmarkEnd w:id="199"/>
    </w:p>
    <w:p>
      <w:pPr>
        <w:pStyle w:val="MDPI81references"/>
        <w:numPr>
          <w:ilvl w:val="0"/>
          <w:numId w:val="0"/>
        </w:numPr>
        <w:ind w:left="180" w:hanging="180"/>
      </w:pPr>
      <w:bookmarkStart w:id="200" w:name="ref-reymond2015gdb"/>
      <w:r>
        <w:t xml:space="preserve">Reymond, J.-L. (2015). The chemical space project.</w:t>
      </w:r>
      <w:r>
        <w:t xml:space="preserve"> </w:t>
      </w:r>
      <w:r>
        <w:rPr>
          <w:i/>
          <w:iCs/>
        </w:rPr>
        <w:t xml:space="preserve">Acc. Chem. Res. 48(3)</w:t>
      </w:r>
      <w:r>
        <w:t xml:space="preserve">:722–730.</w:t>
      </w:r>
      <w:bookmarkEnd w:id="200"/>
    </w:p>
    <w:p>
      <w:pPr>
        <w:pStyle w:val="MDPI81references"/>
        <w:numPr>
          <w:ilvl w:val="0"/>
          <w:numId w:val="0"/>
        </w:numPr>
        <w:ind w:left="180" w:hanging="180"/>
      </w:pPr>
      <w:bookmarkStart w:id="201" w:name="ref-sterling2015zinc"/>
      <w:r>
        <w:t xml:space="preserve">Sterling, T., &amp; Irwin, J. J. (2015). ZINC 15: Ligand Discovery for Everyone.</w:t>
      </w:r>
      <w:r>
        <w:t xml:space="preserve"> </w:t>
      </w:r>
      <w:r>
        <w:rPr>
          <w:i/>
          <w:iCs/>
        </w:rPr>
        <w:t xml:space="preserve">J. Chem. Inf. Model. 55(11)</w:t>
      </w:r>
      <w:r>
        <w:t xml:space="preserve">:2324–2337.</w:t>
      </w:r>
      <w:bookmarkEnd w:id="201"/>
    </w:p>
    <w:p>
      <w:pPr>
        <w:pStyle w:val="MDPI81references"/>
        <w:numPr>
          <w:ilvl w:val="0"/>
          <w:numId w:val="0"/>
        </w:numPr>
        <w:ind w:left="180" w:hanging="180"/>
      </w:pPr>
      <w:bookmarkStart w:id="202" w:name="ref-ertl2009sa"/>
      <w:r>
        <w:t xml:space="preserve">Ertl, P., &amp; Schuffenhauer, A. (2009). Estimation of Synthetic Accessibility Score of Drug-Like Molecules Based on Molecular Complexity and Fragment Contributions.</w:t>
      </w:r>
      <w:r>
        <w:t xml:space="preserve"> </w:t>
      </w:r>
      <w:r>
        <w:rPr>
          <w:i/>
          <w:iCs/>
        </w:rPr>
        <w:t xml:space="preserve">J. Cheminform. 1</w:t>
      </w:r>
      <w:r>
        <w:t xml:space="preserve">:8.</w:t>
      </w:r>
      <w:bookmarkEnd w:id="202"/>
    </w:p>
    <w:p>
      <w:pPr>
        <w:pStyle w:val="MDPI81references"/>
        <w:numPr>
          <w:ilvl w:val="0"/>
          <w:numId w:val="0"/>
        </w:numPr>
        <w:ind w:left="180" w:hanging="180"/>
      </w:pPr>
      <w:bookmarkStart w:id="203" w:name="ref-coley2018scscore"/>
      <w:r>
        <w:t xml:space="preserve">Coley, C. W., Rogers, L., Green, W. H., &amp; Jensen, K. F. (2018). SCScore: Synthetic Complexity Learned from a Reaction Corpus.</w:t>
      </w:r>
      <w:r>
        <w:t xml:space="preserve"> </w:t>
      </w:r>
      <w:r>
        <w:rPr>
          <w:i/>
          <w:iCs/>
        </w:rPr>
        <w:t xml:space="preserve">J. Chem. Inf. Model. 58(2)</w:t>
      </w:r>
      <w:r>
        <w:t xml:space="preserve">:252–261.</w:t>
      </w:r>
      <w:bookmarkEnd w:id="203"/>
    </w:p>
    <w:p>
      <w:pPr>
        <w:pStyle w:val="MDPI81references"/>
        <w:numPr>
          <w:ilvl w:val="0"/>
          <w:numId w:val="0"/>
        </w:numPr>
        <w:ind w:left="180" w:hanging="180"/>
      </w:pPr>
      <w:bookmarkStart w:id="204" w:name="ref-rogers1960computer"/>
      <w:r>
        <w:t xml:space="preserve">Rogers, D. J., &amp; Tanimoto, T. T. (1960). A Computer Program for Classifying Plants.</w:t>
      </w:r>
      <w:r>
        <w:t xml:space="preserve"> </w:t>
      </w:r>
      <w:r>
        <w:rPr>
          <w:i/>
          <w:iCs/>
        </w:rPr>
        <w:t xml:space="preserve">Science 132(3434)</w:t>
      </w:r>
      <w:r>
        <w:t xml:space="preserve">:1115–1118.</w:t>
      </w:r>
      <w:bookmarkEnd w:id="204"/>
    </w:p>
    <w:p>
      <w:pPr>
        <w:pStyle w:val="MDPI81references"/>
        <w:numPr>
          <w:ilvl w:val="0"/>
          <w:numId w:val="0"/>
        </w:numPr>
        <w:ind w:left="180" w:hanging="180"/>
      </w:pPr>
      <w:bookmarkStart w:id="205" w:name="ref-bannwarth2019gfn2"/>
      <w:r>
        <w:t xml:space="preserve">Bannwarth, C., Ehlert, S., &amp; Grimme, S. (2019). GFN2-xTB: An Accurate and Broadly Parametrized Self-Consistent Tight-Binding Quantum Chemical Method with Multipole Electrostatics and Density-Dependent Dispersion Contributions.</w:t>
      </w:r>
      <w:r>
        <w:t xml:space="preserve"> </w:t>
      </w:r>
      <w:r>
        <w:rPr>
          <w:i/>
          <w:iCs/>
        </w:rPr>
        <w:t xml:space="preserve">J. Chem. Theory Comput. 15(3)</w:t>
      </w:r>
      <w:r>
        <w:t xml:space="preserve">:1652–1671. doi:10.1021/acs.jctc.8b01176.</w:t>
      </w:r>
      <w:bookmarkEnd w:id="205"/>
    </w:p>
    <w:p>
      <w:pPr>
        <w:pStyle w:val="MDPI81references"/>
        <w:numPr>
          <w:ilvl w:val="0"/>
          <w:numId w:val="0"/>
        </w:numPr>
        <w:ind w:left="180" w:hanging="180"/>
      </w:pPr>
      <w:bookmarkStart w:id="206" w:name="ref-sun2020pyscf"/>
      <w:r>
        <w:t xml:space="preserve">Sun, Q., Zhang, X., Banerjee, S., Bao, P., et al. (2020). Recent developments in the PySCF program package.</w:t>
      </w:r>
      <w:r>
        <w:t xml:space="preserve"> </w:t>
      </w:r>
      <w:r>
        <w:rPr>
          <w:i/>
          <w:iCs/>
        </w:rPr>
        <w:t xml:space="preserve">J. Chem. Phys. 153</w:t>
      </w:r>
      <w:r>
        <w:t xml:space="preserve">:024109. doi:10.1063/5.0006074.</w:t>
      </w:r>
      <w:bookmarkEnd w:id="206"/>
    </w:p>
    <w:p>
      <w:pPr>
        <w:pStyle w:val="MDPI81references"/>
        <w:numPr>
          <w:ilvl w:val="0"/>
          <w:numId w:val="0"/>
        </w:numPr>
        <w:ind w:left="180" w:hanging="180"/>
      </w:pPr>
      <w:bookmarkStart w:id="207" w:name="ref-genheden2020aizynth"/>
      <w:r>
        <w:t xml:space="preserve">Genheden, S., Thakkar, A., Chadimová, V., Reymond, J.-L., Engkvist, O., &amp; Bjerrum, E. J. (2020). AiZynthFinder: a fast, robust and flexible open-source software for retrosynthetic planning.</w:t>
      </w:r>
      <w:r>
        <w:t xml:space="preserve"> </w:t>
      </w:r>
      <w:r>
        <w:rPr>
          <w:i/>
          <w:iCs/>
        </w:rPr>
        <w:t xml:space="preserve">Journal of Cheminformatics 12</w:t>
      </w:r>
      <w:r>
        <w:t xml:space="preserve">:70. doi:10.1186/s13321-020-00472-1.</w:t>
      </w:r>
      <w:bookmarkEnd w:id="207"/>
    </w:p>
    <w:p>
      <w:pPr>
        <w:pStyle w:val="MDPI81references"/>
        <w:numPr>
          <w:ilvl w:val="0"/>
          <w:numId w:val="0"/>
        </w:numPr>
        <w:ind w:left="180" w:hanging="180"/>
      </w:pPr>
      <w:bookmarkStart w:id="208" w:name="ref-goerigk2017benchmark"/>
      <w:r>
        <w:t xml:space="preserve">Goerigk, L., Hansen, A., Bauer, C., Ehrlich, S., Najibi, A., &amp; Grimme, S. (2017). A look at the density functional theory zoo with the advanced GMTKN55 database for general main group thermochemistry, kinetics and noncovalent interactions.</w:t>
      </w:r>
      <w:r>
        <w:t xml:space="preserve"> </w:t>
      </w:r>
      <w:r>
        <w:rPr>
          <w:i/>
          <w:iCs/>
        </w:rPr>
        <w:t xml:space="preserve">Phys. Chem. Chem. Phys. 19(48)</w:t>
      </w:r>
      <w:r>
        <w:t xml:space="preserve">:32184–32215. doi:10.1039/C7CP04913G.</w:t>
      </w:r>
      <w:bookmarkEnd w:id="208"/>
    </w:p>
    <w:p>
      <w:pPr>
        <w:pStyle w:val="MDPI81references"/>
        <w:numPr>
          <w:ilvl w:val="0"/>
          <w:numId w:val="0"/>
        </w:numPr>
        <w:ind w:left="180" w:hanging="180"/>
      </w:pPr>
      <w:bookmarkStart w:id="209" w:name="ref-sabatini2016"/>
      <w:r>
        <w:t xml:space="preserve">Sabatini, J. J., &amp; Oyler, K. D. (2016). Recent Advances in the Synthesis of High Explosive Materials.</w:t>
      </w:r>
      <w:r>
        <w:t xml:space="preserve"> </w:t>
      </w:r>
      <w:r>
        <w:rPr>
          <w:i/>
          <w:iCs/>
        </w:rPr>
        <w:t xml:space="preserve">Crystals</w:t>
      </w:r>
      <w:r>
        <w:t xml:space="preserve"> </w:t>
      </w:r>
      <w:r>
        <w:t xml:space="preserve">6(1):5. doi:10.3390/cryst6010005.</w:t>
      </w:r>
      <w:bookmarkEnd w:id="209"/>
    </w:p>
    <w:p>
      <w:pPr>
        <w:pStyle w:val="MDPI81references"/>
        <w:numPr>
          <w:ilvl w:val="0"/>
          <w:numId w:val="0"/>
        </w:numPr>
        <w:ind w:left="180" w:hanging="180"/>
      </w:pPr>
      <w:bookmarkStart w:id="210" w:name="ref-konnov2025nitroisoxazole"/>
      <w:r>
        <w:t xml:space="preserve">Konnov, A. A., Lisyutkin, A. D., Vinogradov, D. B., Nazarova, A. A., Pivkina, A. N., &amp; Fershtat, L. L. (2025). Synthesis of 4-Nitroisoxazole-Based Energetic Materials.</w:t>
      </w:r>
      <w:r>
        <w:t xml:space="preserve"> </w:t>
      </w:r>
      <w:r>
        <w:rPr>
          <w:i/>
          <w:iCs/>
        </w:rPr>
        <w:t xml:space="preserve">Org. Lett. 27(14)</w:t>
      </w:r>
      <w:r>
        <w:t xml:space="preserve">:3795–3799. doi:10.1021/acs.orglett.5c01074.</w:t>
      </w:r>
      <w:bookmarkEnd w:id="210"/>
    </w:p>
    <w:p>
      <w:pPr>
        <w:pStyle w:val="MDPI81references"/>
        <w:numPr>
          <w:ilvl w:val="0"/>
          <w:numId w:val="0"/>
        </w:numPr>
        <w:ind w:left="180" w:hanging="180"/>
      </w:pPr>
      <w:bookmarkStart w:id="211" w:name="ref-herve2010"/>
      <w:r>
        <w:t xml:space="preserve">Hervé, G., Roussel, C., &amp; Graindorge, H. (2010). Selective Preparation of 3,4,5-Trinitro-1H-pyrazole: A Stable All-Carbon-Substituted Trinitro Heterocycle, and Related Trinitroisoxazole Chemistry.</w:t>
      </w:r>
      <w:r>
        <w:t xml:space="preserve"> </w:t>
      </w:r>
      <w:r>
        <w:rPr>
          <w:i/>
          <w:iCs/>
        </w:rPr>
        <w:t xml:space="preserve">Angew. Chem. Int. Ed. 49(18)</w:t>
      </w:r>
      <w:r>
        <w:t xml:space="preserve">:3177–3181. doi:10.1002/anie.201000764.</w:t>
      </w:r>
      <w:bookmarkEnd w:id="211"/>
    </w:p>
    <w:p>
      <w:pPr>
        <w:pStyle w:val="MDPI81references"/>
        <w:numPr>
          <w:ilvl w:val="0"/>
          <w:numId w:val="0"/>
        </w:numPr>
        <w:ind w:left="180" w:hanging="180"/>
      </w:pPr>
      <w:bookmarkStart w:id="212" w:name="ref-kim2023pubchem"/>
      <w:r>
        <w:t xml:space="preserve">Kim, S. et al. (2023). PubChem 2023 Update.</w:t>
      </w:r>
      <w:r>
        <w:t xml:space="preserve"> </w:t>
      </w:r>
      <w:r>
        <w:rPr>
          <w:i/>
          <w:iCs/>
        </w:rPr>
        <w:t xml:space="preserve">Nucleic Acids Res. 51(D1)</w:t>
      </w:r>
      <w:r>
        <w:t xml:space="preserve">:D1373–D1380.</w:t>
      </w:r>
      <w:bookmarkEnd w:id="212"/>
    </w:p>
    <w:p>
      <w:pPr>
        <w:pStyle w:val="MDPI81references"/>
        <w:numPr>
          <w:ilvl w:val="0"/>
          <w:numId w:val="0"/>
        </w:numPr>
        <w:ind w:left="180" w:hanging="180"/>
      </w:pPr>
      <w:bookmarkStart w:id="213" w:name="ref-csp-cgd-2023"/>
      <w:r>
        <w:t xml:space="preserve">Arnold, J. E., &amp; Day, G. M. (2023). Crystal Structure Prediction of Energetic Materials.</w:t>
      </w:r>
      <w:r>
        <w:t xml:space="preserve"> </w:t>
      </w:r>
      <w:r>
        <w:rPr>
          <w:i/>
          <w:iCs/>
        </w:rPr>
        <w:t xml:space="preserve">Crystal Growth &amp; Design</w:t>
      </w:r>
      <w:r>
        <w:t xml:space="preserve">. doi:10.1021/acs.cgd.3c00706.</w:t>
      </w:r>
      <w:bookmarkEnd w:id="213"/>
    </w:p>
    <w:p>
      <w:pPr>
        <w:pStyle w:val="MDPI81references"/>
        <w:numPr>
          <w:ilvl w:val="0"/>
          <w:numId w:val="0"/>
        </w:numPr>
        <w:ind w:left="180" w:hanging="180"/>
      </w:pPr>
      <w:bookmarkStart w:id="214" w:name="ref-emdb"/>
      <w:r>
        <w:t xml:space="preserve">Hand-compilation of measured density, heat of formation, and detonation properties for ~3 000 known energetic CHNO compounds, assembled in this work from secondary literature compilations: Klapötke, T. M.</w:t>
      </w:r>
      <w:r>
        <w:t xml:space="preserve"> </w:t>
      </w:r>
      <w:r>
        <w:rPr>
          <w:i/>
          <w:iCs/>
        </w:rPr>
        <w:t xml:space="preserve">Chemistry of High-Energy Materials</w:t>
      </w:r>
      <w:r>
        <w:t xml:space="preserve">, 5th ed. (de Gruyter, 2019); Cooper, P. W.</w:t>
      </w:r>
      <w:r>
        <w:t xml:space="preserve"> </w:t>
      </w:r>
      <w:r>
        <w:rPr>
          <w:i/>
          <w:iCs/>
        </w:rPr>
        <w:t xml:space="preserve">Explosives Engineering</w:t>
      </w:r>
      <w:r>
        <w:t xml:space="preserve"> </w:t>
      </w:r>
      <w:r>
        <w:t xml:space="preserve">(Wiley-VCH, 1996); and Dobratz, B. M. &amp; Crawford, P. C.</w:t>
      </w:r>
      <w:r>
        <w:t xml:space="preserve"> </w:t>
      </w:r>
      <w:r>
        <w:rPr>
          <w:i/>
          <w:iCs/>
        </w:rPr>
        <w:t xml:space="preserve">LLNL Explosives Handbook: Properties of Chemical Explosives and Explosive Simulants</w:t>
      </w:r>
      <w:r>
        <w:t xml:space="preserve">, UCRL-52997, Rev. 2 (Lawrence Livermore National Laboratory, 1985). Per-row provenance documented in Supplementary Section A.1.</w:t>
      </w:r>
      <w:bookmarkEnd w:id="214"/>
    </w:p>
    <w:p>
      <w:pPr>
        <w:pStyle w:val="MDPI81references"/>
        <w:numPr>
          <w:ilvl w:val="0"/>
          <w:numId w:val="0"/>
        </w:numPr>
        <w:ind w:left="180" w:hanging="180"/>
      </w:pPr>
      <w:bookmarkStart w:id="216" w:name="ref-landrum2024rdkit"/>
      <w:r>
        <w:t xml:space="preserve">Landrum, G., &amp; contributors. RDKit: Open-source cheminformatics.</w:t>
      </w:r>
      <w:r>
        <w:t xml:space="preserve"> </w:t>
      </w:r>
      <w:hyperlink r:id="rId44">
        <w:r>
          <w:rPr>
            <w:rStyle w:val="Hyperlink"/>
          </w:rPr>
          <w:t xml:space="preserve">rdkit.org</w:t>
        </w:r>
      </w:hyperlink>
      <w:r>
        <w:t xml:space="preserve">.</w:t>
      </w:r>
      <w:bookmarkEnd w:id="216"/>
    </w:p>
    <w:p>
      <w:pPr>
        <w:pStyle w:val="MDPI81references"/>
        <w:numPr>
          <w:ilvl w:val="0"/>
          <w:numId w:val="0"/>
        </w:numPr>
        <w:ind w:left="180" w:hanging="180"/>
      </w:pPr>
      <w:bookmarkStart w:id="217" w:name="ref-bruns2020watson"/>
      <w:r>
        <w:t xml:space="preserve">Bruns, R. F., &amp; Watson, I. A. (2012). Rules for identifying potentially reactive or promiscuous compounds.</w:t>
      </w:r>
      <w:r>
        <w:t xml:space="preserve"> </w:t>
      </w:r>
      <w:r>
        <w:rPr>
          <w:i/>
          <w:iCs/>
        </w:rPr>
        <w:t xml:space="preserve">J. Med. Chem.</w:t>
      </w:r>
      <w:r>
        <w:t xml:space="preserve"> </w:t>
      </w:r>
      <w:r>
        <w:t xml:space="preserve">55(22):9763–9772. doi:10.1021/jm301008n. Used here as a SMARTS-based reactivity-demerit source.</w:t>
      </w:r>
      <w:bookmarkEnd w:id="217"/>
    </w:p>
    <w:p>
      <w:pPr>
        <w:pStyle w:val="MDPI81references"/>
        <w:numPr>
          <w:ilvl w:val="0"/>
          <w:numId w:val="0"/>
        </w:numPr>
        <w:ind w:left="180" w:hanging="180"/>
      </w:pPr>
      <w:bookmarkStart w:id="219" w:name="ref-daylight-smarts"/>
      <w:r>
        <w:t xml:space="preserve">Daylight Chemical Information Systems. (2007). SMARTS: A Language for Describing Molecular Patterns. Daylight Theory Manual, Aliso Viejo, CA.</w:t>
      </w:r>
      <w:r>
        <w:t xml:space="preserve"> </w:t>
      </w:r>
      <w:hyperlink r:id="rId45">
        <w:r>
          <w:rPr>
            <w:rStyle w:val="Hyperlink"/>
          </w:rPr>
          <w:t xml:space="preserve">daylight.com/dayhtml/doc/theory/theory.smarts.html</w:t>
        </w:r>
      </w:hyperlink>
      <w:r>
        <w:t xml:space="preserve">. SMARTS = SMILES Arbitrary Target Specification: a pattern language extending SMILES that matches molecular substructures, used by RDKit and other cheminformatics toolkits to evaluate hard-reject catalogs (this work, Section 4.10).</w:t>
      </w:r>
      <w:bookmarkEnd w:id="219"/>
    </w:p>
    <w:sectPr w:rsidR="009323F1" w:rsidRPr="0053461A" w:rsidSect="00CD5F34">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DC0AB" w14:textId="77777777" w:rsidR="00D10D46" w:rsidRPr="00AF0422" w:rsidRDefault="00D10D46">
      <w:pPr>
        <w:spacing w:line="240" w:lineRule="auto"/>
      </w:pPr>
      <w:r w:rsidRPr="00AF0422">
        <w:separator/>
      </w:r>
    </w:p>
  </w:endnote>
  <w:endnote w:type="continuationSeparator" w:id="0">
    <w:p w14:paraId="455EA96A" w14:textId="77777777" w:rsidR="00D10D46" w:rsidRPr="00AF0422" w:rsidRDefault="00D10D46">
      <w:pPr>
        <w:spacing w:line="240" w:lineRule="auto"/>
      </w:pPr>
      <w:r w:rsidRPr="00AF04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E45CB" w14:textId="77777777" w:rsidR="007D0675" w:rsidRPr="00AF0422" w:rsidRDefault="007D0675" w:rsidP="007D0675">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11744" w14:textId="77777777" w:rsidR="008D336B" w:rsidRPr="00AF0422" w:rsidRDefault="008D336B" w:rsidP="00B96AFE">
    <w:pPr>
      <w:pBdr>
        <w:top w:val="single" w:sz="4" w:space="0" w:color="000000"/>
      </w:pBdr>
      <w:adjustRightInd w:val="0"/>
      <w:snapToGrid w:val="0"/>
      <w:spacing w:before="480" w:line="100" w:lineRule="exact"/>
      <w:rPr>
        <w:i/>
        <w:iCs/>
        <w:sz w:val="16"/>
        <w:szCs w:val="16"/>
      </w:rPr>
    </w:pPr>
  </w:p>
  <w:p w14:paraId="3B16471F" w14:textId="03AA8DE4" w:rsidR="007D0675" w:rsidRPr="00AF0422" w:rsidRDefault="007D0675" w:rsidP="00B94E07">
    <w:pPr>
      <w:tabs>
        <w:tab w:val="right" w:pos="10466"/>
      </w:tabs>
      <w:spacing w:line="240" w:lineRule="auto"/>
      <w:rPr>
        <w:sz w:val="16"/>
        <w:szCs w:val="16"/>
      </w:rPr>
    </w:pPr>
    <w:r w:rsidRPr="00AF0422">
      <w:rPr>
        <w:i/>
        <w:iCs/>
        <w:sz w:val="16"/>
        <w:szCs w:val="16"/>
      </w:rPr>
      <w:t>Molecules</w:t>
    </w:r>
    <w:r w:rsidRPr="00AF0422">
      <w:rPr>
        <w:i/>
        <w:sz w:val="16"/>
        <w:szCs w:val="16"/>
      </w:rPr>
      <w:t xml:space="preserve"> </w:t>
    </w:r>
    <w:r w:rsidR="00CD5F34" w:rsidRPr="00AF0422">
      <w:rPr>
        <w:b/>
        <w:iCs/>
        <w:sz w:val="16"/>
        <w:szCs w:val="16"/>
      </w:rPr>
      <w:t>2025</w:t>
    </w:r>
    <w:r w:rsidR="00103C88" w:rsidRPr="00AF0422">
      <w:rPr>
        <w:iCs/>
        <w:sz w:val="16"/>
        <w:szCs w:val="16"/>
      </w:rPr>
      <w:t>,</w:t>
    </w:r>
    <w:r w:rsidR="00CD5F34" w:rsidRPr="00AF0422">
      <w:rPr>
        <w:i/>
        <w:iCs/>
        <w:sz w:val="16"/>
        <w:szCs w:val="16"/>
      </w:rPr>
      <w:t xml:space="preserve"> 30</w:t>
    </w:r>
    <w:r w:rsidR="00103C88" w:rsidRPr="00AF0422">
      <w:rPr>
        <w:iCs/>
        <w:sz w:val="16"/>
        <w:szCs w:val="16"/>
      </w:rPr>
      <w:t xml:space="preserve">, </w:t>
    </w:r>
    <w:r w:rsidR="00131CEC" w:rsidRPr="00AF0422">
      <w:rPr>
        <w:iCs/>
        <w:sz w:val="16"/>
        <w:szCs w:val="16"/>
      </w:rPr>
      <w:t>x</w:t>
    </w:r>
    <w:r w:rsidR="00B94E07" w:rsidRPr="00AF0422">
      <w:rPr>
        <w:sz w:val="16"/>
        <w:szCs w:val="16"/>
      </w:rPr>
      <w:tab/>
    </w:r>
    <w:r w:rsidR="00CD5F34" w:rsidRPr="00AF0422">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61ECA" w14:textId="77777777" w:rsidR="00D10D46" w:rsidRPr="00AF0422" w:rsidRDefault="00D10D46">
      <w:pPr>
        <w:spacing w:line="240" w:lineRule="auto"/>
      </w:pPr>
      <w:r w:rsidRPr="00AF0422">
        <w:separator/>
      </w:r>
    </w:p>
  </w:footnote>
  <w:footnote w:type="continuationSeparator" w:id="0">
    <w:p w14:paraId="02D7EE46" w14:textId="77777777" w:rsidR="00D10D46" w:rsidRPr="00AF0422" w:rsidRDefault="00D10D46">
      <w:pPr>
        <w:spacing w:line="240" w:lineRule="auto"/>
      </w:pPr>
      <w:r w:rsidRPr="00AF04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7D4ED" w14:textId="77777777" w:rsidR="007D0675" w:rsidRPr="00AF0422" w:rsidRDefault="007D0675" w:rsidP="007D067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3B92F" w14:textId="055A7AA1" w:rsidR="008D336B" w:rsidRPr="00AF0422" w:rsidRDefault="007D0675" w:rsidP="00B94E07">
    <w:pPr>
      <w:tabs>
        <w:tab w:val="right" w:pos="10466"/>
      </w:tabs>
      <w:adjustRightInd w:val="0"/>
      <w:snapToGrid w:val="0"/>
      <w:spacing w:line="240" w:lineRule="auto"/>
      <w:rPr>
        <w:sz w:val="16"/>
      </w:rPr>
    </w:pPr>
    <w:r w:rsidRPr="00AF0422">
      <w:rPr>
        <w:i/>
        <w:sz w:val="16"/>
      </w:rPr>
      <w:t xml:space="preserve">Molecules </w:t>
    </w:r>
    <w:r w:rsidR="00CD5F34" w:rsidRPr="00AF0422">
      <w:rPr>
        <w:b/>
        <w:sz w:val="16"/>
      </w:rPr>
      <w:t>2025</w:t>
    </w:r>
    <w:r w:rsidR="00103C88" w:rsidRPr="00AF0422">
      <w:rPr>
        <w:sz w:val="16"/>
      </w:rPr>
      <w:t>,</w:t>
    </w:r>
    <w:r w:rsidR="00CD5F34" w:rsidRPr="00AF0422">
      <w:rPr>
        <w:i/>
        <w:sz w:val="16"/>
      </w:rPr>
      <w:t xml:space="preserve"> 30</w:t>
    </w:r>
    <w:r w:rsidR="00131CEC" w:rsidRPr="00AF0422">
      <w:rPr>
        <w:sz w:val="16"/>
      </w:rPr>
      <w:t xml:space="preserve">, x </w:t>
    </w:r>
    <w:r w:rsidR="00CD5F34" w:rsidRPr="00AF0422">
      <w:rPr>
        <w:sz w:val="16"/>
      </w:rPr>
      <w:t>FOR PEER REVIEW</w:t>
    </w:r>
    <w:r w:rsidR="00CD5F34" w:rsidRPr="00AF0422">
      <w:rPr>
        <w:sz w:val="16"/>
      </w:rPr>
      <w:ptab w:relativeTo="margin" w:alignment="right" w:leader="none"/>
    </w:r>
    <w:r w:rsidR="00CD5F34" w:rsidRPr="00AF0422">
      <w:rPr>
        <w:sz w:val="16"/>
      </w:rPr>
      <w:fldChar w:fldCharType="begin"/>
    </w:r>
    <w:r w:rsidR="00CD5F34" w:rsidRPr="00AF0422">
      <w:rPr>
        <w:sz w:val="16"/>
      </w:rPr>
      <w:instrText xml:space="preserve"> PAGE   \* MERGEFORMAT </w:instrText>
    </w:r>
    <w:r w:rsidR="00CD5F34" w:rsidRPr="00AF0422">
      <w:rPr>
        <w:sz w:val="16"/>
      </w:rPr>
      <w:fldChar w:fldCharType="separate"/>
    </w:r>
    <w:r w:rsidR="00CD5F34" w:rsidRPr="00AF0422">
      <w:rPr>
        <w:sz w:val="16"/>
      </w:rPr>
      <w:t>2</w:t>
    </w:r>
    <w:r w:rsidR="00CD5F34" w:rsidRPr="00AF0422">
      <w:rPr>
        <w:sz w:val="16"/>
      </w:rPr>
      <w:fldChar w:fldCharType="end"/>
    </w:r>
    <w:r w:rsidR="00CD5F34" w:rsidRPr="00AF0422">
      <w:rPr>
        <w:sz w:val="16"/>
      </w:rPr>
      <w:t xml:space="preserve"> of </w:t>
    </w:r>
    <w:r w:rsidR="00CD5F34" w:rsidRPr="00AF0422">
      <w:rPr>
        <w:sz w:val="16"/>
      </w:rPr>
      <w:fldChar w:fldCharType="begin"/>
    </w:r>
    <w:r w:rsidR="00CD5F34" w:rsidRPr="00AF0422">
      <w:rPr>
        <w:sz w:val="16"/>
      </w:rPr>
      <w:instrText xml:space="preserve"> NUMPAGES   \* MERGEFORMAT </w:instrText>
    </w:r>
    <w:r w:rsidR="00CD5F34" w:rsidRPr="00AF0422">
      <w:rPr>
        <w:sz w:val="16"/>
      </w:rPr>
      <w:fldChar w:fldCharType="separate"/>
    </w:r>
    <w:r w:rsidR="00CD5F34" w:rsidRPr="00AF0422">
      <w:rPr>
        <w:sz w:val="16"/>
      </w:rPr>
      <w:t>7</w:t>
    </w:r>
    <w:r w:rsidR="00CD5F34" w:rsidRPr="00AF0422">
      <w:rPr>
        <w:sz w:val="16"/>
      </w:rPr>
      <w:fldChar w:fldCharType="end"/>
    </w:r>
  </w:p>
  <w:p w14:paraId="3EC42B99" w14:textId="77777777" w:rsidR="007D0675" w:rsidRPr="00AF0422" w:rsidRDefault="007D0675" w:rsidP="00B96AF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8D336B" w:rsidRPr="00AF0422" w14:paraId="2578ED75" w14:textId="77777777" w:rsidTr="00D2505A">
      <w:trPr>
        <w:trHeight w:val="686"/>
      </w:trPr>
      <w:tc>
        <w:tcPr>
          <w:tcW w:w="3679" w:type="dxa"/>
          <w:vAlign w:val="center"/>
        </w:tcPr>
        <w:p w14:paraId="036127D3" w14:textId="40009416" w:rsidR="008D336B" w:rsidRPr="00AF0422" w:rsidRDefault="006E162C" w:rsidP="00B94E07">
          <w:pPr>
            <w:pStyle w:val="Header"/>
            <w:pBdr>
              <w:bottom w:val="none" w:sz="0" w:space="0" w:color="auto"/>
            </w:pBdr>
            <w:jc w:val="left"/>
            <w:rPr>
              <w:rFonts w:eastAsia="等线"/>
              <w:b/>
              <w:bCs/>
            </w:rPr>
          </w:pPr>
          <w:r w:rsidRPr="00AF0422">
            <w:rPr>
              <w:rFonts w:eastAsia="等线"/>
              <w:b/>
              <w:bCs/>
              <w:noProof/>
            </w:rPr>
            <w:drawing>
              <wp:inline distT="0" distB="0" distL="0" distR="0" wp14:anchorId="713DF4EB" wp14:editId="5787B002">
                <wp:extent cx="1426817" cy="432000"/>
                <wp:effectExtent l="0" t="0" r="2540" b="6350"/>
                <wp:docPr id="212797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70216" name=""/>
                        <pic:cNvPicPr/>
                      </pic:nvPicPr>
                      <pic:blipFill>
                        <a:blip r:embed="rId1"/>
                        <a:stretch>
                          <a:fillRect/>
                        </a:stretch>
                      </pic:blipFill>
                      <pic:spPr>
                        <a:xfrm>
                          <a:off x="0" y="0"/>
                          <a:ext cx="1426817" cy="432000"/>
                        </a:xfrm>
                        <a:prstGeom prst="rect">
                          <a:avLst/>
                        </a:prstGeom>
                      </pic:spPr>
                    </pic:pic>
                  </a:graphicData>
                </a:graphic>
              </wp:inline>
            </w:drawing>
          </w:r>
        </w:p>
      </w:tc>
      <w:tc>
        <w:tcPr>
          <w:tcW w:w="4535" w:type="dxa"/>
          <w:vAlign w:val="center"/>
        </w:tcPr>
        <w:p w14:paraId="4141788F" w14:textId="77777777" w:rsidR="008D336B" w:rsidRPr="00AF0422" w:rsidRDefault="008D336B" w:rsidP="00B94E07">
          <w:pPr>
            <w:pStyle w:val="Header"/>
            <w:pBdr>
              <w:bottom w:val="none" w:sz="0" w:space="0" w:color="auto"/>
            </w:pBdr>
            <w:rPr>
              <w:rFonts w:eastAsia="等线"/>
              <w:b/>
              <w:bCs/>
            </w:rPr>
          </w:pPr>
        </w:p>
      </w:tc>
      <w:tc>
        <w:tcPr>
          <w:tcW w:w="2273" w:type="dxa"/>
          <w:vAlign w:val="center"/>
        </w:tcPr>
        <w:p w14:paraId="07BAD48E" w14:textId="423F6D88" w:rsidR="008D336B" w:rsidRPr="00AF0422" w:rsidRDefault="00D2505A" w:rsidP="00D2505A">
          <w:pPr>
            <w:pStyle w:val="Header"/>
            <w:pBdr>
              <w:bottom w:val="none" w:sz="0" w:space="0" w:color="auto"/>
            </w:pBdr>
            <w:jc w:val="right"/>
            <w:rPr>
              <w:rFonts w:eastAsia="等线"/>
              <w:b/>
              <w:bCs/>
            </w:rPr>
          </w:pPr>
          <w:r w:rsidRPr="00AF0422">
            <w:rPr>
              <w:rFonts w:eastAsia="等线"/>
              <w:b/>
              <w:bCs/>
              <w:noProof/>
            </w:rPr>
            <w:drawing>
              <wp:inline distT="0" distB="0" distL="0" distR="0" wp14:anchorId="1659DCB7" wp14:editId="47762D56">
                <wp:extent cx="540000" cy="360000"/>
                <wp:effectExtent l="0" t="0" r="0" b="2540"/>
                <wp:docPr id="1953093348" name="Picture 1"/>
                <wp:cNvGraphicFramePr/>
                <a:graphic xmlns:a="http://schemas.openxmlformats.org/drawingml/2006/main">
                  <a:graphicData uri="http://schemas.openxmlformats.org/drawingml/2006/picture">
                    <pic:pic xmlns:pic="http://schemas.openxmlformats.org/drawingml/2006/picture">
                      <pic:nvPicPr>
                        <pic:cNvPr id="1953093348" name=""/>
                        <pic:cNvPicPr/>
                      </pic:nvPicPr>
                      <pic:blipFill>
                        <a:blip r:embed="rId2"/>
                        <a:stretch>
                          <a:fillRect/>
                        </a:stretch>
                      </pic:blipFill>
                      <pic:spPr>
                        <a:xfrm>
                          <a:off x="0" y="0"/>
                          <a:ext cx="540000" cy="360000"/>
                        </a:xfrm>
                        <a:prstGeom prst="rect">
                          <a:avLst/>
                        </a:prstGeom>
                      </pic:spPr>
                    </pic:pic>
                  </a:graphicData>
                </a:graphic>
              </wp:inline>
            </w:drawing>
          </w:r>
        </w:p>
      </w:tc>
    </w:tr>
  </w:tbl>
  <w:p w14:paraId="2B3A58E1" w14:textId="77777777" w:rsidR="007D0675" w:rsidRPr="00AF0422" w:rsidRDefault="007D0675" w:rsidP="00CD5F34">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3FB688F2"/>
    <w:lvl w:ilvl="0" w:tplc="4858CE4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3A66122"/>
    <w:multiLevelType w:val="hybridMultilevel"/>
    <w:tmpl w:val="FD986F3E"/>
    <w:lvl w:ilvl="0" w:tplc="FDA65CD0">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522172AF"/>
    <w:multiLevelType w:val="hybridMultilevel"/>
    <w:tmpl w:val="17BCEA46"/>
    <w:lvl w:ilvl="0" w:tplc="AB2649D0">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6B777DBA"/>
    <w:multiLevelType w:val="hybridMultilevel"/>
    <w:tmpl w:val="687AA282"/>
    <w:lvl w:ilvl="0" w:tplc="19EE473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6207443">
    <w:abstractNumId w:val="4"/>
  </w:num>
  <w:num w:numId="2" w16cid:durableId="1980913437">
    <w:abstractNumId w:val="6"/>
  </w:num>
  <w:num w:numId="3" w16cid:durableId="1330448300">
    <w:abstractNumId w:val="3"/>
  </w:num>
  <w:num w:numId="4" w16cid:durableId="6443591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66667111">
    <w:abstractNumId w:val="5"/>
  </w:num>
  <w:num w:numId="6" w16cid:durableId="1880166401">
    <w:abstractNumId w:val="9"/>
  </w:num>
  <w:num w:numId="7" w16cid:durableId="950010593">
    <w:abstractNumId w:val="1"/>
  </w:num>
  <w:num w:numId="8" w16cid:durableId="669285936">
    <w:abstractNumId w:val="9"/>
  </w:num>
  <w:num w:numId="9" w16cid:durableId="69468467">
    <w:abstractNumId w:val="1"/>
  </w:num>
  <w:num w:numId="10" w16cid:durableId="532040894">
    <w:abstractNumId w:val="9"/>
  </w:num>
  <w:num w:numId="11" w16cid:durableId="923881535">
    <w:abstractNumId w:val="1"/>
  </w:num>
  <w:num w:numId="12" w16cid:durableId="743182272">
    <w:abstractNumId w:val="11"/>
  </w:num>
  <w:num w:numId="13" w16cid:durableId="1619875560">
    <w:abstractNumId w:val="9"/>
  </w:num>
  <w:num w:numId="14" w16cid:durableId="2044820473">
    <w:abstractNumId w:val="1"/>
  </w:num>
  <w:num w:numId="15" w16cid:durableId="8260214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97858905">
    <w:abstractNumId w:val="1"/>
  </w:num>
  <w:num w:numId="17" w16cid:durableId="2862797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79386527">
    <w:abstractNumId w:val="0"/>
  </w:num>
  <w:num w:numId="19" w16cid:durableId="718700021">
    <w:abstractNumId w:val="8"/>
  </w:num>
  <w:num w:numId="20" w16cid:durableId="81490558">
    <w:abstractNumId w:val="0"/>
  </w:num>
  <w:num w:numId="21" w16cid:durableId="98763258">
    <w:abstractNumId w:val="9"/>
  </w:num>
  <w:num w:numId="22" w16cid:durableId="1223174203">
    <w:abstractNumId w:val="1"/>
  </w:num>
  <w:num w:numId="23" w16cid:durableId="828594972">
    <w:abstractNumId w:val="0"/>
  </w:num>
  <w:num w:numId="24" w16cid:durableId="230818908">
    <w:abstractNumId w:val="2"/>
  </w:num>
  <w:num w:numId="25" w16cid:durableId="696124141">
    <w:abstractNumId w:val="10"/>
  </w:num>
  <w:num w:numId="26" w16cid:durableId="12160484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BAA"/>
    <w:rsid w:val="000012F2"/>
    <w:rsid w:val="00005D6C"/>
    <w:rsid w:val="00025E1B"/>
    <w:rsid w:val="000368A4"/>
    <w:rsid w:val="00036FB7"/>
    <w:rsid w:val="00044891"/>
    <w:rsid w:val="00045371"/>
    <w:rsid w:val="00051B8A"/>
    <w:rsid w:val="00066319"/>
    <w:rsid w:val="00080C1D"/>
    <w:rsid w:val="00097E91"/>
    <w:rsid w:val="000A1902"/>
    <w:rsid w:val="000B658D"/>
    <w:rsid w:val="000C73A7"/>
    <w:rsid w:val="000D65C6"/>
    <w:rsid w:val="000E79A3"/>
    <w:rsid w:val="000F138E"/>
    <w:rsid w:val="000F4847"/>
    <w:rsid w:val="00103C88"/>
    <w:rsid w:val="00112CE1"/>
    <w:rsid w:val="001170DC"/>
    <w:rsid w:val="00131358"/>
    <w:rsid w:val="00131CEC"/>
    <w:rsid w:val="00141821"/>
    <w:rsid w:val="001533FE"/>
    <w:rsid w:val="0016553B"/>
    <w:rsid w:val="00177DD2"/>
    <w:rsid w:val="001B4C93"/>
    <w:rsid w:val="001B5854"/>
    <w:rsid w:val="001B6875"/>
    <w:rsid w:val="001C470E"/>
    <w:rsid w:val="001C5FB1"/>
    <w:rsid w:val="001E2AEB"/>
    <w:rsid w:val="00202D34"/>
    <w:rsid w:val="002136A6"/>
    <w:rsid w:val="00214A16"/>
    <w:rsid w:val="00226A72"/>
    <w:rsid w:val="00231EF3"/>
    <w:rsid w:val="00232EDB"/>
    <w:rsid w:val="00235727"/>
    <w:rsid w:val="00236957"/>
    <w:rsid w:val="00237992"/>
    <w:rsid w:val="00241E44"/>
    <w:rsid w:val="00244422"/>
    <w:rsid w:val="00260559"/>
    <w:rsid w:val="00287D71"/>
    <w:rsid w:val="00295161"/>
    <w:rsid w:val="002954D9"/>
    <w:rsid w:val="002A2B46"/>
    <w:rsid w:val="002C0E4C"/>
    <w:rsid w:val="002D1B58"/>
    <w:rsid w:val="002D6280"/>
    <w:rsid w:val="002E012B"/>
    <w:rsid w:val="002E2ABA"/>
    <w:rsid w:val="002F126F"/>
    <w:rsid w:val="00302133"/>
    <w:rsid w:val="00310344"/>
    <w:rsid w:val="00313AAB"/>
    <w:rsid w:val="00315288"/>
    <w:rsid w:val="00326141"/>
    <w:rsid w:val="0033188F"/>
    <w:rsid w:val="00342799"/>
    <w:rsid w:val="003527DB"/>
    <w:rsid w:val="00361B93"/>
    <w:rsid w:val="00364200"/>
    <w:rsid w:val="003645F9"/>
    <w:rsid w:val="003917CA"/>
    <w:rsid w:val="003A456B"/>
    <w:rsid w:val="003C1F71"/>
    <w:rsid w:val="003D7AC4"/>
    <w:rsid w:val="003F52B8"/>
    <w:rsid w:val="00401D30"/>
    <w:rsid w:val="004142BD"/>
    <w:rsid w:val="00420FE7"/>
    <w:rsid w:val="00423E88"/>
    <w:rsid w:val="0042622F"/>
    <w:rsid w:val="00451910"/>
    <w:rsid w:val="00454A4A"/>
    <w:rsid w:val="00464526"/>
    <w:rsid w:val="00467560"/>
    <w:rsid w:val="00487414"/>
    <w:rsid w:val="00491EEF"/>
    <w:rsid w:val="004A5983"/>
    <w:rsid w:val="004B5C98"/>
    <w:rsid w:val="004C32BF"/>
    <w:rsid w:val="004D349E"/>
    <w:rsid w:val="004D4D9F"/>
    <w:rsid w:val="004D5213"/>
    <w:rsid w:val="004E2807"/>
    <w:rsid w:val="004E7DF2"/>
    <w:rsid w:val="004F257D"/>
    <w:rsid w:val="004F264C"/>
    <w:rsid w:val="004F362F"/>
    <w:rsid w:val="004F635A"/>
    <w:rsid w:val="00520649"/>
    <w:rsid w:val="005264BC"/>
    <w:rsid w:val="005316EB"/>
    <w:rsid w:val="0053461A"/>
    <w:rsid w:val="00544265"/>
    <w:rsid w:val="00545B32"/>
    <w:rsid w:val="00550473"/>
    <w:rsid w:val="00570824"/>
    <w:rsid w:val="00576344"/>
    <w:rsid w:val="00584C50"/>
    <w:rsid w:val="005B22A9"/>
    <w:rsid w:val="005B4197"/>
    <w:rsid w:val="005C1668"/>
    <w:rsid w:val="005C27D8"/>
    <w:rsid w:val="005F3FA6"/>
    <w:rsid w:val="005F7010"/>
    <w:rsid w:val="005F766B"/>
    <w:rsid w:val="00605BAA"/>
    <w:rsid w:val="0061526F"/>
    <w:rsid w:val="00617065"/>
    <w:rsid w:val="00624B59"/>
    <w:rsid w:val="00635422"/>
    <w:rsid w:val="00685407"/>
    <w:rsid w:val="006915A4"/>
    <w:rsid w:val="00692393"/>
    <w:rsid w:val="006B0B50"/>
    <w:rsid w:val="006B13E4"/>
    <w:rsid w:val="006C2378"/>
    <w:rsid w:val="006D1BD0"/>
    <w:rsid w:val="006E162C"/>
    <w:rsid w:val="006F6D13"/>
    <w:rsid w:val="0071438D"/>
    <w:rsid w:val="0071491B"/>
    <w:rsid w:val="00720A0F"/>
    <w:rsid w:val="00723436"/>
    <w:rsid w:val="007409C2"/>
    <w:rsid w:val="00744AED"/>
    <w:rsid w:val="007476A3"/>
    <w:rsid w:val="007504DF"/>
    <w:rsid w:val="00755021"/>
    <w:rsid w:val="00772A71"/>
    <w:rsid w:val="007745C2"/>
    <w:rsid w:val="0077486D"/>
    <w:rsid w:val="0078191D"/>
    <w:rsid w:val="007B084C"/>
    <w:rsid w:val="007B61BB"/>
    <w:rsid w:val="007C0A63"/>
    <w:rsid w:val="007C67E8"/>
    <w:rsid w:val="007D0675"/>
    <w:rsid w:val="007E082D"/>
    <w:rsid w:val="00802A29"/>
    <w:rsid w:val="008151BF"/>
    <w:rsid w:val="00817180"/>
    <w:rsid w:val="008267AD"/>
    <w:rsid w:val="00831D9C"/>
    <w:rsid w:val="00837DBE"/>
    <w:rsid w:val="00852555"/>
    <w:rsid w:val="00865AC6"/>
    <w:rsid w:val="00866CC9"/>
    <w:rsid w:val="00881961"/>
    <w:rsid w:val="00881A6D"/>
    <w:rsid w:val="00883C53"/>
    <w:rsid w:val="008903A2"/>
    <w:rsid w:val="008966F2"/>
    <w:rsid w:val="008B63B7"/>
    <w:rsid w:val="008C00A3"/>
    <w:rsid w:val="008C4F1D"/>
    <w:rsid w:val="008D336B"/>
    <w:rsid w:val="008D6363"/>
    <w:rsid w:val="008E34FF"/>
    <w:rsid w:val="008F6039"/>
    <w:rsid w:val="00920985"/>
    <w:rsid w:val="009323F1"/>
    <w:rsid w:val="00954B7C"/>
    <w:rsid w:val="00986B25"/>
    <w:rsid w:val="009926FC"/>
    <w:rsid w:val="009C2BBE"/>
    <w:rsid w:val="009D12D8"/>
    <w:rsid w:val="009D175B"/>
    <w:rsid w:val="009E084B"/>
    <w:rsid w:val="009E10F3"/>
    <w:rsid w:val="009F70E6"/>
    <w:rsid w:val="00A10E28"/>
    <w:rsid w:val="00A273D6"/>
    <w:rsid w:val="00A3125E"/>
    <w:rsid w:val="00A33384"/>
    <w:rsid w:val="00A376D5"/>
    <w:rsid w:val="00A57CD3"/>
    <w:rsid w:val="00A60721"/>
    <w:rsid w:val="00A71348"/>
    <w:rsid w:val="00A854F6"/>
    <w:rsid w:val="00AA38BE"/>
    <w:rsid w:val="00AC53F4"/>
    <w:rsid w:val="00AE5FDC"/>
    <w:rsid w:val="00AF0422"/>
    <w:rsid w:val="00AF2EA0"/>
    <w:rsid w:val="00AF4DAD"/>
    <w:rsid w:val="00B056EB"/>
    <w:rsid w:val="00B21D88"/>
    <w:rsid w:val="00B325D7"/>
    <w:rsid w:val="00B43A65"/>
    <w:rsid w:val="00B53D3C"/>
    <w:rsid w:val="00B610E1"/>
    <w:rsid w:val="00B62415"/>
    <w:rsid w:val="00B72491"/>
    <w:rsid w:val="00B94E07"/>
    <w:rsid w:val="00B96AFE"/>
    <w:rsid w:val="00BA7E5C"/>
    <w:rsid w:val="00BD2410"/>
    <w:rsid w:val="00BE6385"/>
    <w:rsid w:val="00BE6B2C"/>
    <w:rsid w:val="00BF56CA"/>
    <w:rsid w:val="00C0018E"/>
    <w:rsid w:val="00C433E4"/>
    <w:rsid w:val="00C53DE6"/>
    <w:rsid w:val="00C86473"/>
    <w:rsid w:val="00C95C8A"/>
    <w:rsid w:val="00CD5F34"/>
    <w:rsid w:val="00CF2C8E"/>
    <w:rsid w:val="00CF6D83"/>
    <w:rsid w:val="00D05A90"/>
    <w:rsid w:val="00D10D46"/>
    <w:rsid w:val="00D13D26"/>
    <w:rsid w:val="00D21971"/>
    <w:rsid w:val="00D23071"/>
    <w:rsid w:val="00D23271"/>
    <w:rsid w:val="00D236E4"/>
    <w:rsid w:val="00D2505A"/>
    <w:rsid w:val="00D25A36"/>
    <w:rsid w:val="00D30D71"/>
    <w:rsid w:val="00D6434F"/>
    <w:rsid w:val="00D7517C"/>
    <w:rsid w:val="00D835B9"/>
    <w:rsid w:val="00D83D06"/>
    <w:rsid w:val="00DA4505"/>
    <w:rsid w:val="00DD3D51"/>
    <w:rsid w:val="00DE4B9D"/>
    <w:rsid w:val="00DF5057"/>
    <w:rsid w:val="00E223EC"/>
    <w:rsid w:val="00E55545"/>
    <w:rsid w:val="00E80E1F"/>
    <w:rsid w:val="00E817B4"/>
    <w:rsid w:val="00E83CCC"/>
    <w:rsid w:val="00E9271D"/>
    <w:rsid w:val="00EC1E94"/>
    <w:rsid w:val="00EC5EEE"/>
    <w:rsid w:val="00ED4238"/>
    <w:rsid w:val="00ED5DB0"/>
    <w:rsid w:val="00EF03D6"/>
    <w:rsid w:val="00F04AB5"/>
    <w:rsid w:val="00F2121E"/>
    <w:rsid w:val="00F33616"/>
    <w:rsid w:val="00F34FEE"/>
    <w:rsid w:val="00F3642E"/>
    <w:rsid w:val="00F54B92"/>
    <w:rsid w:val="00F644C5"/>
    <w:rsid w:val="00F70F4B"/>
    <w:rsid w:val="00F7507D"/>
    <w:rsid w:val="00F849D3"/>
    <w:rsid w:val="00F91C4F"/>
    <w:rsid w:val="00FC31A5"/>
    <w:rsid w:val="00FD03AB"/>
    <w:rsid w:val="00FF1279"/>
    <w:rsid w:val="00FF18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18D2B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3F1"/>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9323F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9323F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9323F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9323F1"/>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9323F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9323F1"/>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9323F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9323F1"/>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605BAA"/>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9323F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9323F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9323F1"/>
    <w:rPr>
      <w:rFonts w:ascii="Palatino Linotype" w:hAnsi="Palatino Linotype"/>
      <w:noProof/>
      <w:color w:val="000000"/>
      <w:szCs w:val="18"/>
    </w:rPr>
  </w:style>
  <w:style w:type="paragraph" w:styleId="Header">
    <w:name w:val="header"/>
    <w:basedOn w:val="Normal"/>
    <w:link w:val="HeaderChar"/>
    <w:uiPriority w:val="99"/>
    <w:rsid w:val="009323F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9323F1"/>
    <w:rPr>
      <w:rFonts w:ascii="Palatino Linotype" w:hAnsi="Palatino Linotype"/>
      <w:noProof/>
      <w:color w:val="000000"/>
      <w:szCs w:val="18"/>
    </w:rPr>
  </w:style>
  <w:style w:type="paragraph" w:customStyle="1" w:styleId="MDPI32textnoindent">
    <w:name w:val="MDPI_3.2_text_no_indent"/>
    <w:basedOn w:val="MDPI31text"/>
    <w:qFormat/>
    <w:rsid w:val="009323F1"/>
    <w:pPr>
      <w:ind w:firstLine="0"/>
    </w:pPr>
  </w:style>
  <w:style w:type="paragraph" w:customStyle="1" w:styleId="MDPI31text">
    <w:name w:val="MDPI_3.1_text"/>
    <w:qFormat/>
    <w:rsid w:val="00D835B9"/>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9323F1"/>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9323F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9323F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9323F1"/>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881961"/>
    <w:pPr>
      <w:numPr>
        <w:numId w:val="25"/>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881961"/>
    <w:pPr>
      <w:numPr>
        <w:numId w:val="23"/>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9323F1"/>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9323F1"/>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9323F1"/>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036FB7"/>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9323F1"/>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9323F1"/>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9323F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9323F1"/>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9323F1"/>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9323F1"/>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9323F1"/>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9323F1"/>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F3642E"/>
    <w:pPr>
      <w:numPr>
        <w:numId w:val="26"/>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9323F1"/>
    <w:rPr>
      <w:rFonts w:cs="Tahoma"/>
      <w:szCs w:val="18"/>
    </w:rPr>
  </w:style>
  <w:style w:type="character" w:customStyle="1" w:styleId="BalloonTextChar">
    <w:name w:val="Balloon Text Char"/>
    <w:link w:val="BalloonText"/>
    <w:uiPriority w:val="99"/>
    <w:rsid w:val="009323F1"/>
    <w:rPr>
      <w:rFonts w:ascii="Palatino Linotype" w:hAnsi="Palatino Linotype" w:cs="Tahoma"/>
      <w:noProof/>
      <w:color w:val="000000"/>
      <w:szCs w:val="18"/>
    </w:rPr>
  </w:style>
  <w:style w:type="character" w:styleId="LineNumber">
    <w:name w:val="line number"/>
    <w:uiPriority w:val="99"/>
    <w:rsid w:val="00342799"/>
    <w:rPr>
      <w:rFonts w:ascii="Palatino Linotype" w:hAnsi="Palatino Linotype"/>
      <w:sz w:val="16"/>
    </w:rPr>
  </w:style>
  <w:style w:type="table" w:customStyle="1" w:styleId="MDPI41threelinetable">
    <w:name w:val="MDPI_4.1_three_line_table"/>
    <w:basedOn w:val="TableNormal"/>
    <w:uiPriority w:val="99"/>
    <w:rsid w:val="009323F1"/>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9323F1"/>
    <w:rPr>
      <w:color w:val="0000FF"/>
      <w:u w:val="single"/>
    </w:rPr>
  </w:style>
  <w:style w:type="character" w:styleId="UnresolvedMention">
    <w:name w:val="Unresolved Mention"/>
    <w:uiPriority w:val="99"/>
    <w:semiHidden/>
    <w:unhideWhenUsed/>
    <w:rsid w:val="00A10E28"/>
    <w:rPr>
      <w:color w:val="605E5C"/>
      <w:shd w:val="clear" w:color="auto" w:fill="E1DFDD"/>
    </w:rPr>
  </w:style>
  <w:style w:type="table" w:styleId="PlainTable4">
    <w:name w:val="Plain Table 4"/>
    <w:basedOn w:val="TableNormal"/>
    <w:uiPriority w:val="44"/>
    <w:rsid w:val="00103C8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9323F1"/>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9323F1"/>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9323F1"/>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AE5FDC"/>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9323F1"/>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9323F1"/>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2D6280"/>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9323F1"/>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9323F1"/>
  </w:style>
  <w:style w:type="paragraph" w:styleId="Bibliography">
    <w:name w:val="Bibliography"/>
    <w:basedOn w:val="Normal"/>
    <w:next w:val="Normal"/>
    <w:uiPriority w:val="37"/>
    <w:semiHidden/>
    <w:unhideWhenUsed/>
    <w:rsid w:val="009323F1"/>
  </w:style>
  <w:style w:type="paragraph" w:styleId="BodyText">
    <w:name w:val="Body Text"/>
    <w:link w:val="BodyTextChar"/>
    <w:rsid w:val="009323F1"/>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9323F1"/>
    <w:rPr>
      <w:rFonts w:ascii="Palatino Linotype" w:hAnsi="Palatino Linotype"/>
      <w:color w:val="000000"/>
      <w:sz w:val="24"/>
      <w:lang w:eastAsia="de-DE"/>
    </w:rPr>
  </w:style>
  <w:style w:type="character" w:styleId="CommentReference">
    <w:name w:val="annotation reference"/>
    <w:rsid w:val="009323F1"/>
    <w:rPr>
      <w:sz w:val="21"/>
      <w:szCs w:val="21"/>
    </w:rPr>
  </w:style>
  <w:style w:type="paragraph" w:styleId="CommentText">
    <w:name w:val="annotation text"/>
    <w:basedOn w:val="Normal"/>
    <w:link w:val="CommentTextChar"/>
    <w:rsid w:val="009323F1"/>
  </w:style>
  <w:style w:type="character" w:customStyle="1" w:styleId="CommentTextChar">
    <w:name w:val="Comment Text Char"/>
    <w:link w:val="CommentText"/>
    <w:rsid w:val="009323F1"/>
    <w:rPr>
      <w:rFonts w:ascii="Palatino Linotype" w:hAnsi="Palatino Linotype"/>
      <w:noProof/>
      <w:color w:val="000000"/>
    </w:rPr>
  </w:style>
  <w:style w:type="paragraph" w:styleId="CommentSubject">
    <w:name w:val="annotation subject"/>
    <w:basedOn w:val="CommentText"/>
    <w:next w:val="CommentText"/>
    <w:link w:val="CommentSubjectChar"/>
    <w:rsid w:val="009323F1"/>
    <w:rPr>
      <w:b/>
      <w:bCs/>
    </w:rPr>
  </w:style>
  <w:style w:type="character" w:customStyle="1" w:styleId="CommentSubjectChar">
    <w:name w:val="Comment Subject Char"/>
    <w:link w:val="CommentSubject"/>
    <w:rsid w:val="009323F1"/>
    <w:rPr>
      <w:rFonts w:ascii="Palatino Linotype" w:hAnsi="Palatino Linotype"/>
      <w:b/>
      <w:bCs/>
      <w:noProof/>
      <w:color w:val="000000"/>
    </w:rPr>
  </w:style>
  <w:style w:type="character" w:styleId="EndnoteReference">
    <w:name w:val="endnote reference"/>
    <w:rsid w:val="009323F1"/>
    <w:rPr>
      <w:vertAlign w:val="superscript"/>
    </w:rPr>
  </w:style>
  <w:style w:type="paragraph" w:styleId="EndnoteText">
    <w:name w:val="endnote text"/>
    <w:basedOn w:val="Normal"/>
    <w:link w:val="EndnoteTextChar"/>
    <w:semiHidden/>
    <w:unhideWhenUsed/>
    <w:rsid w:val="009323F1"/>
    <w:pPr>
      <w:spacing w:line="240" w:lineRule="auto"/>
    </w:pPr>
  </w:style>
  <w:style w:type="character" w:customStyle="1" w:styleId="EndnoteTextChar">
    <w:name w:val="Endnote Text Char"/>
    <w:link w:val="EndnoteText"/>
    <w:semiHidden/>
    <w:rsid w:val="009323F1"/>
    <w:rPr>
      <w:rFonts w:ascii="Palatino Linotype" w:hAnsi="Palatino Linotype"/>
      <w:noProof/>
      <w:color w:val="000000"/>
    </w:rPr>
  </w:style>
  <w:style w:type="character" w:styleId="FollowedHyperlink">
    <w:name w:val="FollowedHyperlink"/>
    <w:rsid w:val="009323F1"/>
    <w:rPr>
      <w:color w:val="954F72"/>
      <w:u w:val="single"/>
    </w:rPr>
  </w:style>
  <w:style w:type="paragraph" w:styleId="FootnoteText">
    <w:name w:val="footnote text"/>
    <w:basedOn w:val="Normal"/>
    <w:link w:val="FootnoteTextChar"/>
    <w:semiHidden/>
    <w:unhideWhenUsed/>
    <w:rsid w:val="009323F1"/>
    <w:pPr>
      <w:spacing w:line="240" w:lineRule="auto"/>
    </w:pPr>
  </w:style>
  <w:style w:type="character" w:customStyle="1" w:styleId="FootnoteTextChar">
    <w:name w:val="Footnote Text Char"/>
    <w:link w:val="FootnoteText"/>
    <w:semiHidden/>
    <w:rsid w:val="009323F1"/>
    <w:rPr>
      <w:rFonts w:ascii="Palatino Linotype" w:hAnsi="Palatino Linotype"/>
      <w:noProof/>
      <w:color w:val="000000"/>
    </w:rPr>
  </w:style>
  <w:style w:type="paragraph" w:styleId="NormalWeb">
    <w:name w:val="Normal (Web)"/>
    <w:basedOn w:val="Normal"/>
    <w:uiPriority w:val="99"/>
    <w:rsid w:val="009323F1"/>
    <w:rPr>
      <w:szCs w:val="24"/>
    </w:rPr>
  </w:style>
  <w:style w:type="paragraph" w:customStyle="1" w:styleId="MsoFootnoteText0">
    <w:name w:val="MsoFootnoteText"/>
    <w:basedOn w:val="NormalWeb"/>
    <w:qFormat/>
    <w:rsid w:val="009323F1"/>
    <w:rPr>
      <w:rFonts w:ascii="Times New Roman" w:hAnsi="Times New Roman"/>
    </w:rPr>
  </w:style>
  <w:style w:type="character" w:styleId="PageNumber">
    <w:name w:val="page number"/>
    <w:rsid w:val="009323F1"/>
  </w:style>
  <w:style w:type="character" w:styleId="PlaceholderText">
    <w:name w:val="Placeholder Text"/>
    <w:uiPriority w:val="99"/>
    <w:semiHidden/>
    <w:rsid w:val="009323F1"/>
    <w:rPr>
      <w:color w:val="808080"/>
    </w:rPr>
  </w:style>
  <w:style w:type="paragraph" w:customStyle="1" w:styleId="MDPI71footnotes">
    <w:name w:val="MDPI_7.1_footnotes"/>
    <w:qFormat/>
    <w:rsid w:val="00ED4238"/>
    <w:pPr>
      <w:numPr>
        <w:numId w:val="24"/>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B43A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684683">
      <w:bodyDiv w:val="1"/>
      <w:marLeft w:val="0"/>
      <w:marRight w:val="0"/>
      <w:marTop w:val="0"/>
      <w:marBottom w:val="0"/>
      <w:divBdr>
        <w:top w:val="none" w:sz="0" w:space="0" w:color="auto"/>
        <w:left w:val="none" w:sz="0" w:space="0" w:color="auto"/>
        <w:bottom w:val="none" w:sz="0" w:space="0" w:color="auto"/>
        <w:right w:val="none" w:sz="0" w:space="0" w:color="auto"/>
      </w:divBdr>
    </w:div>
    <w:div w:id="1041709622">
      <w:bodyDiv w:val="1"/>
      <w:marLeft w:val="0"/>
      <w:marRight w:val="0"/>
      <w:marTop w:val="0"/>
      <w:marBottom w:val="0"/>
      <w:divBdr>
        <w:top w:val="none" w:sz="0" w:space="0" w:color="auto"/>
        <w:left w:val="none" w:sz="0" w:space="0" w:color="auto"/>
        <w:bottom w:val="none" w:sz="0" w:space="0" w:color="auto"/>
        <w:right w:val="none" w:sz="0" w:space="0" w:color="auto"/>
      </w:divBdr>
    </w:div>
    <w:div w:id="1145973645">
      <w:bodyDiv w:val="1"/>
      <w:marLeft w:val="0"/>
      <w:marRight w:val="0"/>
      <w:marTop w:val="0"/>
      <w:marBottom w:val="0"/>
      <w:divBdr>
        <w:top w:val="none" w:sz="0" w:space="0" w:color="auto"/>
        <w:left w:val="none" w:sz="0" w:space="0" w:color="auto"/>
        <w:bottom w:val="none" w:sz="0" w:space="0" w:color="auto"/>
        <w:right w:val="none" w:sz="0" w:space="0" w:color="auto"/>
      </w:divBdr>
    </w:div>
    <w:div w:id="1735590144">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hyperlink" Target="https://doi.org/10.5281/zenodo.19821952" TargetMode="External"/><Relationship Id="rId43" Type="http://schemas.openxmlformats.org/officeDocument/2006/relationships/hyperlink" Target="https://github.com/ApartsinProjects/DGLD4Energetic" TargetMode="External"/><Relationship Id="rId44" Type="http://schemas.openxmlformats.org/officeDocument/2006/relationships/hyperlink" Target="https://www.rdkit.org" TargetMode="External"/><Relationship Id="rId45" Type="http://schemas.openxmlformats.org/officeDocument/2006/relationships/hyperlink" Target="https://www.daylight.com/dayhtml/doc/theory/theory.smarts.html"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molecules-template.dot</Template>
  <TotalTime>0</TotalTime>
  <Pages>2</Pages>
  <Words>2399</Words>
  <Characters>13676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JAMS Production Team</cp:lastModifiedBy>
  <cp:revision>2</cp:revision>
  <dcterms:created xsi:type="dcterms:W3CDTF">2025-08-12T07:52:00Z</dcterms:created>
  <dcterms:modified xsi:type="dcterms:W3CDTF">2025-08-12T07:52:00Z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71069f15-958f-40b0-96c3-a7e6065fc05c</vt:lpwstr>
  </property>
</Properties>
</file>