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41tablecaption"/>
        <w:ind w:left="2608"/>
      </w:pPr>
      <w:r>
        <w:rPr>
          <w:b/>
          <w:bCs/>
        </w:rPr>
        <w:t xml:space="preserve">Table S1.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3"/>
        <w:gridCol w:w="3343"/>
        <w:gridCol w:w="1185"/>
        <w:gridCol w:w="1157"/>
        <w:gridCol w:w="930"/>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Uni-Mol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Gaming molecules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4.11</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w:t>
            </w:r>
            <w:r>
              <w:rPr>
                <w:sz w:val="18"/>
                <w:szCs w:val="18"/>
              </w:rPr>
              <w:t xml:space="preserve"> </w:t>
            </w:r>
            <w:hyperlink w:anchor="ref-cameo">
              <w:r>
                <w:rPr>
                  <w:rStyle w:val="Hyperlink"/>
                  <w:sz w:val="18"/>
                  <w:szCs w:val="18"/>
                </w:rPr>
                <w:t xml:space="preserve">[7]</w:t>
              </w:r>
            </w:hyperlink>
            <w:r>
              <w:rPr>
                <w:sz w:val="18"/>
                <w:szCs w:val="18"/>
              </w:rPr>
              <w:t xml:space="preserve"> </w:t>
            </w:r>
            <w:r>
              <w:rPr>
                <w:sz w:val="18"/>
                <w:szCs w:val="18"/>
              </w:rPr>
              <w:t xml:space="preserve">+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an expected sanity-check rediscovery.</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S2, S3, and S4 (LIMO VAE; denoiser + score model; label sources + reranker, respectively).</w:t>
      </w:r>
    </w:p>
    <w:p>
      <w:pPr>
        <w:pStyle w:val="MDPI18keywords"/>
        <w:ind w:left="2608"/>
      </w:pPr>
      <w:r>
        <w:rPr>
          <w:b/>
          <w:bCs/>
        </w:rPr>
        <w:t xml:space="preserve">External label sources are training-time only.</w:t>
      </w:r>
      <w:r>
        <w:t xml:space="preserve"> </w:t>
      </w:r>
      <w:r>
        <w:t xml:space="preserve">The Random-Forest viability classifier and the 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MDPI41tablecaption"/>
        <w:ind w:left="2608"/>
      </w:pPr>
      <w:r>
        <w:rPr>
          <w:b/>
          <w:bCs/>
        </w:rPr>
        <w:t xml:space="preserve">Table S2.</w:t>
      </w:r>
      <w:r>
        <w:t xml:space="preserve"> </w:t>
      </w:r>
      <w:r>
        <w:t xml:space="preserve">LIMO SELFIES-VAE hyperparameters. Source of truth for all LIMO-related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14)</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41tablecaption"/>
        <w:ind w:left="2608"/>
      </w:pPr>
      <w:r>
        <w:rPr>
          <w:b/>
          <w:bCs/>
        </w:rPr>
        <w:t xml:space="preserve">Table S3.</w:t>
      </w:r>
      <w:r>
        <w:t xml:space="preserve"> </w:t>
      </w:r>
      <w:r>
        <w:t xml:space="preserve">Denoiser and multi-task score-model hyperparameters. Source of truth for all denoiser and score-model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3"/>
        <w:gridCol w:w="2004"/>
        <w:gridCol w:w="4281"/>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16)</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4.2)</w:t>
            </w:r>
          </w:p>
        </w:tc>
      </w:tr>
      <w:tr>
        <w:tc>
          <w:tcPr>
            <w:vMerge w:val="restart"/>
            <w:vAlign w:val="center"/>
          </w:tcPr>
          <w:p>
            <w:pPr>
              <w:pStyle w:val="Compact"/>
              <w:suppressAutoHyphens/>
              <w:jc w:val="center"/>
            </w:pPr>
            <w:r>
              <w:rPr>
                <w:sz w:val="18"/>
                <w:szCs w:val="18"/>
              </w:rPr>
              <w:t xml:space="preserve">Multi-task score model (Fig 18)</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41tablecaption"/>
        <w:ind w:left="2608"/>
      </w:pPr>
      <w:r>
        <w:rPr>
          <w:b/>
          <w:bCs/>
        </w:rPr>
        <w:t xml:space="preserve">Table S4.</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019"/>
        <w:gridCol w:w="2126"/>
        <w:gridCol w:w="3713"/>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~2069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ZINC-15 random negatives + mined hard negatives (Supplementary Section B.1)</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2-model scaffold-split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 is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4.9).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4.11 and not repeated here. The held-out probe (7 anchors: RDX, HMX, TNT, FOX-7, PETN, TATB, NTO; 5 gaming molecules: gem-tetranitro on C2, trinitromethane, gem-dinitrocyclopropane, polyazene-NO</w:t>
      </w:r>
      <w:r>
        <w:rPr>
          <w:vertAlign w:val="subscript"/>
        </w:rPr>
        <w:t xml:space="preserve">2</w:t>
      </w:r>
      <w:r>
        <w:t xml:space="preserve"> </w:t>
      </w:r>
      <w:r>
        <w:t xml:space="preserve">chain, dinitromethane) confirms anchors hold at 0.86–0.99 while gaming molecules are demoted to 0.12–0.84. Supplementary Section D.9 reports an early variant (137 gaming molecules) versus the production variant (918 gaming molecules).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4.10).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probe of 7 anchors and 5 gaming molecules; if all anchors score</w:t>
      </w:r>
      <w:r>
        <w:t xml:space="preserve"> </w:t>
      </w:r>
      <m:oMath>
        <m:r>
          <m:rPr>
            <m:sty m:val="p"/>
          </m:rPr>
          <m:t>≥</m:t>
        </m:r>
      </m:oMath>
      <w:r>
        <w:t xml:space="preserve"> </w:t>
      </w:r>
      <w:r>
        <w:t xml:space="preserve">0.86 and all gaming molecules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gaming molecules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S3) and the per-head supervised signal during training does not appear to harm the domain-native heads on the held-out anchor/gaming-molecule probe (the six-head production model and its five-head predecessor score the same on the anchor and gaming-molecule test sets within the per-round monitoring tolerance of Supplementary Section B.1). The cost of retaining is low; the cost of dropping (re-training the score model, re-running Supplementary Section F.4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p>
      <w:pPr>
        <w:pStyle w:val="MDPI23heading3"/>
        <w:ind w:left="2608"/>
      </w:pPr>
      <w:r>
        <w:t xml:space="preserve">B.5 Production recipe (Table S5)</w:t>
      </w:r>
    </w:p>
    <w:p>
      <w:pPr>
        <w:pStyle w:val="MDPI18keywords"/>
        <w:ind w:left="2608"/>
      </w:pPr>
      <w:r>
        <w:t xml:space="preserve">Complete configuration used throughout Section 2.2–Section 2.5. Each knob traces to the Section 2.6 ablation (or Section 4.15 hyperparameter sweep) that selected it.</w:t>
      </w:r>
    </w:p>
    <w:p>
      <w:pPr>
        <w:pStyle w:val="MDPI41tablecaption"/>
        <w:ind w:left="2608"/>
      </w:pPr>
      <w:r>
        <w:rPr>
          <w:b/>
          <w:bCs/>
        </w:rPr>
        <w:t xml:space="preserve">Table S5.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9"/>
        <w:gridCol w:w="3484"/>
        <w:gridCol w:w="2675"/>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Supplementary Section F.2</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4.8; Supplementary Section F.4</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4.15,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Supplementary Section F.5; Section 4.15,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4.10; Supplementary Section F.1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Supplementary Section F.3, Supplementary Section F.4</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Supplementary Section F.4</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4.12; Supplementary Section D.5</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4.13;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4.13; Supplementary Section C.1</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Supplementary Section C.4</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Supplementary Section C.5</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Uni-Mol smoke ensemble outputs</w:t>
            </w:r>
          </w:p>
        </w:tc>
        <w:tc>
          <w:tcPr>
            <w:vAlign w:val="center"/>
          </w:tcPr>
          <w:p>
            <w:pPr>
              <w:pStyle w:val="Compact"/>
              <w:suppressAutoHyphens/>
              <w:jc w:val="center"/>
            </w:pPr>
            <w:r>
              <w:rPr>
                <w:sz w:val="18"/>
                <w:szCs w:val="18"/>
              </w:rPr>
              <w:t xml:space="preserve">Section 4.13</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Uni-Mol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main Table 1 (Section 2.3)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a 2-anchor fit (RDX/TATB only) is under-determined, which is why the 6-anchor panel is used.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41tablecaption"/>
        <w:ind w:left="2608"/>
      </w:pPr>
      <w:r>
        <w:rPr>
          <w:b/>
          <w:bCs/>
        </w:rPr>
        <w:t xml:space="preserve">Table S6.</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11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S7.</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41tablecaption"/>
        <w:ind w:left="2608"/>
      </w:pPr>
      <w:r>
        <w:rPr>
          <w:b/>
          <w:bCs/>
        </w:rPr>
        <w:t xml:space="preserve">Table S7.</w:t>
      </w:r>
      <w:r>
        <w:t xml:space="preserve"> </w:t>
      </w:r>
      <w:r>
        <w:t xml:space="preserve">DFT-derived</w:t>
      </w:r>
      <w:r>
        <w:t xml:space="preserve"> </w:t>
      </w:r>
      <w:r>
        <w:rPr>
          <w:i/>
          <w:iCs/>
        </w:rPr>
        <w:t xml:space="preserve">properties</w:t>
      </w:r>
      <w:r>
        <w:t xml:space="preserve"> </w:t>
      </w:r>
      <w:r>
        <w:t xml:space="preserve">for the 11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 R2 (the N-nitroimine oxime-nitrate-imidazoline) is a reference-class compound flagged by the strengthened SMARTS gate, not a chem-pass lead:</w:t>
      </w:r>
    </w:p>
    <w:p>
      <w:pPr>
        <w:pStyle w:val="MDPI41tablecaption"/>
        <w:ind w:left="2608"/>
      </w:pPr>
      <w:r>
        <w:rPr>
          <w:b/>
          <w:bCs/>
        </w:rPr>
        <w:t xml:space="preserve">Table S8.</w:t>
      </w:r>
      <w:r>
        <w:t xml:space="preserve"> </w:t>
      </w:r>
      <w:r>
        <w:t xml:space="preserve">Reference-class (chem-rejected) scaffolds optimised with the same B3LYP/6-31G(d) + ωB97X-D3BJ/def2-TZVP protocol. R2 is an N-nitroimine, R3 a polyazene chain, R14 an azo-amino-nitrate. DFT-derived properties for these compounds are in Table S9.</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41tablecaption"/>
        <w:ind w:left="2608"/>
      </w:pPr>
      <w:r>
        <w:rPr>
          <w:b/>
          <w:bCs/>
        </w:rPr>
        <w:t xml:space="preserve">Table S9.</w:t>
      </w:r>
      <w:r>
        <w:t xml:space="preserve"> </w:t>
      </w:r>
      <w:r>
        <w:t xml:space="preserve">DFT-derived properties for the three reference-class scaffolds. Calibration as Table S7.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S7.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11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11 leads on the calibrated branch:</w:t>
      </w:r>
    </w:p>
    <w:p>
      <w:pPr>
        <w:pStyle w:val="MDPI41tablecaption"/>
        <w:ind w:left="2608"/>
      </w:pPr>
      <w:r>
        <w:rPr>
          <w:b/>
          <w:bCs/>
        </w:rPr>
        <w:t xml:space="preserve">Table S10.</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Uni-Mol surrogate prediction. The raw-DFT K-J values are listed in the third column for transparency. Residual is K-J</w:t>
      </w:r>
      <m:oMath>
        <m:sSub>
          <m:e>
            <m:r>
              <m:t>​</m:t>
            </m:r>
          </m:e>
          <m:sub>
            <m:r>
              <m:rPr>
                <m:nor/>
                <m:sty m:val="p"/>
              </m:rPr>
              <m:t>cal</m:t>
            </m:r>
          </m:sub>
        </m:sSub>
      </m:oMath>
      <w:r>
        <w:t xml:space="preserve"> </w:t>
      </w:r>
      <w:r>
        <w:t xml:space="preserve">minus Uni-Mol</w:t>
      </w:r>
      <w:r>
        <w:t xml:space="preserve"> </w:t>
      </w:r>
      <m:oMath>
        <m:r>
          <m:t>D</m:t>
        </m:r>
      </m:oMath>
      <w:r>
        <w:t xml:space="preserve">. All 11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8"/>
        <w:gridCol w:w="1194"/>
        <w:gridCol w:w="1258"/>
        <w:gridCol w:w="1416"/>
        <w:gridCol w:w="1522"/>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Uni-Mol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Uni-Mol)</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P=24.0</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S10.</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Uni-Mol surrogate (</w:t>
      </w:r>
      <m:oMath>
        <m:r>
          <m:rPr>
            <m:sty m:val="p"/>
          </m:rPr>
          <m:t>−</m:t>
        </m:r>
        <m:r>
          <m:t>1.22</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1.69</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Uni-Mol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t xml:space="preserve"> km s</w:t>
      </w:r>
      <w:r>
        <w:rPr>
          <w:vertAlign w:val="superscript"/>
        </w:rPr>
        <w:t xml:space="preserve">−1</w:t>
      </w:r>
      <w:r>
        <w:t xml:space="preserve"> </w:t>
      </w:r>
      <w:r>
        <w:t xml:space="preserve">(Table S10).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41tablecaption"/>
        <w:ind w:left="2608"/>
      </w:pPr>
      <w:r>
        <w:rPr>
          <w:b/>
          <w:bCs/>
        </w:rPr>
        <w:t xml:space="preserve">Table S11.</w:t>
      </w:r>
      <w:r>
        <w:t xml:space="preserve"> </w:t>
      </w:r>
      <w:r>
        <w:t xml:space="preserve">K-J residual decomposition by</w:t>
      </w:r>
      <w:r>
        <w:t xml:space="preserve"> </w:t>
      </w:r>
      <m:oMath>
        <m:r>
          <m:t>ρ</m:t>
        </m:r>
      </m:oMath>
      <w:r>
        <w:t xml:space="preserve">/HOF sensitivity for L4 (Uni-Mol</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41tablecaption"/>
        <w:ind w:left="2608"/>
      </w:pPr>
      <w:r>
        <w:rPr>
          <w:b/>
          <w:bCs/>
        </w:rPr>
        <w:t xml:space="preserve">Table S12.</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S12 is positive (+0.54 km s</w:t>
      </w:r>
      <w:r>
        <w:rPr>
          <w:vertAlign w:val="superscript"/>
        </w:rPr>
        <w:t xml:space="preserve">−1</w:t>
      </w:r>
      <w:r>
        <w:t xml:space="preserve">), indicating apparent K-J over-prediction at this extreme N-fraction; this reflects the open-form Q approximation (Q ≈ ΔHf/MW without product-side subtraction); the per-lead Table S10 values use the closed-form K-J, for which the residual stays negative across this regime.</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41tablecaption"/>
        <w:ind w:left="2608"/>
      </w:pPr>
      <w:r>
        <w:rPr>
          <w:b/>
          <w:bCs/>
        </w:rPr>
        <w:t xml:space="preserve">Table S13.</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main Table 2) confirms that residual K-J vs Uni-Mol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extended ablations</w:t>
      </w:r>
    </w:p>
    <w:p>
      <w:pPr>
        <w:pStyle w:val="MDPI18keywords"/>
        <w:ind w:left="2608"/>
      </w:pPr>
      <w:r>
        <w:t xml:space="preserve">This appendix collects implementation-specific names, version codes, hardware configurations, hyperparameter ablations, and supporting configuration detail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S5)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MDPI18keywords"/>
        <w:ind w:left="2608"/>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4.12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41tablecaption"/>
        <w:ind w:left="2608"/>
      </w:pPr>
      <w:r>
        <w:rPr>
          <w:b/>
          <w:bCs/>
        </w:rPr>
        <w:t xml:space="preserve">Table S14.</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Section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MDPI41tablecaption"/>
        <w:ind w:left="2608"/>
      </w:pPr>
      <w:r>
        <w:rPr>
          <w:b/>
          <w:bCs/>
        </w:rPr>
        <w:t xml:space="preserve">Table S15.</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41tablecaption"/>
        <w:ind w:left="2608"/>
      </w:pPr>
      <w:r>
        <w:rPr>
          <w:b/>
          <w:bCs/>
        </w:rPr>
        <w:t xml:space="preserve">Table S16.</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(main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trend: all four quantile errors fall monotonically as</w:t>
      </w:r>
      <w:r>
        <w:t xml:space="preserve"> </w:t>
      </w:r>
      <m:oMath>
        <m:r>
          <m:t>w</m:t>
        </m:r>
      </m:oMath>
      <w:r>
        <w:t xml:space="preserve"> </w:t>
      </w:r>
      <w:r>
        <w:t xml:space="preserve">increases from 2 to 7; the density and detonation-velocity errors decline steadily, while the HOF and detonation-pressure errors are front-loaded (most of the gain is realised by</w:t>
      </w:r>
      <w:r>
        <w:t xml:space="preserve"> </w:t>
      </w:r>
      <m:oMath>
        <m:r>
          <m:t>w</m:t>
        </m:r>
        <m:r>
          <m:rPr>
            <m:sty m:val="p"/>
          </m:rPr>
          <m:t>=</m:t>
        </m:r>
        <m:r>
          <m:t>5</m:t>
        </m:r>
      </m:oMath>
      <w:r>
        <w:t xml:space="preserve">, with only a marginal further improvement at</w:t>
      </w:r>
      <w:r>
        <w:t xml:space="preserve"> </w:t>
      </w:r>
      <m:oMath>
        <m:r>
          <m:t>w</m:t>
        </m:r>
        <m:r>
          <m:rPr>
            <m:sty m:val="p"/>
          </m:rPr>
          <m:t>=</m:t>
        </m:r>
        <m:r>
          <m:t>7</m:t>
        </m:r>
      </m:oMath>
      <w:r>
        <w:t xml:space="preserve">). Candidate survival, not quantile error, is what caps the production setting at</w:t>
      </w:r>
      <w:r>
        <w:t xml:space="preserve"> </w:t>
      </w:r>
      <m:oMath>
        <m:r>
          <m:t>w</m:t>
        </m:r>
        <m:r>
          <m:rPr>
            <m:sty m:val="p"/>
          </m:rPr>
          <m:t>=</m:t>
        </m:r>
        <m:r>
          <m:t>7</m:t>
        </m:r>
      </m:oMath>
      <w:r>
        <w:t xml:space="preserve"> </w:t>
      </w:r>
      <w:r>
        <w:t xml:space="preserve">(Section 4.15, Figure 23).</w:t>
      </w:r>
    </w:p>
    <w:p>
      <w:pPr>
        <w:pStyle w:val="MDPI41tablecaption"/>
        <w:ind w:left="2608"/>
      </w:pPr>
      <w:r>
        <w:rPr>
          <w:b/>
          <w:bCs/>
        </w:rPr>
        <w:t xml:space="preserve">Table S17.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33"/>
        <w:gridCol w:w="1684"/>
        <w:gridCol w:w="1246"/>
        <w:gridCol w:w="1246"/>
        <w:gridCol w:w="1249"/>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w=2.0 rel-err%</w:t>
            </w:r>
          </w:p>
        </w:tc>
        <w:tc>
          <w:tcPr>
            <w:tcBorders>
              <w:bottom w:val="single" w:sz="8" w:space="0" w:color="auto"/>
            </w:tcBorders>
            <w:vAlign w:val="center"/>
          </w:tcPr>
          <w:p>
            <w:pPr>
              <w:pStyle w:val="Compact"/>
              <w:suppressAutoHyphens/>
              <w:jc w:val="center"/>
            </w:pPr>
            <w:r>
              <w:rPr>
                <w:b/>
                <w:sz w:val="18"/>
                <w:szCs w:val="18"/>
              </w:rPr>
              <w:t xml:space="preserve">w=5.0 rel-err%</w:t>
            </w:r>
          </w:p>
        </w:tc>
        <w:tc>
          <w:tcPr>
            <w:tcBorders>
              <w:bottom w:val="single" w:sz="8" w:space="0" w:color="auto"/>
            </w:tcBorders>
            <w:vAlign w:val="center"/>
          </w:tcPr>
          <w:p>
            <w:pPr>
              <w:pStyle w:val="Compact"/>
              <w:suppressAutoHyphens/>
              <w:jc w:val="center"/>
            </w:pPr>
            <w:r>
              <w:rPr>
                <w:b/>
                <w:sz w:val="18"/>
                <w:szCs w:val="18"/>
              </w:rPr>
              <w:t xml:space="preserve">w=7.0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NTO) and five known gaming molecules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gaming molecules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gaming molecules</w:t>
      </w:r>
      <w:r>
        <w:t xml:space="preserve"> </w:t>
      </w:r>
      <m:oMath>
        <m:r>
          <m:rPr>
            <m:sty m:val="p"/>
          </m:rPr>
          <m:t>∈</m:t>
        </m:r>
      </m:oMath>
      <w:r>
        <w:t xml:space="preserve"> </w:t>
      </w:r>
      <w:r>
        <w:t xml:space="preserve">[0.12, 0.84]. Both discriminate, but the budget-918 checkpoint demoted the worst-offender gaming molecule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MDPI41tablecaption"/>
        <w:ind w:left="2608"/>
      </w:pPr>
      <w:r>
        <w:rPr>
          <w:b/>
          <w:bCs/>
        </w:rPr>
        <w:t xml:space="preserve">Table S18.</w:t>
      </w:r>
      <w:r>
        <w:t xml:space="preserve"> </w:t>
      </w:r>
      <w:r>
        <w:t xml:space="preserve">MOSES-style distribution-learning metrics on each of the four guidance conditions of Supplementary Section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full 10k pool (acyclic molecules, the majority of the pool, share a single empty scaffold); pass rate against the PAINS (pan-assay interference compounds)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1265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729</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755</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1621</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S19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S18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across seeds.</w:t>
      </w:r>
    </w:p>
    <w:p>
      <w:pPr>
        <w:pStyle w:val="MDPI41tablecaption"/>
        <w:ind w:left="2608"/>
      </w:pPr>
      <w:r>
        <w:rPr>
          <w:b/>
          <w:bCs/>
        </w:rPr>
        <w:t xml:space="preserve">Table S19.</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S18):</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S18 and Table S19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(729 to 1621 over the full 10k pool). Hazard-only (C3) produces the most scaffold diversity (1621), unguided (C0) is intermediate (1265), and the multi-head conditions are the most focused (viab+sens C1 at 729, viab+sens+hazard C2 at 755).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41tablecaption"/>
        <w:ind w:left="2608"/>
      </w:pPr>
      <w:r>
        <w:rPr>
          <w:b/>
          <w:bCs/>
        </w:rPr>
        <w:t xml:space="preserve">Table S20.</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(main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p>
      <w:pPr>
        <w:pStyle w:val="MDPI23heading3"/>
        <w:ind w:left="2608"/>
      </w:pPr>
      <w:r>
        <w:t xml:space="preserve">D.12 Hazard-head post-hoc filtering</w:t>
      </w:r>
    </w:p>
    <w:p>
      <w:pPr>
        <w:pStyle w:val="MDPI18keywords"/>
        <w:ind w:left="2608"/>
      </w:pPr>
      <w:r>
        <w:t xml:space="preserve">Applying Section 4.10 hazard-head-as-rerank-weight to the merged top-100, scored against the chemist-curated SMARTS catalog, gives the following alignment:</w:t>
      </w:r>
    </w:p>
    <w:p>
      <w:pPr>
        <w:pStyle w:val="MDPI41tablecaption"/>
        <w:ind w:left="2608"/>
      </w:pPr>
      <w:r>
        <w:rPr>
          <w:b/>
          <w:bCs/>
        </w:rPr>
        <w:t xml:space="preserve">Table S21.</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 not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we quantify generalisation separately by 5-fold cross-validation across all 196 hazard-dataset rows, which gives</w:t>
      </w:r>
      <w:r>
        <w:t xml:space="preserve"> </w:t>
      </w:r>
      <w:r>
        <w:rPr>
          <w:b/>
          <w:bCs/>
        </w:rPr>
        <w:t xml:space="preserve">mean held-out AUROC = 0.91 ± 0.05</w:t>
      </w:r>
      <w: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 not cover but which are similar in latent space to known hazardous chemistry) and false positives (over-conservative latent-neighborhood matches: e.g., the published PubChem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 not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template-coverage discussion for L4, L5, and the eight extension leads, and the drug-domain template-bias argument. The headline is reported in Section 2.4 (1/11 USPTO-template hit rate; L1 reachable in 4 steps with state score 0.50; eight-lead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6">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Template coverage for L4, L5, and the eight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result is stable to search budget: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S22 and S23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41tablecaption"/>
        <w:ind w:left="2608"/>
      </w:pPr>
      <w:r>
        <w:rPr>
          <w:b/>
          <w:bCs/>
        </w:rPr>
        <w:t xml:space="preserve">Table S22.</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41tablecaption"/>
        <w:ind w:left="2608"/>
      </w:pPr>
      <w:r>
        <w:rPr>
          <w:b/>
          <w:bCs/>
        </w:rPr>
        <w:t xml:space="preserve">Table S23.</w:t>
      </w:r>
      <w:r>
        <w:t xml:space="preserve"> </w:t>
      </w:r>
      <w:r>
        <w:t xml:space="preserve">Ten most-novel CHNO-neutral candidates from the SMILES-LSTM pool. Columns as Table S22.</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probe of 7 anchors and 5 gaming molecules (RDX, HMX, TNT, FOX-7, PETN, TATB, NTO plus five known gaming molecules: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gaming molecule (gem-tetranitro) by an additional 0.10 absolute, giving the head reliable steer-off behaviour on the polynitro/polyazene gaming molecules the sampler would otherwise propose. Full round-1-vs-round-2 numerics in Supplementary Section D.9; the SC-gradient sweep and the heuristic-vs-literature sensitivity-head ablation (Supplementary Section B.2) are in Supplementary Section D.6.</w:t>
      </w:r>
    </w:p>
    <w:p>
      <w:pPr>
        <w:pStyle w:val="MDPI41tablecaption"/>
        <w:ind w:left="2608"/>
      </w:pPr>
      <w:r>
        <w:rPr>
          <w:b/>
          <w:bCs/>
        </w:rPr>
        <w:t xml:space="preserve">Table S24.</w:t>
      </w:r>
      <w:r>
        <w:t xml:space="preserve"> </w:t>
      </w:r>
      <w:r>
        <w:t xml:space="preserve">Hard-negative budget effect on the held-out probe of 7 anchors and 5 gaming molecules (numbers from Supplementary Section D.9). Anchor min and gaming-molecule max are the per-set extrema of the viability-head output; the worst-offender column tracks the gem-tetranitro gaming molecule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65"/>
        <w:gridCol w:w="1292"/>
        <w:gridCol w:w="1928"/>
        <w:gridCol w:w="2673"/>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Gaming-molecule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S25)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Stage-1+2 keep-rate,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Stage-1+2 keep-rate reversal confirms that the diffusion prior's contribution is not in generating chemically plausible molecules (a Gaussian prior does that easily) but in concentrating the distribution on the high-performance tail.</w:t>
      </w:r>
    </w:p>
    <w:p>
      <w:pPr>
        <w:pStyle w:val="MDPI41tablecaption"/>
        <w:ind w:left="2608"/>
      </w:pPr>
      <w:r>
        <w:rPr>
          <w:b/>
          <w:bCs/>
        </w:rPr>
        <w:t xml:space="preserve">Table S25.</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69"/>
        <w:gridCol w:w="552"/>
        <w:gridCol w:w="898"/>
        <w:gridCol w:w="1053"/>
        <w:gridCol w:w="1791"/>
        <w:gridCol w:w="2395"/>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full-filter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essentially unchanged (9.44–9.51 km s</w:t>
      </w:r>
      <w:r>
        <w:rPr>
          <w:vertAlign w:val="superscript"/>
        </w:rPr>
        <w:t xml:space="preserve">−1</w:t>
      </w:r>
      <w:r>
        <w:t xml:space="preserve">, pool 10k),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41tablecaption"/>
        <w:ind w:left="2608"/>
      </w:pPr>
      <w:r>
        <w:rPr>
          <w:b/>
          <w:bCs/>
        </w:rPr>
        <w:t xml:space="preserve">Table S26.</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pool 40k);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so E1 is reproduced by two independent sampling routes.</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MDPI18keywords"/>
        <w:ind w:left="2608"/>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41tablecaption"/>
        <w:ind w:left="2608"/>
      </w:pPr>
      <w:r>
        <w:rPr>
          <w:b/>
          <w:bCs/>
        </w:rPr>
        <w:t xml:space="preserve">Table S27.</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 Supplementary Section D.6.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p>
      <w:pPr>
        <w:pStyle w:val="MDPI23heading3"/>
        <w:ind w:left="2608"/>
      </w:pPr>
      <w:r>
        <w:t xml:space="preserve">F.5 M7 five-lane 100k-pool run</w:t>
      </w:r>
    </w:p>
    <w:p>
      <w:pPr>
        <w:pStyle w:val="MDPI18keywords"/>
        <w:ind w:left="2608"/>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MDPI41tablecaption"/>
        <w:ind w:left="2608"/>
      </w:pPr>
      <w:r>
        <w:rPr>
          <w:b/>
          <w:bCs/>
        </w:rPr>
        <w:t xml:space="preserve">Table S28.</w:t>
      </w:r>
      <w:r>
        <w:t xml:space="preserve"> </w:t>
      </w:r>
      <w:r>
        <w:t xml:space="preserve">M7 five-lane 100k pool-fusion results vs the Supplementary Section F.3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43"/>
        <w:gridCol w:w="718"/>
        <w:gridCol w:w="748"/>
        <w:gridCol w:w="669"/>
        <w:gridCol w:w="706"/>
        <w:gridCol w:w="681"/>
        <w:gridCol w:w="776"/>
        <w:gridCol w:w="984"/>
        <w:gridCol w:w="733"/>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(Supplementary Section F.3)</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full-filter yield (4.6 % vs 2.4 %, 1.92×) and nearly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4.7, Section 4.9) masks the performance head from Tier-C/D rows during training, preventing low-confidence empirical-formula and Uni-Mol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41tablecaption"/>
        <w:ind w:left="2608"/>
      </w:pPr>
      <w:r>
        <w:rPr>
          <w:b/>
          <w:bCs/>
        </w:rPr>
        <w:t xml:space="preserve">Table S29.</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1"/>
        <w:gridCol w:w="726"/>
        <w:gridCol w:w="1094"/>
        <w:gridCol w:w="700"/>
        <w:gridCol w:w="691"/>
        <w:gridCol w:w="2322"/>
        <w:gridCol w:w="774"/>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4.7)</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see Supplementary Section F.3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the 4.6 % Stage-1+2 keep-rate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