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The unguided sampler also independently recovered E1 (4-nitro-1,2,3,5-oxatriazole), a known oxatriazole (PubChem CID 57438703) that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E1 (a known 1,2,3,5-oxatriazole, PubChem CID 57438703;</w:t>
      </w:r>
      <w:r>
        <w:t xml:space="preserve"> </w:t>
      </w:r>
      <m:oMath>
        <m:sSub>
          <m:e>
            <m:r>
              <m:t>D</m:t>
            </m:r>
          </m:e>
          <m:sub>
            <m:r>
              <m:rPr>
                <m:nor/>
                <m:sty m:val="p"/>
              </m:rPr>
              <m:t>K-J,cal</m:t>
            </m:r>
          </m:sub>
        </m:sSub>
        <m:r>
          <m:rPr>
            <m:sty m:val="p"/>
          </m:rPr>
          <m:t>=</m:t>
        </m:r>
        <m:r>
          <m:t>9.00</m:t>
        </m:r>
      </m:oMath>
      <w:r>
        <w:t xml:space="preserve"> km/s) is a structure the sampler independently recovered from a chemically distinct family, pending addition of an oxatriazole-class DFT anchor (§6); the extension set spans eight Bemis–Murcko scaffolds across seven chemotype families, of which E1, E6, and E9 are known compounds.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 L3–L5)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 Novelty here is assessed against PubChem and the labelled master; a full CAS Registry (SciFinder) check is recommended before a formal novelty claim, and the structurally simplest leads (L5, L19) warrant a targeted patent search.</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gate had admitted as a lead; we reclassify it as reference R2 (Table C.1c) and exclude it, leaving 11 chem-pass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is the top-ranked novel lead, and the sampler's independent recovery of the known oxatriazole E1 shows its reach spans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(§6). L1 and E1 are two leads from two distinct scaffold families produced on a single sampling run, so the productive-quadrant coverage spans multiple chemotypes.</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2026-08-01T01:19:00Z</dcterms:created>
  <dcterms:modified xsi:type="dcterms:W3CDTF">2026-08-01T01:19:00Z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