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past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of the baselines, only SELFIES-GA's best-novel candidate was carried to DFT (where it collapsed 9.73 to 6.28 km/s); DGLD is the only method to reach the productive quadrant (simultaneously novel and on-target) under first-principles validation.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of the methods carried to first-principles validation, DGLD is the only one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(Uni-Mol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(§3.1).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Uni-Mol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Uni-Mol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100"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exponential-moving-average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The combination is a post-decode union of the two lanes' SMILES pools, with no weight interpolation or output averaging.</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Uni-Mol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after Stage 1+2 (966 full-filter survivors,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Start w:id="99" w:name="baseline-generators"/>
    <w:p>
      <w:pPr>
        <w:pStyle w:val="Heading3"/>
        <w:keepNext/>
        <w:keepLines/>
        <w:widowControl w:val="1"/>
      </w:pPr>
      <w:r>
        <w:t xml:space="preserve">4.13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Uni-Mol surrogate; only the SELFIES-GA best-novel candidate is carried to DFT. The reranker composite is generator-internal for SELFIES-GA, an N-fraction proxy for REINVENT 4, and uncalibrated for MolMIM, so composite values are compared within, not across, methods.</w:t>
      </w:r>
    </w:p>
    <w:bookmarkEnd w:id="99"/>
    <w:bookmarkEnd w:id="100"/>
    <w:bookmarkStart w:id="137" w:name="sec-exp"/>
    <w:p>
      <w:pPr>
        <w:pStyle w:val="Heading2"/>
        <w:keepNext/>
        <w:keepLines/>
        <w:widowControl w:val="1"/>
      </w:pPr>
      <w:r>
        <w:t xml:space="preserve">5. Experiments</w:t>
      </w:r>
    </w:p>
    <w:bookmarkStart w:id="101"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1"/>
    <w:bookmarkStart w:id="109"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5" w:name="fig-lead-cards-grid"/>
    <w:p>
      <w:pPr>
        <w:pStyle w:val="BodyText"/>
        <w:jc w:val="center"/>
        <w:keepNext/>
        <w:keepLines/>
        <w:widowControl w:val="1"/>
      </w:pPr>
      <w:r>
        <w:drawing>
          <wp:inline>
            <wp:extent cx="5943600" cy="5063204"/>
            <wp:effectExtent b="0" l="0" r="0" t="0"/>
            <wp:docPr descr="Twelve DGLD lead cards in a 3-by-4 grid" title="" id="103" name="Picture"/>
            <a:graphic>
              <a:graphicData uri="http://schemas.openxmlformats.org/drawingml/2006/picture">
                <pic:pic>
                  <pic:nvPicPr>
                    <pic:cNvPr descr="figs/fig_lead_cards_grid.png" id="104" name="Picture"/>
                    <pic:cNvPicPr>
                      <a:picLocks noChangeArrowheads="1" noChangeAspect="1"/>
                    </pic:cNvPicPr>
                  </pic:nvPicPr>
                  <pic:blipFill>
                    <a:blip r:embed="rId102"/>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5"/>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7" name="Picture"/>
            <a:graphic>
              <a:graphicData uri="http://schemas.openxmlformats.org/drawingml/2006/picture">
                <pic:pic>
                  <pic:nvPicPr>
                    <pic:cNvPr descr="figs/fig6_pareto_v2.png" id="108" name="Picture"/>
                    <pic:cNvPicPr>
                      <a:picLocks noChangeArrowheads="1" noChangeAspect="1"/>
                    </pic:cNvPicPr>
                  </pic:nvPicPr>
                  <pic:blipFill>
                    <a:blip r:embed="rId106"/>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9"/>
    <w:bookmarkStart w:id="114"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candidates that do not advance to Stage 4 are accounted for in Appendix C.5 (45 removed at the Stage-2 hard filters; 28 fail K-J/imaginary-frequency/composition gates).</w:t>
      </w:r>
    </w:p>
    <w:p>
      <w:pPr>
        <w:pStyle w:val="BodyText"/>
        <w:jc w:val="both"/>
        <w:keepNext w:val="0"/>
        <w:keepLines w:val="0"/>
        <w:widowControl w:val="1"/>
      </w:pPr>
      <w:r>
        <w:rPr>
          <w:b/>
          <w:bCs/>
        </w:rPr>
        <w:t xml:space="preserve">6-anchor calibration (Table 2).</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Uni-Mol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3" w:name="fig-dft-dumbbell"/>
    <w:p>
      <w:pPr>
        <w:pStyle w:val="BodyText"/>
        <w:jc w:val="center"/>
        <w:keepNext/>
        <w:keepLines/>
        <w:widowControl w:val="1"/>
      </w:pPr>
      <w:r>
        <w:drawing>
          <wp:inline>
            <wp:extent cx="5943600" cy="2667190"/>
            <wp:effectExtent b="0" l="0" r="0" t="0"/>
            <wp:docPr descr="DFT dumbbell + N-fraction residual scatter" title="" id="111" name="Picture"/>
            <a:graphic>
              <a:graphicData uri="http://schemas.openxmlformats.org/drawingml/2006/picture">
                <pic:pic>
                  <pic:nvPicPr>
                    <pic:cNvPr descr="figs/fig_dft_dumbbell.png" id="112" name="Picture"/>
                    <pic:cNvPicPr>
                      <a:picLocks noChangeArrowheads="1" noChangeAspect="1"/>
                    </pic:cNvPicPr>
                  </pic:nvPicPr>
                  <pic:blipFill>
                    <a:blip r:embed="rId110"/>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Uni-Mol-predicted  (blue) to anchor-calibrated DFT–K-J  (orange) for each DFT-converged lead; dotted green line is the HMX-class 9.0 km/s threshold. Right: residual vs N-fraction with linear fit and Pearson  (575-row Tier-A pool, see Table C.4).</w:t>
      </w:r>
    </w:p>
    <w:bookmarkEnd w:id="113"/>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Uni-Mol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Uni-Mol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4"/>
    <w:bookmarkStart w:id="118"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5"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5"/>
    <w:bookmarkStart w:id="116"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6"/>
    <w:bookmarkStart w:id="117"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5 and 6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C.5.1).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 (Tables 6 and 7),</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7"/>
    <w:bookmarkEnd w:id="118"/>
    <w:bookmarkStart w:id="131"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2" w:name="fig-baseline-forest"/>
    <w:p>
      <w:pPr>
        <w:pStyle w:val="BodyText"/>
        <w:jc w:val="center"/>
        <w:keepNext/>
        <w:keepLines/>
        <w:widowControl w:val="1"/>
      </w:pPr>
      <w:r>
        <w:drawing>
          <wp:inline>
            <wp:extent cx="5943600" cy="3272694"/>
            <wp:effectExtent b="0" l="0" r="0" t="0"/>
            <wp:docPr descr="Forest plot of top-1 Pareto-reranker composite penalty" title="" id="120" name="Picture"/>
            <a:graphic>
              <a:graphicData uri="http://schemas.openxmlformats.org/drawingml/2006/picture">
                <pic:pic>
                  <pic:nvPicPr>
                    <pic:cNvPr descr="figs/fig_baseline_forest.png" id="121" name="Picture"/>
                    <pic:cNvPicPr>
                      <a:picLocks noChangeArrowheads="1" noChangeAspect="1"/>
                    </pic:cNvPicPr>
                  </pic:nvPicPr>
                  <pic:blipFill>
                    <a:blip r:embed="rId119"/>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2"/>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6"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4" name="Picture"/>
            <a:graphic>
              <a:graphicData uri="http://schemas.openxmlformats.org/drawingml/2006/picture">
                <pic:pic>
                  <pic:nvPicPr>
                    <pic:cNvPr descr="figs/fig_quadrant_scatter.png" id="125" name="Picture"/>
                    <pic:cNvPicPr>
                      <a:picLocks noChangeArrowheads="1" noChangeAspect="1"/>
                    </pic:cNvPicPr>
                  </pic:nvPicPr>
                  <pic:blipFill>
                    <a:blip r:embed="rId123"/>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 cards (11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C.1b; baselines from Table F.4.</w:t>
      </w:r>
    </w:p>
    <w:bookmarkEnd w:id="126"/>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30" w:name="fig-moses-panels"/>
    <w:p>
      <w:pPr>
        <w:pStyle w:val="BodyText"/>
        <w:jc w:val="center"/>
        <w:keepNext/>
        <w:keepLines/>
        <w:widowControl w:val="1"/>
      </w:pPr>
      <w:r>
        <w:drawing>
          <wp:inline>
            <wp:extent cx="5943600" cy="3335845"/>
            <wp:effectExtent b="0" l="0" r="0" t="0"/>
            <wp:docPr descr="MOSES-style distribution-learning small multiples" title="" id="128" name="Picture"/>
            <a:graphic>
              <a:graphicData uri="http://schemas.openxmlformats.org/drawingml/2006/picture">
                <pic:pic>
                  <pic:nvPicPr>
                    <pic:cNvPr descr="figs/fig_moses_small_multiples.png" id="129" name="Picture"/>
                    <pic:cNvPicPr>
                      <a:picLocks noChangeArrowheads="1" noChangeAspect="1"/>
                    </pic:cNvPicPr>
                  </pic:nvPicPr>
                  <pic:blipFill>
                    <a:blip r:embed="rId127"/>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30"/>
    <w:bookmarkEnd w:id="131"/>
    <w:bookmarkStart w:id="136"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5"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3" name="Picture"/>
            <a:graphic>
              <a:graphicData uri="http://schemas.openxmlformats.org/drawingml/2006/picture">
                <pic:pic>
                  <pic:nvPicPr>
                    <pic:cNvPr descr="figs/fig_forest_ablation.png" id="134" name="Picture"/>
                    <pic:cNvPicPr>
                      <a:picLocks noChangeArrowheads="1" noChangeAspect="1"/>
                    </pic:cNvPicPr>
                  </pic:nvPicPr>
                  <pic:blipFill>
                    <a:blip r:embed="rId132"/>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5"/>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6"/>
    <w:bookmarkEnd w:id="137"/>
    <w:bookmarkStart w:id="138"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Uni-Mol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8"/>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km/s under DFT audit; REINVENT 4 generates novel high-N heterocycles but peaks at</w:t>
      </w:r>
      <w:r>
        <w:t xml:space="preserve"> </w:t>
      </w:r>
      <m:oMath>
        <m:r>
          <m:t>D</m:t>
        </m:r>
        <m:r>
          <m:rPr>
            <m:sty m:val="p"/>
          </m:rPr>
          <m:t>=</m:t>
        </m:r>
        <m:r>
          <m:t>9.02</m:t>
        </m:r>
      </m:oMath>
      <w:r>
        <w:t xml:space="preserve"> km/s.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(§6). Two leads from two distinct scaffold families on a single sampling run argues against the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Uni-Mol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zhou2023unimol"/>
      <w:r>
        <w:t xml:space="preserve">Zhou, G. et al. (2023). Uni-Mol: A Universal 3D Molecular Representation Learning Framework.</w:t>
      </w:r>
      <w:r>
        <w:t xml:space="preserve"> </w:t>
      </w:r>
      <w:r>
        <w:rPr>
          <w:i/>
          <w:iCs/>
        </w:rPr>
        <w:t xml:space="preserve">ICLR 2023</w:t>
      </w:r>
      <w:r>
        <w:t xml:space="preserve">.</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ho2022cfg"/>
      <w:r>
        <w:t xml:space="preserve">Ho, J., &amp; Salimans, T. (2022). Classifier-Free Diffusion Guidance. arXiv:2207.12598.</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reidenbach2023molmim"/>
      <w:r>
        <w:t xml:space="preserve">Reidenbach, D., Livne, M., Ilango, R. K., Gill, M., &amp; Israeli, J. (2023). MolMIM: A Molecular Language Model for Property-Guided Molecule Generation via Mutual Information Machines. (MLDD Workshop, ICLR 2023; arXiv:2208.09016).</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jaegle2021perceiver"/>
      <w:r>
        <w:t xml:space="preserve">Jaegle, A. et al. (2021). Perceiver: General Perception with Iterative Attention.</w:t>
      </w:r>
      <w:r>
        <w:t xml:space="preserve"> </w:t>
      </w:r>
      <w:r>
        <w:rPr>
          <w:i/>
          <w:iCs/>
        </w:rPr>
        <w:t xml:space="preserve">ICML 2021</w:t>
      </w:r>
      <w:r>
        <w:t xml:space="preserve">. arXiv:2103.03206.</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vignac2023digress"/>
      <w:r>
        <w:t xml:space="preserve">Vignac, C. et al. (2023). DiGress: Discrete Denoising Diffusion for Graph Generation.</w:t>
      </w:r>
      <w:r>
        <w:t xml:space="preserve"> </w:t>
      </w:r>
      <w:r>
        <w:rPr>
          <w:i/>
          <w:iCs/>
        </w:rPr>
        <w:t xml:space="preserve">ICLR 2023</w:t>
      </w:r>
      <w:r>
        <w:t xml:space="preserve">. arXiv:2209.14734.</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o2020ddpm"/>
      <w:r>
        <w:t xml:space="preserve">Ho, J., Jain, A., &amp; Abbeel, P. (2020). Denoising Diffusion Probabilistic Models.</w:t>
      </w:r>
      <w:r>
        <w:t xml:space="preserve"> </w:t>
      </w:r>
      <w:r>
        <w:rPr>
          <w:i/>
          <w:iCs/>
        </w:rPr>
        <w:t xml:space="preserve">NeurIPS 2020</w:t>
      </w:r>
      <w:r>
        <w:t xml:space="preserve">. arXiv:2006.11239.</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4"/>
    </w:p>
    <w:p>
      <w:pPr>
        <w:pStyle w:val="ReferenceEntry"/>
        <w:spacing w:after="100"/>
        <w:ind w:left="475" w:hanging="475"/>
        <w:jc w:val="left"/>
        <w:keepNext w:val="0"/>
        <w:keepLines w:val="0"/>
        <w:widowControl w:val="1"/>
      </w:pPr>
      <w:r>
        <w:rPr>
          <w:rFonts w:ascii="Times New Roman" w:hAnsi="Times New Roman"/>
          <w:sz w:val="20"/>
        </w:rPr>
        <w:t xml:space="preserve">35. </w:t>
      </w:r>
      <w:bookmarkStart w:id="175"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5"/>
    </w:p>
    <w:p>
      <w:pPr>
        <w:pStyle w:val="ReferenceEntry"/>
        <w:spacing w:after="100"/>
        <w:ind w:left="475" w:hanging="475"/>
        <w:jc w:val="left"/>
        <w:keepNext w:val="0"/>
        <w:keepLines w:val="0"/>
        <w:widowControl w:val="1"/>
      </w:pPr>
      <w:r>
        <w:rPr>
          <w:rFonts w:ascii="Times New Roman" w:hAnsi="Times New Roman"/>
          <w:sz w:val="20"/>
        </w:rPr>
        <w:t xml:space="preserve">36. </w:t>
      </w:r>
      <w:bookmarkStart w:id="176"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6"/>
    </w:p>
    <w:p>
      <w:pPr>
        <w:pStyle w:val="ReferenceEntry"/>
        <w:spacing w:after="100"/>
        <w:ind w:left="475" w:hanging="475"/>
        <w:jc w:val="left"/>
        <w:keepNext w:val="0"/>
        <w:keepLines w:val="0"/>
        <w:widowControl w:val="1"/>
      </w:pPr>
      <w:r>
        <w:rPr>
          <w:rFonts w:ascii="Times New Roman" w:hAnsi="Times New Roman"/>
          <w:sz w:val="20"/>
        </w:rPr>
        <w:t xml:space="preserve">37. </w:t>
      </w:r>
      <w:bookmarkStart w:id="177"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38. </w:t>
      </w:r>
      <w:bookmarkStart w:id="178"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8"/>
    </w:p>
    <w:p>
      <w:pPr>
        <w:pStyle w:val="ReferenceEntry"/>
        <w:spacing w:after="100"/>
        <w:ind w:left="475" w:hanging="475"/>
        <w:jc w:val="left"/>
        <w:keepNext w:val="0"/>
        <w:keepLines w:val="0"/>
        <w:widowControl w:val="1"/>
      </w:pPr>
      <w:r>
        <w:rPr>
          <w:rFonts w:ascii="Times New Roman" w:hAnsi="Times New Roman"/>
          <w:sz w:val="20"/>
        </w:rPr>
        <w:t xml:space="preserve">39. </w:t>
      </w:r>
      <w:bookmarkStart w:id="17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9"/>
    </w:p>
    <w:p>
      <w:pPr>
        <w:pStyle w:val="ReferenceEntry"/>
        <w:spacing w:after="100"/>
        <w:ind w:left="475" w:hanging="475"/>
        <w:jc w:val="left"/>
        <w:keepNext w:val="0"/>
        <w:keepLines w:val="0"/>
        <w:widowControl w:val="1"/>
      </w:pPr>
      <w:r>
        <w:rPr>
          <w:rFonts w:ascii="Times New Roman" w:hAnsi="Times New Roman"/>
          <w:sz w:val="20"/>
        </w:rPr>
        <w:t xml:space="preserve">40. </w:t>
      </w:r>
      <w:bookmarkStart w:id="18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80"/>
    </w:p>
    <w:p>
      <w:pPr>
        <w:pStyle w:val="ReferenceEntry"/>
        <w:spacing w:after="100"/>
        <w:ind w:left="475" w:hanging="475"/>
        <w:jc w:val="left"/>
        <w:keepNext w:val="0"/>
        <w:keepLines w:val="0"/>
        <w:widowControl w:val="1"/>
      </w:pPr>
      <w:r>
        <w:rPr>
          <w:rFonts w:ascii="Times New Roman" w:hAnsi="Times New Roman"/>
          <w:sz w:val="20"/>
        </w:rPr>
        <w:t xml:space="preserve">41. </w:t>
      </w:r>
      <w:bookmarkStart w:id="181"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1"/>
    </w:p>
    <w:p>
      <w:pPr>
        <w:pStyle w:val="ReferenceEntry"/>
        <w:spacing w:after="100"/>
        <w:ind w:left="475" w:hanging="475"/>
        <w:jc w:val="left"/>
        <w:keepNext w:val="0"/>
        <w:keepLines w:val="0"/>
        <w:widowControl w:val="1"/>
      </w:pPr>
      <w:r>
        <w:rPr>
          <w:rFonts w:ascii="Times New Roman" w:hAnsi="Times New Roman"/>
          <w:sz w:val="20"/>
        </w:rPr>
        <w:t xml:space="preserve">42. </w:t>
      </w:r>
      <w:bookmarkStart w:id="182"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2"/>
    </w:p>
    <w:p>
      <w:pPr>
        <w:pStyle w:val="ReferenceEntry"/>
        <w:spacing w:after="100"/>
        <w:ind w:left="475" w:hanging="475"/>
        <w:jc w:val="left"/>
        <w:keepNext w:val="0"/>
        <w:keepLines w:val="0"/>
        <w:widowControl w:val="1"/>
      </w:pPr>
      <w:r>
        <w:rPr>
          <w:rFonts w:ascii="Times New Roman" w:hAnsi="Times New Roman"/>
          <w:sz w:val="20"/>
        </w:rPr>
        <w:t xml:space="preserve">43. </w:t>
      </w:r>
      <w:bookmarkStart w:id="183" w:name="ref-klapotke2017nitrogen"/>
      <w:r>
        <w:t xml:space="preserve">Klapötke, T. M.</w:t>
      </w:r>
      <w:r>
        <w:t xml:space="preserve"> </w:t>
      </w:r>
      <w:r>
        <w:rPr>
          <w:i/>
          <w:iCs/>
        </w:rPr>
        <w:t xml:space="preserve">Chemistry of High-Energy Materials</w:t>
      </w:r>
      <w:r>
        <w:t xml:space="preserve">, 5th ed. (de Gruyter, 2019). doi:10.1515/9783110624571.</w:t>
      </w:r>
      <w:bookmarkEnd w:id="183"/>
    </w:p>
    <w:p>
      <w:pPr>
        <w:pStyle w:val="ReferenceEntry"/>
        <w:spacing w:after="100"/>
        <w:ind w:left="475" w:hanging="475"/>
        <w:jc w:val="left"/>
        <w:keepNext w:val="0"/>
        <w:keepLines w:val="0"/>
        <w:widowControl w:val="1"/>
      </w:pPr>
      <w:r>
        <w:rPr>
          <w:rFonts w:ascii="Times New Roman" w:hAnsi="Times New Roman"/>
          <w:sz w:val="20"/>
        </w:rPr>
        <w:t xml:space="preserve">44. </w:t>
      </w:r>
      <w:bookmarkStart w:id="184"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4"/>
    </w:p>
    <w:p>
      <w:pPr>
        <w:pStyle w:val="ReferenceEntry"/>
        <w:spacing w:after="100"/>
        <w:ind w:left="475" w:hanging="475"/>
        <w:jc w:val="left"/>
        <w:keepNext w:val="0"/>
        <w:keepLines w:val="0"/>
        <w:widowControl w:val="1"/>
      </w:pPr>
      <w:r>
        <w:rPr>
          <w:rFonts w:ascii="Times New Roman" w:hAnsi="Times New Roman"/>
          <w:sz w:val="20"/>
        </w:rPr>
        <w:t xml:space="preserve">45. </w:t>
      </w:r>
      <w:bookmarkStart w:id="18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5"/>
    </w:p>
    <w:p>
      <w:pPr>
        <w:pStyle w:val="ReferenceEntry"/>
        <w:spacing w:after="100"/>
        <w:ind w:left="475" w:hanging="475"/>
        <w:jc w:val="left"/>
        <w:keepNext w:val="0"/>
        <w:keepLines w:val="0"/>
        <w:widowControl w:val="1"/>
      </w:pPr>
      <w:r>
        <w:rPr>
          <w:rFonts w:ascii="Times New Roman" w:hAnsi="Times New Roman"/>
          <w:sz w:val="20"/>
        </w:rPr>
        <w:t xml:space="preserve">46. </w:t>
      </w:r>
      <w:bookmarkStart w:id="186"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6"/>
    </w:p>
    <w:p>
      <w:pPr>
        <w:pStyle w:val="ReferenceEntry"/>
        <w:spacing w:after="100"/>
        <w:ind w:left="475" w:hanging="475"/>
        <w:jc w:val="left"/>
        <w:keepNext w:val="0"/>
        <w:keepLines w:val="0"/>
        <w:widowControl w:val="1"/>
      </w:pPr>
      <w:r>
        <w:rPr>
          <w:rFonts w:ascii="Times New Roman" w:hAnsi="Times New Roman"/>
          <w:sz w:val="20"/>
        </w:rPr>
        <w:t xml:space="preserve">47. </w:t>
      </w:r>
      <w:bookmarkStart w:id="187"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7"/>
    </w:p>
    <w:p>
      <w:pPr>
        <w:pStyle w:val="ReferenceEntry"/>
        <w:spacing w:after="100"/>
        <w:ind w:left="475" w:hanging="475"/>
        <w:jc w:val="left"/>
        <w:keepNext w:val="0"/>
        <w:keepLines w:val="0"/>
        <w:widowControl w:val="1"/>
      </w:pPr>
      <w:r>
        <w:rPr>
          <w:rFonts w:ascii="Times New Roman" w:hAnsi="Times New Roman"/>
          <w:sz w:val="20"/>
        </w:rPr>
        <w:t xml:space="preserve">48. </w:t>
      </w:r>
      <w:bookmarkStart w:id="188"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8"/>
    </w:p>
    <w:p>
      <w:pPr>
        <w:pStyle w:val="ReferenceEntry"/>
        <w:spacing w:after="100"/>
        <w:ind w:left="475" w:hanging="475"/>
        <w:jc w:val="left"/>
        <w:keepNext w:val="0"/>
        <w:keepLines w:val="0"/>
        <w:widowControl w:val="1"/>
      </w:pPr>
      <w:r>
        <w:rPr>
          <w:rFonts w:ascii="Times New Roman" w:hAnsi="Times New Roman"/>
          <w:sz w:val="20"/>
        </w:rPr>
        <w:t xml:space="preserve">49. </w:t>
      </w:r>
      <w:bookmarkStart w:id="189"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9"/>
    </w:p>
    <w:p>
      <w:pPr>
        <w:pStyle w:val="ReferenceEntry"/>
        <w:spacing w:after="100"/>
        <w:ind w:left="475" w:hanging="475"/>
        <w:jc w:val="left"/>
        <w:keepNext w:val="0"/>
        <w:keepLines w:val="0"/>
        <w:widowControl w:val="1"/>
      </w:pPr>
      <w:r>
        <w:rPr>
          <w:rFonts w:ascii="Times New Roman" w:hAnsi="Times New Roman"/>
          <w:sz w:val="20"/>
        </w:rPr>
        <w:t xml:space="preserve">50. </w:t>
      </w:r>
      <w:bookmarkStart w:id="190"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0"/>
    </w:p>
    <w:p>
      <w:pPr>
        <w:pStyle w:val="ReferenceEntry"/>
        <w:spacing w:after="100"/>
        <w:ind w:left="475" w:hanging="475"/>
        <w:jc w:val="left"/>
        <w:keepNext w:val="0"/>
        <w:keepLines w:val="0"/>
        <w:widowControl w:val="1"/>
      </w:pPr>
      <w:r>
        <w:rPr>
          <w:rFonts w:ascii="Times New Roman" w:hAnsi="Times New Roman"/>
          <w:sz w:val="20"/>
        </w:rPr>
        <w:t xml:space="preserve">51. </w:t>
      </w:r>
      <w:bookmarkStart w:id="191"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1"/>
    </w:p>
    <w:p>
      <w:pPr>
        <w:pStyle w:val="ReferenceEntry"/>
        <w:spacing w:after="100"/>
        <w:ind w:left="475" w:hanging="475"/>
        <w:jc w:val="left"/>
        <w:keepNext w:val="0"/>
        <w:keepLines w:val="0"/>
        <w:widowControl w:val="1"/>
      </w:pPr>
      <w:r>
        <w:rPr>
          <w:rFonts w:ascii="Times New Roman" w:hAnsi="Times New Roman"/>
          <w:sz w:val="20"/>
        </w:rPr>
        <w:t xml:space="preserve">52. </w:t>
      </w:r>
      <w:bookmarkStart w:id="192" w:name="ref-reymond2015gdb"/>
      <w:r>
        <w:t xml:space="preserve">Reymond, J.-L. (2015). The chemical space project.</w:t>
      </w:r>
      <w:r>
        <w:t xml:space="preserve"> </w:t>
      </w:r>
      <w:r>
        <w:rPr>
          <w:i/>
          <w:iCs/>
        </w:rPr>
        <w:t xml:space="preserve">Acc. Chem. Res. 48(3)</w:t>
      </w:r>
      <w:r>
        <w:t xml:space="preserve">:722–730.</w:t>
      </w:r>
      <w:bookmarkEnd w:id="192"/>
    </w:p>
    <w:p>
      <w:pPr>
        <w:pStyle w:val="ReferenceEntry"/>
        <w:spacing w:after="100"/>
        <w:ind w:left="475" w:hanging="475"/>
        <w:jc w:val="left"/>
        <w:keepNext w:val="0"/>
        <w:keepLines w:val="0"/>
        <w:widowControl w:val="1"/>
      </w:pPr>
      <w:r>
        <w:rPr>
          <w:rFonts w:ascii="Times New Roman" w:hAnsi="Times New Roman"/>
          <w:sz w:val="20"/>
        </w:rPr>
        <w:t xml:space="preserve">53. </w:t>
      </w:r>
      <w:bookmarkStart w:id="193"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3"/>
    </w:p>
    <w:p>
      <w:pPr>
        <w:pStyle w:val="ReferenceEntry"/>
        <w:spacing w:after="100"/>
        <w:ind w:left="475" w:hanging="475"/>
        <w:jc w:val="left"/>
        <w:keepNext w:val="0"/>
        <w:keepLines w:val="0"/>
        <w:widowControl w:val="1"/>
      </w:pPr>
      <w:r>
        <w:rPr>
          <w:rFonts w:ascii="Times New Roman" w:hAnsi="Times New Roman"/>
          <w:sz w:val="20"/>
        </w:rPr>
        <w:t xml:space="preserve">54. </w:t>
      </w:r>
      <w:bookmarkStart w:id="194"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4"/>
    </w:p>
    <w:p>
      <w:pPr>
        <w:pStyle w:val="ReferenceEntry"/>
        <w:spacing w:after="100"/>
        <w:ind w:left="475" w:hanging="475"/>
        <w:jc w:val="left"/>
        <w:keepNext w:val="0"/>
        <w:keepLines w:val="0"/>
        <w:widowControl w:val="1"/>
      </w:pPr>
      <w:r>
        <w:rPr>
          <w:rFonts w:ascii="Times New Roman" w:hAnsi="Times New Roman"/>
          <w:sz w:val="20"/>
        </w:rPr>
        <w:t xml:space="preserve">55. </w:t>
      </w:r>
      <w:bookmarkStart w:id="195" w:name="ref-rogers1960computer"/>
      <w:r>
        <w:t xml:space="preserve">Rogers, D. J., &amp; Tanimoto, T. T. (1960). A Computer Program for Classifying Plants.</w:t>
      </w:r>
      <w:r>
        <w:t xml:space="preserve"> </w:t>
      </w:r>
      <w:r>
        <w:rPr>
          <w:i/>
          <w:iCs/>
        </w:rPr>
        <w:t xml:space="preserve">Science 132(3434)</w:t>
      </w:r>
      <w:r>
        <w:t xml:space="preserve">:1115–1118.</w:t>
      </w:r>
      <w:bookmarkEnd w:id="195"/>
    </w:p>
    <w:p>
      <w:pPr>
        <w:pStyle w:val="ReferenceEntry"/>
        <w:spacing w:after="100"/>
        <w:ind w:left="475" w:hanging="475"/>
        <w:jc w:val="left"/>
        <w:keepNext w:val="0"/>
        <w:keepLines w:val="0"/>
        <w:widowControl w:val="1"/>
      </w:pPr>
      <w:r>
        <w:rPr>
          <w:rFonts w:ascii="Times New Roman" w:hAnsi="Times New Roman"/>
          <w:sz w:val="20"/>
        </w:rPr>
        <w:t xml:space="preserve">56. </w:t>
      </w:r>
      <w:bookmarkStart w:id="196"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6"/>
    </w:p>
    <w:p>
      <w:pPr>
        <w:pStyle w:val="ReferenceEntry"/>
        <w:spacing w:after="100"/>
        <w:ind w:left="475" w:hanging="475"/>
        <w:jc w:val="left"/>
        <w:keepNext w:val="0"/>
        <w:keepLines w:val="0"/>
        <w:widowControl w:val="1"/>
      </w:pPr>
      <w:r>
        <w:rPr>
          <w:rFonts w:ascii="Times New Roman" w:hAnsi="Times New Roman"/>
          <w:sz w:val="20"/>
        </w:rPr>
        <w:t xml:space="preserve">57. </w:t>
      </w:r>
      <w:bookmarkStart w:id="19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7"/>
    </w:p>
    <w:p>
      <w:pPr>
        <w:pStyle w:val="ReferenceEntry"/>
        <w:spacing w:after="100"/>
        <w:ind w:left="475" w:hanging="475"/>
        <w:jc w:val="left"/>
        <w:keepNext w:val="0"/>
        <w:keepLines w:val="0"/>
        <w:widowControl w:val="1"/>
      </w:pPr>
      <w:r>
        <w:rPr>
          <w:rFonts w:ascii="Times New Roman" w:hAnsi="Times New Roman"/>
          <w:sz w:val="20"/>
        </w:rPr>
        <w:t xml:space="preserve">58. </w:t>
      </w:r>
      <w:bookmarkStart w:id="198"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8"/>
    </w:p>
    <w:p>
      <w:pPr>
        <w:pStyle w:val="ReferenceEntry"/>
        <w:spacing w:after="100"/>
        <w:ind w:left="475" w:hanging="475"/>
        <w:jc w:val="left"/>
        <w:keepNext w:val="0"/>
        <w:keepLines w:val="0"/>
        <w:widowControl w:val="1"/>
      </w:pPr>
      <w:r>
        <w:rPr>
          <w:rFonts w:ascii="Times New Roman" w:hAnsi="Times New Roman"/>
          <w:sz w:val="20"/>
        </w:rPr>
        <w:t xml:space="preserve">59. </w:t>
      </w:r>
      <w:bookmarkStart w:id="199"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9"/>
    </w:p>
    <w:p>
      <w:pPr>
        <w:pStyle w:val="ReferenceEntry"/>
        <w:spacing w:after="100"/>
        <w:ind w:left="475" w:hanging="475"/>
        <w:jc w:val="left"/>
        <w:keepNext w:val="0"/>
        <w:keepLines w:val="0"/>
        <w:widowControl w:val="1"/>
      </w:pPr>
      <w:r>
        <w:rPr>
          <w:rFonts w:ascii="Times New Roman" w:hAnsi="Times New Roman"/>
          <w:sz w:val="20"/>
        </w:rPr>
        <w:t xml:space="preserve">60. </w:t>
      </w:r>
      <w:bookmarkStart w:id="201" w:name="ref-landrum2024rdkit"/>
      <w:r>
        <w:t xml:space="preserve">Landrum, G., &amp; contributors. RDKit: Open-source cheminformatics.</w:t>
      </w:r>
      <w:r>
        <w:t xml:space="preserve"> </w:t>
      </w:r>
      <w:hyperlink r:id="rId200">
        <w:r>
          <w:rPr>
            <w:rStyle w:val="Hyperlink"/>
          </w:rPr>
          <w:t xml:space="preserve">rdkit.org</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daylight-smarts"/>
      <w:r>
        <w:t xml:space="preserve">Daylight Chemical Information Systems. (2007). SMARTS: A Language for Describing Molecular Patterns. Daylight Theory Manual, Aliso Viejo, CA.</w:t>
      </w:r>
      <w:r>
        <w:t xml:space="preserve"> </w:t>
      </w:r>
      <w:hyperlink r:id="rId20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kim2023pubchem"/>
      <w:r>
        <w:t xml:space="preserve">Kim, S. et al. (2023). PubChem 2023 Update.</w:t>
      </w:r>
      <w:r>
        <w:t xml:space="preserve"> </w:t>
      </w:r>
      <w:r>
        <w:rPr>
          <w:i/>
          <w:iCs/>
        </w:rPr>
        <w:t xml:space="preserve">Nucleic Acids Res. 51(D1)</w:t>
      </w:r>
      <w:r>
        <w:t xml:space="preserve">:D1373–D1380.</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sterling2015zinc"/>
      <w:r>
        <w:t xml:space="preserve">Sterling, T., &amp; Irwin, J. J. (2015). ZINC 15: Ligand Discovery for Everyone.</w:t>
      </w:r>
      <w:r>
        <w:t xml:space="preserve"> </w:t>
      </w:r>
      <w:r>
        <w:rPr>
          <w:i/>
          <w:iCs/>
        </w:rPr>
        <w:t xml:space="preserve">J. Chem. Inf. Model. 55(11)</w:t>
      </w:r>
      <w:r>
        <w:t xml:space="preserve">:2324–2337.</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cameo"/>
      <w:r>
        <w:t xml:space="preserve">NIST CAMEO Chemicals: Database of Hazardous Materials and Reactivity.</w:t>
      </w:r>
      <w:r>
        <w:t xml:space="preserve"> </w:t>
      </w:r>
      <w:hyperlink r:id="rId210">
        <w:r>
          <w:rPr>
            <w:rStyle w:val="Hyperlink"/>
          </w:rPr>
          <w:t xml:space="preserve">cameochemicals.noaa.gov</w:t>
        </w:r>
      </w:hyperlink>
      <w:r>
        <w:t xml:space="preserve">.</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bondi1964vdw"/>
      <w:r>
        <w:t xml:space="preserve">Bondi, A. (1964). van der Waals Volumes and Radii.</w:t>
      </w:r>
      <w:r>
        <w:t xml:space="preserve"> </w:t>
      </w:r>
      <w:r>
        <w:rPr>
          <w:i/>
          <w:iCs/>
        </w:rPr>
        <w:t xml:space="preserve">J. Phys. Chem. 68(3)</w:t>
      </w:r>
      <w:r>
        <w:t xml:space="preserve">:441–451. doi:10.1021/j100785a001.</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6" Type="http://schemas.openxmlformats.org/officeDocument/2006/relationships/image" Target="media/rId106.png"/><Relationship Id="rId119" Type="http://schemas.openxmlformats.org/officeDocument/2006/relationships/image" Target="media/rId119.png"/><Relationship Id="rId110" Type="http://schemas.openxmlformats.org/officeDocument/2006/relationships/image" Target="media/rId110.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2" Type="http://schemas.openxmlformats.org/officeDocument/2006/relationships/image" Target="media/rId132.png"/><Relationship Id="rId102" Type="http://schemas.openxmlformats.org/officeDocument/2006/relationships/image" Target="media/rId102.png"/><Relationship Id="rId127" Type="http://schemas.openxmlformats.org/officeDocument/2006/relationships/image" Target="media/rId127.png"/><Relationship Id="rId123" Type="http://schemas.openxmlformats.org/officeDocument/2006/relationships/image" Target="media/rId123.png"/><Relationship Id="rId12" Type="http://schemas.openxmlformats.org/officeDocument/2006/relationships/image" Target="media/rId12.png"/><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2" Type="http://schemas.openxmlformats.org/officeDocument/2006/relationships/hyperlink" Target="https://www.daylight.com/dayhtml/doc/theory/theory.smarts.html" TargetMode="External"/><Relationship Id="rId200"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2026-07-31T21:20:15Z</dcterms:created>
  <dcterms:modified xsi:type="dcterms:W3CDTF">2026-07-31T21:20:15Z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