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Uni-Mol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B.1b, and B.1c (LIMO VAE; denoiser + score model; label sources + reranker, respectively).</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the Materials and Methods (§4).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the Materials and Methods (§4).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Uni-Mol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Uni-Mol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(§5.3)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Uni-Mol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Uni-Mol</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Uni-Mol surrogate prediction. The raw-DFT K-J values are listed in the third column for transparency. Residual is K-J_{\text{cal}} minus Uni-Mol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Uni-Mol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Uni-Mol)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Uni-Mol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Uni-Mol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(Uni-Mol</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Uni-Mol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Uni-Mol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Appendix D.9; the SC-gradient sweep and the heuristic-vs-literature sensitivity-head ablation (Appendix B.2) are in Appendix D.6.</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 Appendix D.6.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Uni-Mol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4"/>
    </w:p>
    <w:p>
      <w:pPr>
        <w:pStyle w:val="Subtitle"/>
        <w:numPr>
          <w:ilvl w:val="0"/>
          <w:numId w:val="1004"/>
        </w:numPr>
        <w:spacing w:before="0" w:after="160"/>
        <w:ind w:left="360" w:hanging="259"/>
        <w:jc w:val="center"/>
        <w:keepNext w:val="0"/>
        <w:keepLines/>
        <w:widowControl w:val="1"/>
      </w:pPr>
      <w:bookmarkStart w:id="115"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5"/>
    </w:p>
    <w:p>
      <w:pPr>
        <w:pStyle w:val="Subtitle"/>
        <w:numPr>
          <w:ilvl w:val="0"/>
          <w:numId w:val="1004"/>
        </w:numPr>
        <w:spacing w:before="0" w:after="40"/>
        <w:ind w:left="360" w:hanging="259"/>
        <w:jc w:val="center"/>
        <w:keepNext/>
        <w:keepLines/>
        <w:widowControl w:val="1"/>
      </w:pPr>
      <w:bookmarkStart w:id="117"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6">
        <w:r>
          <w:rPr>
            <w:rStyle w:val="Hyperlink"/>
          </w:rPr>
          <w:t xml:space="preserve">cameochemicals.noaa.gov</w:t>
        </w:r>
      </w:hyperlink>
      <w:r>
        <w:rPr>
          <w:rFonts w:ascii="Times New Roman" w:hAnsi="Times New Roman"/>
          <w:b/>
          <w:i w:val="0"/>
          <w:sz w:val="24"/>
        </w:rPr>
        <w:t xml:space="preserve">.</w:t>
      </w:r>
      <w:bookmarkEnd w:id="117"/>
    </w:p>
    <w:p>
      <w:pPr>
        <w:pStyle w:val="Subtitle"/>
        <w:numPr>
          <w:ilvl w:val="0"/>
          <w:numId w:val="1004"/>
        </w:numPr>
        <w:spacing w:before="0" w:after="160"/>
        <w:ind w:left="360" w:hanging="259"/>
        <w:jc w:val="center"/>
        <w:keepNext w:val="0"/>
        <w:keepLines/>
        <w:widowControl w:val="1"/>
      </w:pPr>
      <w:bookmarkStart w:id="118"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8"/>
    </w:p>
    <w:p>
      <w:pPr>
        <w:pStyle w:val="Subtitle"/>
        <w:numPr>
          <w:ilvl w:val="0"/>
          <w:numId w:val="1004"/>
        </w:numPr>
        <w:spacing w:before="0" w:after="160"/>
        <w:ind w:left="360" w:hanging="259"/>
        <w:jc w:val="center"/>
        <w:keepNext w:val="0"/>
        <w:keepLines/>
        <w:widowControl w:val="1"/>
      </w:pPr>
      <w:bookmarkStart w:id="119"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9"/>
    </w:p>
    <w:p>
      <w:pPr>
        <w:pStyle w:val="Subtitle"/>
        <w:numPr>
          <w:ilvl w:val="0"/>
          <w:numId w:val="1004"/>
        </w:numPr>
        <w:spacing w:before="0" w:after="160"/>
        <w:ind w:left="360" w:hanging="259"/>
        <w:jc w:val="center"/>
        <w:keepNext w:val="0"/>
        <w:keepLines/>
        <w:widowControl w:val="1"/>
      </w:pPr>
      <w:bookmarkStart w:id="120"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2026-07-31T21:20:17Z</dcterms:created>
  <dcterms:modified xsi:type="dcterms:W3CDTF">2026-07-31T21:20:17Z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