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past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3D-CNN-surrogate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3.1).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(3D-CNN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3D-CNN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t>o</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3D-CNN surrogate; the 40 000-pool best-novel candidate is carried through the full B3LYP/6-31G(d)</w:t>
      </w:r>
      <w:r>
        <w:t xml:space="preserve"> </w:t>
      </w:r>
      <m:oMath>
        <m:r>
          <m:t>o</m:t>
        </m:r>
      </m:oMath>
      <w:r>
        <w:t xml:space="preserve"> </w:t>
      </w:r>
      <m:oMath>
        <m:r>
          <m:t>ω</m:t>
        </m:r>
      </m:oMath>
      <w:r>
        <w:t xml:space="preserve">B97X-D3BJ/def2-TZVP</w:t>
      </w:r>
      <w:r>
        <w:t xml:space="preserve"> </w:t>
      </w:r>
      <m:oMath>
        <m:r>
          <m:t>o</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 \(</w:t>
      </w:r>
      <w:r>
        <w:t xml:space="preserve"> </w:t>
      </w:r>
      <w:r>
        <w:t xml:space="preserve">ho\)/</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3D-CNN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Twelve DGLD lead cards in a 3-by-4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5"/>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3D-CNN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 cards (11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C.1b; baselines from Table 8.</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sterling2015zinc"/>
      <w:r>
        <w:t xml:space="preserve">Sterling, T., &amp; Irwin, J. J. (2015). ZINC 15: Ligand Discovery for Everyone.</w:t>
      </w:r>
      <w:r>
        <w:t xml:space="preserve"> </w:t>
      </w:r>
      <w:r>
        <w:rPr>
          <w:i/>
          <w:iCs/>
        </w:rPr>
        <w:t xml:space="preserve">J. Chem. Inf. Model. 55(11)</w:t>
      </w:r>
      <w:r>
        <w:t xml:space="preserve">:2324–2337.</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cameo"/>
      <w:r>
        <w:t xml:space="preserve">NIST CAMEO Chemicals: Database of Hazardous Materials and Reactivity.</w:t>
      </w:r>
      <w:r>
        <w:t xml:space="preserve"> </w:t>
      </w:r>
      <w:hyperlink r:id="rId210">
        <w:r>
          <w:rPr>
            <w:rStyle w:val="Hyperlink"/>
          </w:rPr>
          <w:t xml:space="preserve">cameochemicals.noaa.gov</w:t>
        </w:r>
      </w:hyperlink>
      <w:r>
        <w:t xml:space="preserve">.</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ondi1964vdw"/>
      <w:r>
        <w:t xml:space="preserve">Bondi, A. (1964). van der Waals Volumes and Radii.</w:t>
      </w:r>
      <w:r>
        <w:t xml:space="preserve"> </w:t>
      </w:r>
      <w:r>
        <w:rPr>
          <w:i/>
          <w:iCs/>
        </w:rPr>
        <w:t xml:space="preserve">J. Phys. Chem. 68(3)</w:t>
      </w:r>
      <w:r>
        <w:t xml:space="preserve">:441–451. doi:10.1021/j100785a001.</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2026-07-31T20:29:13Z</dcterms:created>
  <dcterms:modified xsi:type="dcterms:W3CDTF">2026-07-31T20:29:13Z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