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of the methods carried to first-principles validation, DGLD is the only one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S7; baselines from Table S27.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 \(</w:t>
      </w:r>
      <w:r>
        <w:t xml:space="preserve"> </w:t>
      </w:r>
      <w:r>
        <w:t xml:space="preserve">ho\)/</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flagging E1 as a chemically distinct candidate whose calibrated D is an upper bound pending thermal stability confirmation and a 1,2,3,5-oxatriazole-class DFT anchor (Section 3). Two leads from two distinct scaffold families on a single sampling run argues against the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8"/>
    </w:p>
    <w:p>
      <w:pPr>
        <w:pStyle w:val="MDPI81references"/>
        <w:numPr>
          <w:ilvl w:val="0"/>
          <w:numId w:val="0"/>
        </w:numPr>
        <w:ind w:left="180" w:hanging="180"/>
      </w:pPr>
      <w:bookmarkStart w:id="17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9"/>
    </w:p>
    <w:p>
      <w:pPr>
        <w:pStyle w:val="MDPI81references"/>
        <w:numPr>
          <w:ilvl w:val="0"/>
          <w:numId w:val="0"/>
        </w:numPr>
        <w:ind w:left="180" w:hanging="180"/>
      </w:pPr>
      <w:bookmarkStart w:id="180" w:name="ref-klapotke2017nitrogen"/>
      <w:r>
        <w:t xml:space="preserve">Klapötke, T. M.</w:t>
      </w:r>
      <w:r>
        <w:t xml:space="preserve"> </w:t>
      </w:r>
      <w:r>
        <w:rPr>
          <w:i/>
          <w:iCs/>
        </w:rPr>
        <w:t xml:space="preserve">Chemistry of High-Energy Materials</w:t>
      </w:r>
      <w:r>
        <w:t xml:space="preserve">, 5th ed. (de Gruyter, 2019). doi:10.1515/9783110624571.</w:t>
      </w:r>
      <w:bookmarkEnd w:id="180"/>
    </w:p>
    <w:p>
      <w:pPr>
        <w:pStyle w:val="MDPI81references"/>
        <w:numPr>
          <w:ilvl w:val="0"/>
          <w:numId w:val="0"/>
        </w:numPr>
        <w:ind w:left="180" w:hanging="180"/>
      </w:pPr>
      <w:bookmarkStart w:id="18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1"/>
    </w:p>
    <w:p>
      <w:pPr>
        <w:pStyle w:val="MDPI81references"/>
        <w:numPr>
          <w:ilvl w:val="0"/>
          <w:numId w:val="0"/>
        </w:numPr>
        <w:ind w:left="180" w:hanging="180"/>
      </w:pPr>
      <w:bookmarkStart w:id="182"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2"/>
    </w:p>
    <w:p>
      <w:pPr>
        <w:pStyle w:val="MDPI81references"/>
        <w:numPr>
          <w:ilvl w:val="0"/>
          <w:numId w:val="0"/>
        </w:numPr>
        <w:ind w:left="180" w:hanging="180"/>
      </w:pPr>
      <w:bookmarkStart w:id="18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3"/>
    </w:p>
    <w:p>
      <w:pPr>
        <w:pStyle w:val="MDPI81references"/>
        <w:numPr>
          <w:ilvl w:val="0"/>
          <w:numId w:val="0"/>
        </w:numPr>
        <w:ind w:left="180" w:hanging="180"/>
      </w:pPr>
      <w:bookmarkStart w:id="18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4"/>
    </w:p>
    <w:p>
      <w:pPr>
        <w:pStyle w:val="MDPI81references"/>
        <w:numPr>
          <w:ilvl w:val="0"/>
          <w:numId w:val="0"/>
        </w:numPr>
        <w:ind w:left="180" w:hanging="180"/>
      </w:pPr>
      <w:bookmarkStart w:id="18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5"/>
    </w:p>
    <w:p>
      <w:pPr>
        <w:pStyle w:val="MDPI81references"/>
        <w:numPr>
          <w:ilvl w:val="0"/>
          <w:numId w:val="0"/>
        </w:numPr>
        <w:ind w:left="180" w:hanging="180"/>
      </w:pPr>
      <w:bookmarkStart w:id="18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6"/>
    </w:p>
    <w:p>
      <w:pPr>
        <w:pStyle w:val="MDPI81references"/>
        <w:numPr>
          <w:ilvl w:val="0"/>
          <w:numId w:val="0"/>
        </w:numPr>
        <w:ind w:left="180" w:hanging="180"/>
      </w:pPr>
      <w:bookmarkStart w:id="187"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7"/>
    </w:p>
    <w:p>
      <w:pPr>
        <w:pStyle w:val="MDPI81references"/>
        <w:numPr>
          <w:ilvl w:val="0"/>
          <w:numId w:val="0"/>
        </w:numPr>
        <w:ind w:left="180" w:hanging="180"/>
      </w:pPr>
      <w:bookmarkStart w:id="18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8"/>
    </w:p>
    <w:p>
      <w:pPr>
        <w:pStyle w:val="MDPI81references"/>
        <w:numPr>
          <w:ilvl w:val="0"/>
          <w:numId w:val="0"/>
        </w:numPr>
        <w:ind w:left="180" w:hanging="180"/>
      </w:pPr>
      <w:bookmarkStart w:id="189" w:name="ref-reymond2015gdb"/>
      <w:r>
        <w:t xml:space="preserve">Reymond, J.-L. (2015). The chemical space project.</w:t>
      </w:r>
      <w:r>
        <w:t xml:space="preserve"> </w:t>
      </w:r>
      <w:r>
        <w:rPr>
          <w:i/>
          <w:iCs/>
        </w:rPr>
        <w:t xml:space="preserve">Acc. Chem. Res. 48(3)</w:t>
      </w:r>
      <w:r>
        <w:t xml:space="preserve">:722–730.</w:t>
      </w:r>
      <w:bookmarkEnd w:id="189"/>
    </w:p>
    <w:p>
      <w:pPr>
        <w:pStyle w:val="MDPI81references"/>
        <w:numPr>
          <w:ilvl w:val="0"/>
          <w:numId w:val="0"/>
        </w:numPr>
        <w:ind w:left="180" w:hanging="180"/>
      </w:pPr>
      <w:bookmarkStart w:id="190"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0"/>
    </w:p>
    <w:p>
      <w:pPr>
        <w:pStyle w:val="MDPI81references"/>
        <w:numPr>
          <w:ilvl w:val="0"/>
          <w:numId w:val="0"/>
        </w:numPr>
        <w:ind w:left="180" w:hanging="180"/>
      </w:pPr>
      <w:bookmarkStart w:id="191"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1"/>
    </w:p>
    <w:p>
      <w:pPr>
        <w:pStyle w:val="MDPI81references"/>
        <w:numPr>
          <w:ilvl w:val="0"/>
          <w:numId w:val="0"/>
        </w:numPr>
        <w:ind w:left="180" w:hanging="180"/>
      </w:pPr>
      <w:bookmarkStart w:id="192" w:name="ref-rogers1960computer"/>
      <w:r>
        <w:t xml:space="preserve">Rogers, D. J., &amp; Tanimoto, T. T. (1960). A Computer Program for Classifying Plants.</w:t>
      </w:r>
      <w:r>
        <w:t xml:space="preserve"> </w:t>
      </w:r>
      <w:r>
        <w:rPr>
          <w:i/>
          <w:iCs/>
        </w:rPr>
        <w:t xml:space="preserve">Science 132(3434)</w:t>
      </w:r>
      <w:r>
        <w:t xml:space="preserve">:1115–1118.</w:t>
      </w:r>
      <w:bookmarkEnd w:id="192"/>
    </w:p>
    <w:p>
      <w:pPr>
        <w:pStyle w:val="MDPI81references"/>
        <w:numPr>
          <w:ilvl w:val="0"/>
          <w:numId w:val="0"/>
        </w:numPr>
        <w:ind w:left="180" w:hanging="180"/>
      </w:pPr>
      <w:bookmarkStart w:id="19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3"/>
    </w:p>
    <w:p>
      <w:pPr>
        <w:pStyle w:val="MDPI81references"/>
        <w:numPr>
          <w:ilvl w:val="0"/>
          <w:numId w:val="0"/>
        </w:numPr>
        <w:ind w:left="180" w:hanging="180"/>
      </w:pPr>
      <w:bookmarkStart w:id="19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4"/>
    </w:p>
    <w:p>
      <w:pPr>
        <w:pStyle w:val="MDPI81references"/>
        <w:numPr>
          <w:ilvl w:val="0"/>
          <w:numId w:val="0"/>
        </w:numPr>
        <w:ind w:left="180" w:hanging="180"/>
      </w:pPr>
      <w:bookmarkStart w:id="195"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5"/>
    </w:p>
    <w:p>
      <w:pPr>
        <w:pStyle w:val="MDPI81references"/>
        <w:numPr>
          <w:ilvl w:val="0"/>
          <w:numId w:val="0"/>
        </w:numPr>
        <w:ind w:left="180" w:hanging="180"/>
      </w:pPr>
      <w:bookmarkStart w:id="196"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6"/>
    </w:p>
    <w:p>
      <w:pPr>
        <w:pStyle w:val="MDPI81references"/>
        <w:numPr>
          <w:ilvl w:val="0"/>
          <w:numId w:val="0"/>
        </w:numPr>
        <w:ind w:left="180" w:hanging="180"/>
      </w:pPr>
      <w:bookmarkStart w:id="197"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7"/>
    </w:p>
    <w:p>
      <w:pPr>
        <w:pStyle w:val="MDPI81references"/>
        <w:numPr>
          <w:ilvl w:val="0"/>
          <w:numId w:val="0"/>
        </w:numPr>
        <w:ind w:left="180" w:hanging="180"/>
      </w:pPr>
      <w:bookmarkStart w:id="198"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8"/>
    </w:p>
    <w:p>
      <w:pPr>
        <w:pStyle w:val="MDPI81references"/>
        <w:numPr>
          <w:ilvl w:val="0"/>
          <w:numId w:val="0"/>
        </w:numPr>
        <w:ind w:left="180" w:hanging="180"/>
      </w:pPr>
      <w:bookmarkStart w:id="19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9"/>
    </w:p>
    <w:p>
      <w:pPr>
        <w:pStyle w:val="MDPI81references"/>
        <w:numPr>
          <w:ilvl w:val="0"/>
          <w:numId w:val="0"/>
        </w:numPr>
        <w:ind w:left="180" w:hanging="180"/>
      </w:pPr>
      <w:bookmarkStart w:id="200" w:name="ref-kim2023pubchem"/>
      <w:r>
        <w:t xml:space="preserve">Kim, S. et al. (2023). PubChem 2023 Update.</w:t>
      </w:r>
      <w:r>
        <w:t xml:space="preserve"> </w:t>
      </w:r>
      <w:r>
        <w:rPr>
          <w:i/>
          <w:iCs/>
        </w:rPr>
        <w:t xml:space="preserve">Nucleic Acids Res. 51(D1)</w:t>
      </w:r>
      <w:r>
        <w:t xml:space="preserve">:D1373–D1380.</w:t>
      </w:r>
      <w:bookmarkEnd w:id="200"/>
    </w:p>
    <w:p>
      <w:pPr>
        <w:pStyle w:val="MDPI81references"/>
        <w:numPr>
          <w:ilvl w:val="0"/>
          <w:numId w:val="0"/>
        </w:numPr>
        <w:ind w:left="180" w:hanging="180"/>
      </w:pPr>
      <w:bookmarkStart w:id="202"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2"/>
    </w:p>
    <w:p>
      <w:pPr>
        <w:pStyle w:val="MDPI81references"/>
        <w:numPr>
          <w:ilvl w:val="0"/>
          <w:numId w:val="0"/>
        </w:numPr>
        <w:ind w:left="180" w:hanging="180"/>
      </w:pPr>
      <w:bookmarkStart w:id="204"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4"/>
    </w:p>
    <w:p>
      <w:pPr>
        <w:pStyle w:val="MDPI81references"/>
        <w:numPr>
          <w:ilvl w:val="0"/>
          <w:numId w:val="0"/>
        </w:numPr>
        <w:ind w:left="180" w:hanging="180"/>
      </w:pPr>
      <w:bookmarkStart w:id="205"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5"/>
    </w:p>
    <w:p>
      <w:pPr>
        <w:pStyle w:val="MDPI81references"/>
        <w:numPr>
          <w:ilvl w:val="0"/>
          <w:numId w:val="0"/>
        </w:numPr>
        <w:ind w:left="180" w:hanging="180"/>
      </w:pPr>
      <w:bookmarkStart w:id="206" w:name="ref-sterling2015zinc"/>
      <w:r>
        <w:t xml:space="preserve">Sterling, T., &amp; Irwin, J. J. (2015). ZINC 15: Ligand Discovery for Everyone.</w:t>
      </w:r>
      <w:r>
        <w:t xml:space="preserve"> </w:t>
      </w:r>
      <w:r>
        <w:rPr>
          <w:i/>
          <w:iCs/>
        </w:rPr>
        <w:t xml:space="preserve">J. Chem. Inf. Model. 55(11)</w:t>
      </w:r>
      <w:r>
        <w:t xml:space="preserve">:2324–2337.</w:t>
      </w:r>
      <w:bookmarkEnd w:id="206"/>
    </w:p>
    <w:p>
      <w:pPr>
        <w:pStyle w:val="MDPI81references"/>
        <w:numPr>
          <w:ilvl w:val="0"/>
          <w:numId w:val="0"/>
        </w:numPr>
        <w:ind w:left="180" w:hanging="180"/>
      </w:pPr>
      <w:bookmarkStart w:id="20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8"/>
    </w:p>
    <w:p>
      <w:pPr>
        <w:pStyle w:val="MDPI81references"/>
        <w:numPr>
          <w:ilvl w:val="0"/>
          <w:numId w:val="0"/>
        </w:numPr>
        <w:ind w:left="180" w:hanging="180"/>
      </w:pPr>
      <w:bookmarkStart w:id="20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9"/>
    </w:p>
    <w:p>
      <w:pPr>
        <w:pStyle w:val="MDPI81references"/>
        <w:numPr>
          <w:ilvl w:val="0"/>
          <w:numId w:val="0"/>
        </w:numPr>
        <w:ind w:left="180" w:hanging="180"/>
      </w:pPr>
      <w:bookmarkStart w:id="210" w:name="ref-bondi1964vdw"/>
      <w:r>
        <w:t xml:space="preserve">Bondi, A. (1964). van der Waals Volumes and Radii.</w:t>
      </w:r>
      <w:r>
        <w:t xml:space="preserve"> </w:t>
      </w:r>
      <w:r>
        <w:rPr>
          <w:i/>
          <w:iCs/>
        </w:rPr>
        <w:t xml:space="preserve">J. Phys. Chem. 68(3)</w:t>
      </w:r>
      <w:r>
        <w:t xml:space="preserve">:441–451. doi:10.1021/j100785a001.</w:t>
      </w:r>
      <w:bookmarkEnd w:id="210"/>
    </w:p>
    <w:p>
      <w:pPr>
        <w:pStyle w:val="MDPI81references"/>
        <w:numPr>
          <w:ilvl w:val="0"/>
          <w:numId w:val="0"/>
        </w:numPr>
        <w:ind w:left="180" w:hanging="180"/>
      </w:pPr>
      <w:bookmarkStart w:id="211"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1"/>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