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The unguided sampler also independently recovered E1 (4-nitro-1,2,3,5-oxatriazole), a known oxatriazole (PubChem CID 57438703) that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[00]</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The unguided sampler additionally recovered the known oxatriazole E1 (above); the extension set spans eight Bemis–Murcko scaffolds across seven chemotype families, of which E1, E6, and E9 are known compounds.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eleven chem-pass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values (, , , HOF). The status bar reports the four validation gates: SMARTS pass, Pareto rank (“Pareto –” for L20, added from the pool=80k extension set and not assigned a top-100 rank), xTB HOMO–LUMO status, and DFT. Border and fill colour encode electronic stability: blue = xTB gap  eV (pass); orange = gap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D</m:t>
        </m:r>
        <m:r>
          <m:rPr>
            <m:sty m:val="p"/>
          </m:rPr>
          <m:t>=</m:t>
        </m:r>
        <m:r>
          <m:t>9.0</m:t>
        </m:r>
      </m:oMath>
      <m:oMath>
        <m:r>
          <m:t>r</m:t>
        </m:r>
        <m:r>
          <m:rPr>
            <m:sty m:val="p"/>
          </m:rPr>
          <m:t>=</m:t>
        </m:r>
        <m:r>
          <m:t>0.20</m:t>
        </m:r>
      </m:oMath>
      <m:oMath>
        <m:r>
          <m:t>r</m:t>
        </m:r>
        <m:r>
          <m:rPr>
            <m:sty m:val="p"/>
          </m:rPr>
          <m:t>=</m:t>
        </m:r>
        <m:r>
          <m:t>0.43</m:t>
        </m:r>
      </m:oMath>
      <w:r>
        <w:rPr>
          <w:b/>
          <w:i/>
        </w:rPr>
        <w:t>Figure 21.</w:t>
      </w:r>
      <w:r>
        <w:rPr>
          <w:b w:val="0"/>
          <w:i/>
        </w:rPr>
        <w:t xml:space="preserve"> </w:t>
      </w:r>
      <w:r>
        <w:rPr>
          <w:b w:val="0"/>
          <w:i/>
        </w:rPr>
        <w:t>Left: dumbbell plot connecting Uni-Mol-predicted  (blue) to anchor-calibrated DFT–K-J  (orange) for each DFT-converged lead; dotted green line is the literature-scale HMX target of  km/s (the 6-anchor-calibrated HMX anchor is 7.52 km/s, Section 2.3, so L1's calibrated 8.25 sits below it). Right: per-lead residual vs N-fraction with linear fit (Pearson  across the leads and reference compounds shown); the panel title reports the global 575-row Tier-A correlation (,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SMARTS gate passes; it is tabulated as reference R2 (Table C.1c), not a chem-pass lead, so the confirmed set is 11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is the top-ranked novel lead, and the sampler's independent recovery of the known oxatriazole E1 shows its reach spans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pool 40k);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gaming molecule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km/s comes from a scaffold family disjoint from L1; its recovery validates the sampler's scaffold reach rather than adding a novel lead, and its calibrated D is an upper bound pending thermal stability confirmation and a 1,2,3,5-oxatriazole-class DFT anchor (§6).</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6"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sterling2015zinc"/>
      <w:r>
        <w:t xml:space="preserve">Sterling, T., &amp; Irwin, J. J. (2015). ZINC 15: Ligand Discovery for Everyone.</w:t>
      </w:r>
      <w:r>
        <w:t xml:space="preserve"> </w:t>
      </w:r>
      <w:r>
        <w:rPr>
          <w:i/>
          <w:iCs/>
        </w:rPr>
        <w:t xml:space="preserve">J. Chem. Inf. Model. 55(11)</w:t>
      </w:r>
      <w:r>
        <w:t xml:space="preserve">:2324–2337.</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cameo"/>
      <w:r>
        <w:t xml:space="preserve">NIST CAMEO Chemicals: Database of Hazardous Materials and Reactivity.</w:t>
      </w:r>
      <w:r>
        <w:t xml:space="preserve"> </w:t>
      </w:r>
      <w:hyperlink r:id="rId211">
        <w:r>
          <w:rPr>
            <w:rStyle w:val="Hyperlink"/>
          </w:rPr>
          <w:t xml:space="preserve">cameochemicals.noaa.gov</w:t>
        </w:r>
      </w:hyperlink>
      <w:r>
        <w:t xml:space="preserv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bondi1964vdw"/>
      <w:r>
        <w:t xml:space="preserve">Bondi, A. (1964). van der Waals Volumes and Radii.</w:t>
      </w:r>
      <w:r>
        <w:t xml:space="preserve"> </w:t>
      </w:r>
      <w:r>
        <w:rPr>
          <w:i/>
          <w:iCs/>
        </w:rPr>
        <w:t xml:space="preserve">J. Phys. Chem. 68(3)</w:t>
      </w:r>
      <w:r>
        <w:t xml:space="preserve">:441–451. doi:10.1021/j100785a001.</w:t>
      </w:r>
      <w:bookmarkEnd w:id="214"/>
    </w:p>
    <w:p>
      <w:pPr>
        <w:pStyle w:val="ReferenceEntry"/>
        <w:spacing w:after="100"/>
        <w:ind w:left="475" w:hanging="475"/>
        <w:jc w:val="left"/>
        <w:keepNext w:val="0"/>
        <w:keepLines w:val="0"/>
        <w:widowControl w:val="1"/>
      </w:pPr>
      <w:r>
        <w:rPr>
          <w:rFonts w:ascii="Times New Roman" w:hAnsi="Times New Roman"/>
          <w:sz w:val="20"/>
        </w:rPr>
        <w:t xml:space="preserve">72. </w:t>
      </w:r>
      <w:bookmarkStart w:id="215"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5"/>
    </w:p>
    <w:bookmarkEnd w:id="21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2026-08-01T05:29:52Z</dcterms:created>
  <dcterms:modified xsi:type="dcterms:W3CDTF">2026-08-01T05:29:52Z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