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Gaming molecules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gaming molecules: gem-tetranitro on C2, trinitromethane, gem-dinitrocyclopropane, polyazene-NO</w:t>
      </w:r>
      <w:r>
        <w:rPr>
          <w:vertAlign w:val="subscript"/>
        </w:rPr>
        <w:t xml:space="preserve">2</w:t>
      </w:r>
      <w:r>
        <w:t xml:space="preserve"> </w:t>
      </w:r>
      <w:r>
        <w:t xml:space="preserve">chain, dinitromethane) confirms anchors hold at 0.86–0.99 while gaming molecules are demoted to 0.12–0.84. Supplementary Section D.9 reports an early variant (137 gaming molecules) versus the production variant (918 gaming molecules).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probe of 7 anchors and 5 gaming molecules; if all anchors score</w:t>
      </w:r>
      <w:r>
        <w:t xml:space="preserve"> </w:t>
      </w:r>
      <m:oMath>
        <m:r>
          <m:rPr>
            <m:sty m:val="p"/>
          </m:rPr>
          <m:t>≥</m:t>
        </m:r>
      </m:oMath>
      <w:r>
        <w:t xml:space="preserve"> </w:t>
      </w:r>
      <w:r>
        <w:t xml:space="preserve">0.86 and all gaming molecules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gaming molecules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anchor/gaming-molecule probe (the six-head production model and its five-head predecessor score the same on the anchor and gaming-molecule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main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main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(main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gaming molecules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gaming molecules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gaming molecules</w:t>
      </w:r>
      <w:r>
        <w:t xml:space="preserve"> </w:t>
      </w:r>
      <m:oMath>
        <m:r>
          <m:rPr>
            <m:sty m:val="p"/>
          </m:rPr>
          <m:t>∈</m:t>
        </m:r>
      </m:oMath>
      <w:r>
        <w:t xml:space="preserve"> </w:t>
      </w:r>
      <w:r>
        <w:t xml:space="preserve">[0.12, 0.84]. Both discriminate, but the budget-918 checkpoint demoted the worst-offender gaming molecule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1265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729</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755</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1621</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(729 to 1621 over the full 10k pool). Hazard-only (C3) produces the most scaffold diversity (1621), unguided (C0) is intermediate (1265), and the multi-head conditions are the most focused (viab+sens C1 at 729, viab+sens+hazard C2 at 755).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 not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 not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6">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probe of 7 anchors and 5 gaming molecules (RDX, HMX, TNT, FOX-7, PETN, TATB, NTO plus five known gaming molecules: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probe of 7 anchors and 5 gaming molecules (numbers from Supplementary Section D.9). Anchor min and gaming-molecule max are the per-set extrema of the viability-head output; the worst-offender column tracks the gem-tetranitro gaming molecule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65"/>
        <w:gridCol w:w="1292"/>
        <w:gridCol w:w="1928"/>
        <w:gridCol w:w="2673"/>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Gaming-molecule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pool 10k),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pool 40k);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