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Energetic-materials performance gains translate directly into reduced propellant mass, smaller warheads, and more efficient civilian gas-generators, yet few new HMX-class compounds have been disclosed in the past fifteen years. Designing one is a sparse-label problem: of ~66 k CHNO molecules with reported detonation properties, only ~3 k carry trustworthy experimental or quantum-chemistry values, and naive generative models trained on the full mixture either memorise the high-performance tail or extrapolate without calibration.</w:t>
      </w:r>
    </w:p>
    <w:p>
      <w:pPr>
        <w:pStyle w:val="BodyText"/>
        <w:ind w:left="720" w:right="720" w:firstLine="0"/>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12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A co-headline lead, E1 (4-nitro-1,2,3,5-oxatriazole),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ind w:left="720" w:right="720" w:firstLine="0"/>
        <w:jc w:val="both"/>
        <w:keepNext w:val="0"/>
        <w:keepLines w:val="0"/>
        <w:widowControl w:val="1"/>
      </w:pPr>
      <w:r>
        <w:t xml:space="preserve">DGLD is the only method to land in the productive quadrant (simultaneously novel and on-target) at DFT level.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10.5281/zenodo.19821952</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past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3D-CNN-surrogate estimates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HMX/PETN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baselines, DGLD is the only method with consistent novel productive-quadrant coverage (simultaneously novel and on-target for performance):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 second lead, E1 (4-nitro-1,2,3,5-oxatriazole), reaches</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SMILES-LSTM (red X) is exact rediscovery (Tanimoto = 1.0); MolMIM 70 M (gold) is novel but at  km/s; REINVENT 4 (green square) reaches  km/s at novelty 0.43 (Table 8); SELFIES-GA (purple) shows a surrogate-to-DFT collapse on the  panel inset ( km/s).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(3D-CNN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3.1). The recipe is domain-agnostic; only the validation funnel changes per application.</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3D-CNN surrogate:</w:t>
      </w:r>
      <w:r>
        <w:t xml:space="preserve"> </w:t>
      </w:r>
      <m:oMath>
        <m:r>
          <m:t>D</m:t>
        </m:r>
        <m:r>
          <m:rPr>
            <m:sty m:val="p"/>
          </m:rPr>
          <m:t>=</m:t>
        </m:r>
        <m:r>
          <m:t>9.56</m:t>
        </m:r>
      </m:oMath>
      <w:r>
        <w:t xml:space="preserve"> km/s (see §5.3 for K-J relative-ranking basis). E1 (1,2,3,5-oxatriazole family,</w:t>
      </w:r>
      <w:r>
        <w:t xml:space="preserve"> </w:t>
      </w:r>
      <m:oMath>
        <m:sSub>
          <m:e>
            <m:r>
              <m:t>D</m:t>
            </m:r>
          </m:e>
          <m:sub>
            <m:r>
              <m:rPr>
                <m:nor/>
                <m:sty m:val="p"/>
              </m:rPr>
              <m:t>K-J,cal</m:t>
            </m:r>
          </m:sub>
        </m:sSub>
        <m:r>
          <m:rPr>
            <m:sty m:val="p"/>
          </m:rPr>
          <m:t>=</m:t>
        </m:r>
        <m:r>
          <m:t>9.00</m:t>
        </m:r>
      </m:oMath>
      <w:r>
        <w:t xml:space="preserve"> km/s) is a further lead from a chemically distinct family, pending addition of an oxatriazole-class DFT anchor (§6); the extension set spans eight Bemis–Murcko scaffolds across six chemotype families.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2.</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km/s,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 + 6-anchor-calibration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3D-CNN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(§5.3, §F.4); it runs in seconds per molecule on CPU, is well-calibrated for organic CHNO, and provides a stability proxy that is independent of the 3D-CNN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3D-CNN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3.</w:t>
      </w:r>
      <w:r>
        <w:rPr>
          <w:b w:val="0"/>
          <w:i/>
        </w:rPr>
        <w:t xml:space="preserve"> </w:t>
      </w:r>
      <w:r>
        <w:rPr>
          <w:b w:val="0"/>
          <w:i/>
        </w:rPr>
        <w:t>Properties of the labelled corpus. Joint distribution of density and detonation velocity, with literature anchors overlaid. The bulk of the labelled distribution sits at ,  km/s; the high-tail above  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Label-tier composition by property (tiers defined in Table 1 below): experimental Tier-A and DFT-derived Tier-B labels are present for only a small fraction of rows on each axis, while Kamlet–Jacobs Tier-C and 3D-CNN Tier-D labels dominate by volume. Trust-gating decouples corpus volume from conditional-signal quality.</w:t>
      </w:r>
    </w:p>
    <w:p>
      <w:pPr>
        <w:pStyle w:val="TableCaption"/>
        <w:spacing w:before="280" w:after="60" w:line="240" w:lineRule="auto"/>
        <w:jc w:val="center"/>
        <w:keepNext/>
        <w:keepLines/>
        <w:widowControl w:val="1"/>
      </w:pPr>
      <m:oMath>
        <m:r>
          <m:t>D</m:t>
        </m:r>
      </m:oMath>
      <m:oMath>
        <m:r>
          <m:t>P</m:t>
        </m:r>
      </m:oMath>
      <w:r>
        <w:rPr>
          <w:b/>
          <w:i/>
        </w:rPr>
        <w:t>Table 1.</w:t>
      </w:r>
      <w:r>
        <w:rPr>
          <w:b w:val="0"/>
          <w:i/>
        </w:rPr>
        <w:t xml:space="preserve"> </w:t>
      </w:r>
      <w:r>
        <w:rPr>
          <w:b w:val="0"/>
          <w:i/>
        </w:rPr>
        <w:t>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 , HOF) that steer conditioning.</w:t>
      </w:r>
    </w:p>
    <w:tbl>
      <w:tblPr>
        <w:tblStyle w:val="Table"/>
        <w:tblW w:type="pct" w:w="5000"/>
        <w:jc w:val="center"/>
        <w:tblLook w:firstRow="1" w:lastRow="0" w:firstColumn="0" w:lastColumn="0" w:noHBand="0" w:noVBand="0" w:val="0020"/>
        <w:tblCaption w:val="Table 1. 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D, P, HOF) that steer conditio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(crystallographic densities; measured detonation properties)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DFT/thermochemical-derived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(3D-CNN smoke ensemble; generative-model predictions)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[60]</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100"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evidence lower bound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7.</w:t>
      </w:r>
      <w:r>
        <w:rPr>
          <w:b w:val="0"/>
          <w:i/>
        </w:rPr>
        <w:t xml:space="preserve"> </w:t>
      </w:r>
      <w:r>
        <w:rPr>
          <w:b w:val="0"/>
          <w:i/>
        </w:rPr>
        <w:t>Property-agnostic SELFIES VAE fine-tuned on the 326k energetic corpus (8.5k steps, ELBO with ). The cached latent mean  is the  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8.</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exponential-moving-average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9.</w:t>
      </w:r>
      <w:r>
        <w:rPr>
          <w:b w:val="0"/>
          <w:i/>
        </w:rPr>
        <w:t xml:space="preserve"> </w:t>
      </w:r>
      <w:r>
        <w:rPr>
          <w:b w:val="0"/>
          <w:i/>
        </w:rPr>
        <w:t>Sample ; form ; the FiLM-ResNet predicts  from  where  (from Figure 8) gates the property vector. Loss is per-sample MSE  weighted by ;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We do not average outputs or interpolate weights, so this is not a classical ensemble in that sense.</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3D-CNN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3D-CNN/Uni-Mol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10.</w:t>
      </w:r>
      <w:r>
        <w:rPr>
          <w:b w:val="0"/>
          <w:i/>
        </w:rPr>
        <w:t xml:space="preserve"> </w:t>
      </w:r>
      <w:r>
        <w:rPr>
          <w:b w:val="0"/>
          <w:i/>
        </w:rPr>
        <w:t>Four offline pipelines (run once per corpus) generate per-row labels: Random Forest ; Politzer–Murray BDE ; SMARTS + Bruns–Watson ; 3D-CNN/Uni-Mol smoke ensemble . Cached LIMO  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11.</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12.</w:t>
      </w:r>
      <w:r>
        <w:rPr>
          <w:b w:val="0"/>
          <w:i/>
        </w:rPr>
        <w:t xml:space="preserve"> </w:t>
      </w:r>
      <w:r>
        <w:rPr>
          <w:b w:val="0"/>
          <w:i/>
        </w:rPr>
        <w:t>Three rounds of mine-then-retrain that refine the Viability head only of the Figure 11 score model; the denoiser (Figure 9) and LIMO VAE (Figure 7) are frozen. Each round samples, gates with Figure 14 (Filtering), encodes false-positives through frozen LIMO as viab0 hard negatives, and folds them into the next round's training set (137  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(denoising diffusion implicit model)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13.</w:t>
      </w:r>
      <w:r>
        <w:rPr>
          <w:b w:val="0"/>
          <w:i/>
        </w:rPr>
        <w:t xml:space="preserve"> </w:t>
      </w:r>
      <w:r>
        <w:rPr>
          <w:b w:val="0"/>
          <w:i/>
        </w:rPr>
        <w:t>A latent  is denoised over 40 DDIM steps with a steering bus  over the three active steering signals of Figure 11 perturbing  at every step. The final  decodes through frozen LIMO to a SMILES pool consumed by Figure 15 (Pool fusion). Per-head scales  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[61]</w:t>
        </w:r>
      </w:hyperlink>
      <w:r>
        <w:t xml:space="preserve"> </w:t>
      </w:r>
      <w:r>
        <w:t xml:space="preserve">catalog removes radicals, sulphur, halogens, mixed valence states, and other red flags; survivors are scored by the 3D-CNN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3D-CNN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keep-rate per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 cards.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14.</w:t>
      </w:r>
      <w:r>
        <w:rPr>
          <w:b w:val="0"/>
          <w:i/>
        </w:rPr>
        <w:t xml:space="preserve"> </w:t>
      </w:r>
      <w:r>
        <w:rPr>
          <w:b w:val="0"/>
          <w:i/>
        </w:rPr>
        <w:t>Four-stage funnel on the Figure 15 Pool fusion output: Stage 1 SMARTS gate, Stage 2 Pareto reranker (this section), Stage 3 xTB triage (§5.3), Stage 4 DFT audit (§5.3). Illustrative survivors: 40k  1 800 chem-pass (4.6 % keep-rate, §F.2)  top-100  12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15.</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16.</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17.</w:t>
      </w:r>
      <w:r>
        <w:rPr>
          <w:b w:val="0"/>
          <w:i/>
        </w:rPr>
        <w:t xml:space="preserve"> </w:t>
      </w:r>
      <w:r>
        <w:rPr>
          <w:b w:val="0"/>
          <w:i/>
        </w:rPr>
        <w:t>Pool size vs. (i) best composite score over top-1 candidate, (ii) number of candidates passing every filter. Both curves are still moving at pool=40k; the M7 five-lane 100k run (§F.5) confirms the trend: 4 639 passing candidates (5.1× more than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uses 1D ablations throughout: each hyperparameter is fixed by a per-axis sweep, a stop-criterion count, a prior-art default, or a chemist-set threshold, with the full grids in §5 and Appendix D. A joint optimisation over (</w:t>
      </w:r>
      <m:oMath>
        <m:r>
          <m:t>w</m:t>
        </m:r>
      </m:oMath>
      <w:r>
        <w:t xml:space="preserve">,</w:t>
      </w:r>
      <w:r>
        <w:t xml:space="preserve"> </w:t>
      </w:r>
      <m:oMath>
        <m:sSub>
          <m:e>
            <m:r>
              <m:t>s</m:t>
            </m:r>
          </m:e>
          <m:sub>
            <m:r>
              <m:t>h</m:t>
            </m:r>
          </m:sub>
        </m:sSub>
      </m:oMath>
      <w:r>
        <w:t xml:space="preserve">, pool size) and per-target retuning are scoped as future work.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Start w:id="99" w:name="baseline-generators"/>
    <w:p>
      <w:pPr>
        <w:pStyle w:val="Heading3"/>
        <w:keepNext/>
        <w:keepLines/>
        <w:widowControl w:val="1"/>
      </w:pPr>
      <w:r>
        <w:t xml:space="preserve">4.13 Baseline generators</w:t>
      </w:r>
    </w:p>
    <w:p>
      <w:pPr>
        <w:pStyle w:val="FirstParagraph"/>
        <w:jc w:val="both"/>
        <w:keepNext w:val="0"/>
        <w:keepLines w:val="0"/>
        <w:widowControl w:val="1"/>
      </w:pPr>
      <w:r>
        <w:t xml:space="preserve">Four no-diffusion baselines are run through the identical downstream validation pipeline (canonicalisation, chemistry filters, Uni-Mol 3D-CNN surrogate scoring, novelty window) on the same training corpus, so that any difference reflects the generator rather than the evaluation.</w:t>
      </w:r>
    </w:p>
    <w:p>
      <w:pPr>
        <w:pStyle w:val="BodyText"/>
        <w:jc w:val="both"/>
        <w:keepNext w:val="0"/>
        <w:keepLines w:val="0"/>
        <w:widowControl w:val="1"/>
      </w:pPr>
      <w:r>
        <w:rPr>
          <w:b/>
          <w:bCs/>
        </w:rPr>
        <w:t xml:space="preserve">SMILES-LSTM.</w:t>
      </w:r>
      <w:r>
        <w:t xml:space="preserve"> </w:t>
      </w:r>
      <w:r>
        <w:t xml:space="preserve">A character-level LSTM (embedding</w:t>
      </w:r>
      <w:r>
        <w:t xml:space="preserve"> </w:t>
      </w:r>
      <m:oMath>
        <m:r>
          <m:t>o</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BodyText"/>
        <w:jc w:val="both"/>
        <w:keepNext w:val="0"/>
        <w:keepLines w:val="0"/>
        <w:widowControl w:val="1"/>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3D-CNN surrogate; the 40 000-pool best-novel candidate is carried through the full B3LYP/6-31G(d)</w:t>
      </w:r>
      <w:r>
        <w:t xml:space="preserve"> </w:t>
      </w:r>
      <m:oMath>
        <m:r>
          <m:t>o</m:t>
        </m:r>
      </m:oMath>
      <w:r>
        <w:t xml:space="preserve"> </w:t>
      </w:r>
      <m:oMath>
        <m:r>
          <m:t>ω</m:t>
        </m:r>
      </m:oMath>
      <w:r>
        <w:t xml:space="preserve">B97X-D3BJ/def2-TZVP</w:t>
      </w:r>
      <w:r>
        <w:t xml:space="preserve"> </w:t>
      </w:r>
      <m:oMath>
        <m:r>
          <m:t>o</m:t>
        </m:r>
      </m:oMath>
      <w:r>
        <w:t xml:space="preserve"> </w:t>
      </w:r>
      <w:r>
        <w:t xml:space="preserve">Kamlet–Jacobs DFT audit.</w:t>
      </w:r>
    </w:p>
    <w:p>
      <w:pPr>
        <w:pStyle w:val="BodyText"/>
        <w:jc w:val="both"/>
        <w:keepNext w:val="0"/>
        <w:keepLines w:val="0"/>
        <w:widowControl w:val="1"/>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BodyText"/>
        <w:jc w:val="both"/>
        <w:keepNext w:val="0"/>
        <w:keepLines w:val="0"/>
        <w:widowControl w:val="1"/>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 \(</w:t>
      </w:r>
      <w:r>
        <w:t xml:space="preserve"> </w:t>
      </w:r>
      <w:r>
        <w:t xml:space="preserve">ho\)/</w:t>
      </w:r>
      <m:oMath>
        <m:r>
          <m:t>D</m:t>
        </m:r>
      </m:oMath>
      <w:r>
        <w:t xml:space="preserve">/</w:t>
      </w:r>
      <m:oMath>
        <m:r>
          <m:t>P</m:t>
        </m:r>
      </m:oMath>
      <w:r>
        <w:t xml:space="preserve"> </w:t>
      </w:r>
      <w:r>
        <w:t xml:space="preserve">directly, the top-100 by N-fraction are scored post hoc on the same surrogate.</w:t>
      </w:r>
    </w:p>
    <w:p>
      <w:pPr>
        <w:pStyle w:val="BodyText"/>
        <w:jc w:val="both"/>
        <w:keepNext w:val="0"/>
        <w:keepLines w:val="0"/>
        <w:widowControl w:val="1"/>
      </w:pPr>
      <w:r>
        <w:t xml:space="preserve">All four baselines are scored on the same Uni-Mol 3D-CNN surrogate; only the SELFIES-GA best-novel candidate is carried to DFT. The reranker composite is generator-internal for SELFIES-GA, an N-fraction proxy for REINVENT 4, and uncalibrated for MolMIM, so composite values are compared within, not across, methods.</w:t>
      </w:r>
    </w:p>
    <w:bookmarkEnd w:id="99"/>
    <w:bookmarkEnd w:id="100"/>
    <w:bookmarkStart w:id="137" w:name="sec-exp"/>
    <w:p>
      <w:pPr>
        <w:pStyle w:val="Heading2"/>
        <w:keepNext/>
        <w:keepLines/>
        <w:widowControl w:val="1"/>
      </w:pPr>
      <w:r>
        <w:t xml:space="preserve">5. Experiments</w:t>
      </w:r>
    </w:p>
    <w:bookmarkStart w:id="101"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1"/>
    <w:bookmarkStart w:id="109"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top-five Pareto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5" w:name="fig-lead-cards-grid"/>
    <w:p>
      <w:pPr>
        <w:pStyle w:val="BodyText"/>
        <w:jc w:val="center"/>
        <w:keepNext/>
        <w:keepLines/>
        <w:widowControl w:val="1"/>
      </w:pPr>
      <w:r>
        <w:drawing>
          <wp:inline>
            <wp:extent cx="5943600" cy="5063204"/>
            <wp:effectExtent b="0" l="0" r="0" t="0"/>
            <wp:docPr descr="Twelve DGLD lead cards in a 3-by-4 grid" title="" id="103" name="Picture"/>
            <a:graphic>
              <a:graphicData uri="http://schemas.openxmlformats.org/drawingml/2006/picture">
                <pic:pic>
                  <pic:nvPicPr>
                    <pic:cNvPr descr="figs/fig_lead_cards_grid.png" id="104" name="Picture"/>
                    <pic:cNvPicPr>
                      <a:picLocks noChangeArrowheads="1" noChangeAspect="1"/>
                    </pic:cNvPicPr>
                  </pic:nvPicPr>
                  <pic:blipFill>
                    <a:blip r:embed="rId102"/>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t>S</m:t>
        </m:r>
      </m:oMath>
      <m:oMath>
        <m:sSub>
          <m:e>
            <m:r>
              <m:t>h</m:t>
            </m:r>
          </m:e>
          <m:sub>
            <m:r>
              <m:t>50</m:t>
            </m:r>
          </m:sub>
        </m:sSub>
      </m:oMath>
      <m:oMath>
        <m:r>
          <m:rPr>
            <m:sty m:val="p"/>
          </m:rPr>
          <m:t>≥</m:t>
        </m:r>
        <m:r>
          <m:t>1.5</m:t>
        </m:r>
      </m:oMath>
      <m:oMath>
        <m:r>
          <m:rPr>
            <m:sty m:val="p"/>
          </m:rPr>
          <m:t>&lt;</m:t>
        </m:r>
        <m:r>
          <m:t>1.5</m:t>
        </m:r>
      </m:oMath>
      <w:r>
        <w:rPr>
          <w:b/>
          <w:i/>
        </w:rPr>
        <w:t>Figure 19.</w:t>
      </w:r>
      <w:r>
        <w:rPr>
          <w:b w:val="0"/>
          <w:i/>
        </w:rPr>
        <w:t xml:space="preserve"> </w:t>
      </w:r>
      <w:r>
        <w:rPr>
          <w:b w:val="0"/>
          <w:i/>
        </w:rPr>
        <w:t>Twelve chem-pass DGLD leads (L1–L5, L9, L11, L13, L16, L18, L19, L20). Each card shows the RDKit 2D depiction, chemotype label, molecular formula, and 6-anchor-calibrated DFT/Kamlet–Jacobs (, , ) values. The dark circle (top-left) shows the Pareto rank within the merged top-100; “?” indicates a lead (L20) added from the pool=80k extension set and not assigned a top-100 rank. Top-5 leads (L1–L5) additionally show composite score  and drop-weight impact sensitivity . Border colour: green = xTB HOMO–LUMO gap  eV (electronic-stability pass); red = gap  eV (electronic-stability fail).</w:t>
      </w:r>
    </w:p>
    <w:bookmarkEnd w:id="105"/>
    <w:p>
      <w:pPr>
        <w:pStyle w:val="BodyText"/>
        <w:jc w:val="both"/>
        <w:keepNext w:val="0"/>
        <w:keepLines w:val="0"/>
        <w:widowControl w:val="1"/>
      </w:pPr>
      <w:r>
        <w:t xml:space="preserve">The top-five leads (Figure 19,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on the 3D-CNN surrogate; its 6-anchor-calibrated Kamlet–Jacobs</w:t>
      </w:r>
      <w:r>
        <w:t xml:space="preserve"> </w:t>
      </w:r>
      <m:oMath>
        <m:r>
          <m:t>D</m:t>
        </m:r>
        <m:r>
          <m:rPr>
            <m:sty m:val="p"/>
          </m:rPr>
          <m:t>=</m:t>
        </m:r>
        <m:r>
          <m:t>8.25</m:t>
        </m:r>
      </m:oMath>
      <w:r>
        <w:t xml:space="preserve"> </w:t>
      </w:r>
      <w:r>
        <w:t xml:space="preserve">km/s ranks with the calibrated HMX (7.52 km/s) and PETN (8.24 km/s)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7" name="Picture"/>
            <a:graphic>
              <a:graphicData uri="http://schemas.openxmlformats.org/drawingml/2006/picture">
                <pic:pic>
                  <pic:nvPicPr>
                    <pic:cNvPr descr="figs/fig6_pareto_v2.png" id="108" name="Picture"/>
                    <pic:cNvPicPr>
                      <a:picLocks noChangeArrowheads="1" noChangeAspect="1"/>
                    </pic:cNvPicPr>
                  </pic:nvPicPr>
                  <pic:blipFill>
                    <a:blip r:embed="rId106"/>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20.</w:t>
      </w:r>
      <w:r>
        <w:rPr>
          <w:b w:val="0"/>
          <w:i/>
        </w:rPr>
        <w:t xml:space="preserve"> </w:t>
      </w:r>
      <w:r>
        <w:rPr>
          <w:b w:val="0"/>
          <w:i/>
        </w:rPr>
        <w:t>Filtered candidates (post hard-gate): saturating-performance score (x) vs. viability classifier output (y), coloured by sensitivity proxy. Stars mark the Pareto front.</w:t>
      </w:r>
    </w:p>
    <w:bookmarkEnd w:id="109"/>
    <w:bookmarkStart w:id="114"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Appendix C.5. The 73 candidates that pass Stage 3 but not Stage 4 are accounted for in Appendix C.5 (45 rejected by Stage 2 hard filters; 28 fail K-J/imaginary-frequency/composition gates).</w:t>
      </w:r>
    </w:p>
    <w:p>
      <w:pPr>
        <w:pStyle w:val="BodyText"/>
        <w:jc w:val="both"/>
        <w:keepNext w:val="0"/>
        <w:keepLines w:val="0"/>
        <w:widowControl w:val="1"/>
      </w:pPr>
      <w:r>
        <w:rPr>
          <w:b/>
          <w:bCs/>
        </w:rPr>
        <w:t xml:space="preserve">6-anchor calibration.</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12 chem-pass leads (Figure 21).</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3D-CNN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3D-CNN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3" w:name="fig-dft-dumbbell"/>
    <w:p>
      <w:pPr>
        <w:pStyle w:val="BodyText"/>
        <w:jc w:val="center"/>
        <w:keepNext/>
        <w:keepLines/>
        <w:widowControl w:val="1"/>
      </w:pPr>
      <w:r>
        <w:drawing>
          <wp:inline>
            <wp:extent cx="5943600" cy="2667190"/>
            <wp:effectExtent b="0" l="0" r="0" t="0"/>
            <wp:docPr descr="DFT dumbbell + N-fraction residual scatter" title="" id="111" name="Picture"/>
            <a:graphic>
              <a:graphicData uri="http://schemas.openxmlformats.org/drawingml/2006/picture">
                <pic:pic>
                  <pic:nvPicPr>
                    <pic:cNvPr descr="figs/fig_dft_dumbbell.png" id="112" name="Picture"/>
                    <pic:cNvPicPr>
                      <a:picLocks noChangeArrowheads="1" noChangeAspect="1"/>
                    </pic:cNvPicPr>
                  </pic:nvPicPr>
                  <pic:blipFill>
                    <a:blip r:embed="rId110"/>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r</m:t>
        </m:r>
      </m:oMath>
      <w:r>
        <w:rPr>
          <w:b/>
          <w:i/>
        </w:rPr>
        <w:t>Figure 21.</w:t>
      </w:r>
      <w:r>
        <w:rPr>
          <w:b w:val="0"/>
          <w:i/>
        </w:rPr>
        <w:t xml:space="preserve"> </w:t>
      </w:r>
      <w:r>
        <w:rPr>
          <w:b w:val="0"/>
          <w:i/>
        </w:rPr>
        <w:t>Left: dumbbell plot connecting 3D-CNN-predicted  (blue) to anchor-calibrated DFT–K-J  (orange) for each DFT-converged lead; dotted green line is the HMX-class 9.0 km/s threshold. Right: residual vs N-fraction with linear fit and Pearson  (575-row Tier-A pool, see Table C.4).</w:t>
      </w:r>
    </w:p>
    <w:bookmarkEnd w:id="113"/>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2.</w:t>
      </w:r>
      <w:r>
        <w:rPr>
          <w:b w:val="0"/>
          <w:i/>
        </w:rPr>
        <w:t xml:space="preserve"> </w:t>
      </w:r>
      <w:r>
        <w:rPr>
          <w:b w:val="0"/>
          <w:i/>
        </w:rPr>
        <w:t>6-anchor DFT calibration (RDX, TATB, HMX, PETN, FOX-7, NTO). Linear corrections  and HOFHOF kJ/mol; LOO RMS  g/cm3 and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3.</w:t>
      </w:r>
      <w:r>
        <w:rPr>
          <w:b w:val="0"/>
          <w:i/>
        </w:rPr>
        <w:t xml:space="preserve"> </w:t>
      </w:r>
      <w:r>
        <w:rPr>
          <w:b w:val="0"/>
          <w:i/>
        </w:rPr>
        <w:t>Per-lead calibration-propagated uncertainty on K-J  and .  and  are obtained by propagating the 6-anchor LOO calibration errors ( g/cm3,  kJ/mol) through the K-J analytic sensitivity slopes in quadrature. The "K-J formula bias" column reports a per-lead estimate of the typical K-J under-prediction at the lead's N-fraction, derived from the §5.3  regression on 575 Tier-A rows; the propagated calibration uncertainty () is separate. 3D-CNN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3D-CNN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[62]</w:t>
        </w:r>
      </w:hyperlink>
      <w:hyperlink w:anchor="ref-konnov2025nitroisoxazole">
        <w:r>
          <w:rPr>
            <w:rStyle w:val="Hyperlink"/>
          </w:rPr>
          <w:t xml:space="preserve">[63]</w:t>
        </w:r>
      </w:hyperlink>
      <w:r>
        <w:t xml:space="preserve">); the isomeric 3,4,5-trinitro-1</w:t>
      </w:r>
      <w:r>
        <w:rPr>
          <w:i/>
          <w:iCs/>
        </w:rPr>
        <w:t xml:space="preserve">H</w:t>
      </w:r>
      <w:r>
        <w:t xml:space="preserve">-pyrazole</w:t>
      </w:r>
      <w:r>
        <w:t xml:space="preserve"> </w:t>
      </w:r>
      <w:hyperlink w:anchor="ref-herve2010">
        <w:r>
          <w:rPr>
            <w:rStyle w:val="Hyperlink"/>
          </w:rPr>
          <w:t xml:space="preserve">[64]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4"/>
    <w:bookmarkStart w:id="118"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6 families), not a single isoxazole hit.</w:t>
      </w:r>
    </w:p>
    <w:bookmarkStart w:id="115"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[65]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w:t>
      </w:r>
    </w:p>
    <w:p>
      <w:pPr>
        <w:pStyle w:val="TableCaption"/>
        <w:spacing w:before="280" w:after="60" w:line="240" w:lineRule="auto"/>
        <w:jc w:val="center"/>
        <w:keepNext/>
        <w:keepLines/>
        <w:widowControl w:val="1"/>
      </w:pPr>
      <w:r>
        <w:rPr>
          <w:b/>
          <w:i/>
        </w:rPr>
        <w:t>Table 4.</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bookmarkEnd w:id="115"/>
    <w:bookmarkStart w:id="116"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5).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Appendix D.14. The 1/12 hit rate quantifies a public-USPTO drug-domain template-database gap, not unsynthesisability of the candidates; an energetics-domain template extension is flagged as community follow-up in §6.</w:t>
      </w:r>
    </w:p>
    <w:p>
      <w:pPr>
        <w:pStyle w:val="TableCaption"/>
        <w:spacing w:before="280" w:after="60" w:line="240" w:lineRule="auto"/>
        <w:jc w:val="center"/>
        <w:keepNext/>
        <w:keepLines/>
        <w:widowControl w:val="1"/>
      </w:pPr>
      <w:r>
        <w:rPr>
          <w:b/>
          <w:i/>
        </w:rPr>
        <w:t>Table 5.</w:t>
      </w:r>
      <w:r>
        <w:rPr>
          <w:b w:val="0"/>
          <w:i/>
        </w:rPr>
        <w:t xml:space="preserve"> </w:t>
      </w:r>
      <w:r>
        <w:rPr>
          <w:b w:val="0"/>
          <w:i/>
        </w:rPr>
        <w:t>AiZynthFinder retrosynthetic search on three representative leads (L1 aromatic, L4 5-ring N-rich, L5 open-chain), 200 MCTS iterations / 300 s, USPTO templates + ZINC in-stock catalog. State score 0.049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49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bl>
    <w:bookmarkEnd w:id="116"/>
    <w:bookmarkStart w:id="117"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280" w:after="60" w:line="240" w:lineRule="auto"/>
        <w:jc w:val="center"/>
        <w:keepNext/>
        <w:keepLines/>
        <w:widowControl w:val="1"/>
      </w:pPr>
      <w:r>
        <w:rPr>
          <w:b/>
          <w:i/>
        </w:rPr>
        <w:t>Table 6.</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Pr>
        <w:pStyle w:val="BodyText"/>
        <w:spacing w:before="24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280" w:after="60" w:line="240" w:lineRule="auto"/>
        <w:jc w:val="center"/>
        <w:keepNext/>
        <w:keepLines/>
        <w:widowControl w:val="1"/>
      </w:pPr>
      <w:r>
        <w:rPr>
          <w:b/>
          <w:i/>
        </w:rPr>
        <w:t>Table 7.</w:t>
      </w:r>
      <w:r>
        <w:rPr>
          <w:b w:val="0"/>
          <w:i/>
        </w:rPr>
        <w:t xml:space="preserve"> </w:t>
      </w:r>
      <w:r>
        <w:rPr>
          <w:b w:val="0"/>
          <w:i/>
        </w:rPr>
        <w:t>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Pr>
        <w:pStyle w:val="BodyText"/>
        <w:spacing w:before="240"/>
        <w:jc w:val="both"/>
        <w:keepNext w:val="0"/>
        <w:keepLines w:val="0"/>
        <w:widowControl w:val="1"/>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(Appendix C.5.1). Without an oxatriazole-class anchor, E1's calibrated</w:t>
      </w:r>
      <w:r>
        <w:t xml:space="preserve"> </w:t>
      </w:r>
      <m:oMath>
        <m:r>
          <m:t>D</m:t>
        </m:r>
        <m:r>
          <m:rPr>
            <m:sty m:val="p"/>
          </m:rPr>
          <m:t>=</m:t>
        </m:r>
        <m:r>
          <m:t>9.00</m:t>
        </m:r>
      </m:oMath>
      <w:r>
        <w:t xml:space="preserve"> km/s is an extrapolation: it either places a second HMX-class lead from a chemotype family disjoint from L1's, or is an upper bound pending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(E1–E5); 8 of 9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and E1 are two HMX-class picks from chemically distinct families.</w:t>
      </w:r>
    </w:p>
    <w:bookmarkEnd w:id="117"/>
    <w:bookmarkEnd w:id="118"/>
    <w:bookmarkStart w:id="131"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8.</w:t>
      </w:r>
      <w:r>
        <w:rPr>
          <w:b w:val="0"/>
          <w:i/>
        </w:rPr>
        <w:t xml:space="preserve"> </w:t>
      </w:r>
      <w:r>
        <w:rPr>
          <w:b w:val="0"/>
          <w:i/>
        </w:rPr>
        <w:t>Top-1 comparison: SMILES-LSTM, MolMIM 70 M, SELFIES-GA, and REINVENT 4 no-diffusion baselines vs. unguided and best-novel DGLD conditions from Table 9.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3D-CNN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from Table 9.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3D-CNN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bookmarkStart w:id="122" w:name="fig-baseline-forest"/>
    <w:p>
      <w:pPr>
        <w:pStyle w:val="BodyText"/>
        <w:jc w:val="center"/>
        <w:keepNext/>
        <w:keepLines/>
        <w:widowControl w:val="1"/>
      </w:pPr>
      <w:r>
        <w:drawing>
          <wp:inline>
            <wp:extent cx="5943600" cy="3272694"/>
            <wp:effectExtent b="0" l="0" r="0" t="0"/>
            <wp:docPr descr="Forest plot of top-1 Pareto-reranker composite penalty" title="" id="120" name="Picture"/>
            <a:graphic>
              <a:graphicData uri="http://schemas.openxmlformats.org/drawingml/2006/picture">
                <pic:pic>
                  <pic:nvPicPr>
                    <pic:cNvPr descr="figs/fig_baseline_forest.png" id="121" name="Picture"/>
                    <pic:cNvPicPr>
                      <a:picLocks noChangeArrowheads="1" noChangeAspect="1"/>
                    </pic:cNvPicPr>
                  </pic:nvPicPr>
                  <pic:blipFill>
                    <a:blip r:embed="rId119"/>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22.</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2"/>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3D-CNN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3D-CNN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Appendix E</w:t>
        </w:r>
      </w:hyperlink>
      <w:r>
        <w:t xml:space="preserve"> </w:t>
      </w:r>
      <w:r>
        <w:t xml:space="preserve">lists the ten most-novel candidates from each baseline pool.</w:t>
      </w:r>
    </w:p>
    <w:bookmarkStart w:id="126"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4" name="Picture"/>
            <a:graphic>
              <a:graphicData uri="http://schemas.openxmlformats.org/drawingml/2006/picture">
                <pic:pic>
                  <pic:nvPicPr>
                    <pic:cNvPr descr="figs/fig_quadrant_scatter.png" id="125" name="Picture"/>
                    <pic:cNvPicPr>
                      <a:picLocks noChangeArrowheads="1" noChangeAspect="1"/>
                    </pic:cNvPicPr>
                  </pic:nvPicPr>
                  <pic:blipFill>
                    <a:blip r:embed="rId123"/>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23.</w:t>
      </w:r>
      <w:r>
        <w:rPr>
          <w:b w:val="0"/>
          <w:i/>
        </w:rPr>
        <w:t xml:space="preserve"> </w:t>
      </w:r>
      <w:r>
        <w:rPr>
          <w:b w:val="0"/>
          <w:i/>
        </w:rPr>
        <w:t>Productive-quadrant scatter for the 12 DFT-confirmed lead cards (11 unique)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L2–L5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km/s), REINVENT 4 (green square, N-fraction RL; top-1  km/s, novel), SELFIES-GA (purple, surrogate  DFT collapse: top-1 falls from  to  km/s under DFT audit). Source: /viab for L1–L5 from §5.2 prose;  from Table C.1b; baselines from Table 8.</w:t>
      </w:r>
    </w:p>
    <w:bookmarkEnd w:id="126"/>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24, with per-condition values in Appendix D.11.</w:t>
      </w:r>
    </w:p>
    <w:bookmarkStart w:id="130" w:name="fig-moses-panels"/>
    <w:p>
      <w:pPr>
        <w:pStyle w:val="BodyText"/>
        <w:jc w:val="center"/>
        <w:keepNext/>
        <w:keepLines/>
        <w:widowControl w:val="1"/>
      </w:pPr>
      <w:r>
        <w:drawing>
          <wp:inline>
            <wp:extent cx="5943600" cy="3335845"/>
            <wp:effectExtent b="0" l="0" r="0" t="0"/>
            <wp:docPr descr="MOSES-style distribution-learning small multiples" title="" id="128" name="Picture"/>
            <a:graphic>
              <a:graphicData uri="http://schemas.openxmlformats.org/drawingml/2006/picture">
                <pic:pic>
                  <pic:nvPicPr>
                    <pic:cNvPr descr="figs/fig_moses_small_multiples.png" id="129" name="Picture"/>
                    <pic:cNvPicPr>
                      <a:picLocks noChangeArrowheads="1" noChangeAspect="1"/>
                    </pic:cNvPicPr>
                  </pic:nvPicPr>
                  <pic:blipFill>
                    <a:blip r:embed="rId127"/>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24.</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130"/>
    <w:bookmarkEnd w:id="131"/>
    <w:bookmarkStart w:id="136"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w:t>
      </w:r>
      <w:r>
        <w:t xml:space="preserve"> </w:t>
      </w:r>
      <w:hyperlink w:anchor="sec-app-detailed-ablations">
        <w:r>
          <w:rPr>
            <w:rStyle w:val="Hyperlink"/>
          </w:rPr>
          <w:t xml:space="preserve">Appendix F</w:t>
        </w:r>
      </w:hyperlink>
      <w:r>
        <w:t xml:space="preserve">. The forest plot of effect sizes (Figure 25) summarises the guidance-axis ablations visually.</w:t>
      </w:r>
    </w:p>
    <w:p>
      <w:pPr>
        <w:pStyle w:val="TableCaption"/>
        <w:spacing w:before="280" w:after="60" w:line="240" w:lineRule="auto"/>
        <w:jc w:val="center"/>
        <w:keepNext/>
        <w:keepLines/>
        <w:widowControl w:val="1"/>
      </w:pPr>
      <w:r>
        <w:rPr>
          <w:b/>
          <w:i/>
        </w:rPr>
        <w:t>Table 9.</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km/s (+0.45); 4.6 % vs 48 %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km/s);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model-cheat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(+5×);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D.8</w:t>
            </w:r>
          </w:p>
        </w:tc>
      </w:tr>
    </w:tbl>
    <w:bookmarkStart w:id="135"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3" name="Picture"/>
            <a:graphic>
              <a:graphicData uri="http://schemas.openxmlformats.org/drawingml/2006/picture">
                <pic:pic>
                  <pic:nvPicPr>
                    <pic:cNvPr descr="figs/fig_forest_ablation.png" id="134" name="Picture"/>
                    <pic:cNvPicPr>
                      <a:picLocks noChangeArrowheads="1" noChangeAspect="1"/>
                    </pic:cNvPicPr>
                  </pic:nvPicPr>
                  <pic:blipFill>
                    <a:blip r:embed="rId132"/>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25.</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135"/>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rather than a sharp performance lift;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6"/>
    <w:bookmarkEnd w:id="137"/>
    <w:bookmarkStart w:id="138"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±0.4 km/s in</w:t>
      </w:r>
      <w:r>
        <w:t xml:space="preserve"> </w:t>
      </w:r>
      <m:oMath>
        <m:r>
          <m:t>D</m:t>
        </m:r>
      </m:oMath>
      <w:r>
        <w:t xml:space="preserve">, roughly twice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3D-CNN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A 7th-anchor extension attempt with DNTF (Appendix C.11)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3D-CNN residual reported in §5.3 is consistent with the typical disagreement between Kamlet–Jacobs and full Chapman–Jouguet thermochemical-equilibrium codes (EXPLO5, Suceská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3D-CNN</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Public USPTO retrosynthesis templates are drug-domain-biased for energetic-materials chemistry.</w:t>
      </w:r>
      <w:r>
        <w:t xml:space="preserve"> </w:t>
      </w:r>
      <w:r>
        <w:t xml:space="preserve">AiZynthFinder finds a 4-step productive route for L1 (state score 0.50) but not for the eleven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3D-CNN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8"/>
    <w:bookmarkStart w:id="140"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HMX/PETN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km/s under DFT audit; REINVENT 4 generates novel high-N heterocycles but peaks at</w:t>
      </w:r>
      <w:r>
        <w:t xml:space="preserve"> </w:t>
      </w:r>
      <m:oMath>
        <m:r>
          <m:t>D</m:t>
        </m:r>
        <m:r>
          <m:rPr>
            <m:sty m:val="p"/>
          </m:rPr>
          <m:t>=</m:t>
        </m:r>
        <m:r>
          <m:t>9.02</m:t>
        </m:r>
      </m:oMath>
      <w:r>
        <w:t xml:space="preserve"> km/s. Across all four baselines, DGLD is the only method with consistent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A second lead, E1 (4-nitro-1,2,3,5-oxatriazole), reaches</w:t>
      </w:r>
      <w:r>
        <w:t xml:space="preserve"> </w:t>
      </w:r>
      <m:oMath>
        <m:sSub>
          <m:e>
            <m:r>
              <m:t>D</m:t>
            </m:r>
          </m:e>
          <m:sub>
            <m:r>
              <m:rPr>
                <m:nor/>
                <m:sty m:val="p"/>
              </m:rPr>
              <m:t>K-J,cal</m:t>
            </m:r>
          </m:sub>
        </m:sSub>
        <m:r>
          <m:rPr>
            <m:sty m:val="p"/>
          </m:rPr>
          <m:t>=</m:t>
        </m:r>
        <m:r>
          <m:t>9.00</m:t>
        </m:r>
      </m:oMath>
      <w:r>
        <w:t xml:space="preserve"> km/s and</w:t>
      </w:r>
      <w:r>
        <w:t xml:space="preserve"> </w:t>
      </w:r>
      <m:oMath>
        <m:sSub>
          <m:e>
            <m:r>
              <m:t>ρ</m:t>
            </m:r>
          </m:e>
          <m:sub>
            <m:r>
              <m:rPr>
                <m:nor/>
                <m:sty m:val="p"/>
              </m:rPr>
              <m:t>cal</m:t>
            </m:r>
          </m:sub>
        </m:sSub>
        <m:r>
          <m:rPr>
            <m:sty m:val="p"/>
          </m:rPr>
          <m:t>=</m:t>
        </m:r>
        <m:r>
          <m:t>2.04</m:t>
        </m:r>
      </m:oMath>
      <w:r>
        <w:t xml:space="preserve"> g/cm</w:t>
      </w:r>
      <w:r>
        <w:rPr>
          <w:vertAlign w:val="superscript"/>
        </w:rPr>
        <w:t xml:space="preserve">3</w:t>
      </w:r>
      <w:r>
        <w:t xml:space="preserve"> </w:t>
      </w:r>
      <w:r>
        <w:t xml:space="preserve">from a chemotype family disjoint from the L1 isoxazole class, promoting E1 to co-headline status pending thermal stability confirmation and a 1,2,3,5-oxatriazole-class DFT anchor (§6). Two leads from two distinct scaffold families on a single sampling run rules out the alternative reading that L1's productive-quadrant placement is a sampling artefact.</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9"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The code, the trained model checkpoints (LIMO VAE, two conditional latent denoisers DGLD-H and DGLD-P, two multi-head latent score models, the SELFIES alphabet, and run metadata), the labelled, unlabelled, and motif-augmented training data, and the mined hard-negative latents are archived together as a single package on Zenodo under DOI</w:t>
      </w:r>
      <w:r>
        <w:t xml:space="preserve"> </w:t>
      </w:r>
      <w:hyperlink r:id="rId10">
        <w:r>
          <w:rPr>
            <w:rStyle w:val="VerbatimChar"/>
          </w:rPr>
          <w:t xml:space="preserve">10.5281/zenodo.19821952</w:t>
        </w:r>
      </w:hyperlink>
      <w:r>
        <w:t xml:space="preserve"> </w:t>
      </w:r>
      <w:r>
        <w:t xml:space="preserve">(concept DOI, resolving to the latest version; code under Apache-2.0, data and checkpoints under CC-BY-4.0). Sampling and post-processing scripts (the M1 head-to-head sweep, the Pareto-reranker chemist-filter + 3D-CNN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9"/>
    <w:bookmarkEnd w:id="140"/>
    <w:bookmarkStart w:id="215"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41"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41"/>
    </w:p>
    <w:p>
      <w:pPr>
        <w:pStyle w:val="ReferenceEntry"/>
        <w:spacing w:after="100"/>
        <w:ind w:left="475" w:hanging="475"/>
        <w:jc w:val="left"/>
        <w:keepNext w:val="0"/>
        <w:keepLines w:val="0"/>
        <w:widowControl w:val="1"/>
      </w:pPr>
      <w:r>
        <w:rPr>
          <w:rFonts w:ascii="Times New Roman" w:hAnsi="Times New Roman"/>
          <w:sz w:val="20"/>
        </w:rPr>
        <w:t xml:space="preserve">2. </w:t>
      </w:r>
      <w:bookmarkStart w:id="142"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42"/>
    </w:p>
    <w:p>
      <w:pPr>
        <w:pStyle w:val="ReferenceEntry"/>
        <w:spacing w:after="100"/>
        <w:ind w:left="475" w:hanging="475"/>
        <w:jc w:val="left"/>
        <w:keepNext w:val="0"/>
        <w:keepLines w:val="0"/>
        <w:widowControl w:val="1"/>
      </w:pPr>
      <w:r>
        <w:rPr>
          <w:rFonts w:ascii="Times New Roman" w:hAnsi="Times New Roman"/>
          <w:sz w:val="20"/>
        </w:rPr>
        <w:t xml:space="preserve">3. </w:t>
      </w:r>
      <w:bookmarkStart w:id="143" w:name="ref-zhou2023unimol"/>
      <w:r>
        <w:t xml:space="preserve">Zhou, G. et al. (2023). Uni-Mol: A Universal 3D Molecular Representation Learning Framework.</w:t>
      </w:r>
      <w:r>
        <w:t xml:space="preserve"> </w:t>
      </w:r>
      <w:r>
        <w:rPr>
          <w:i/>
          <w:iCs/>
        </w:rPr>
        <w:t xml:space="preserve">ICLR 2023</w:t>
      </w:r>
      <w:r>
        <w:t xml:space="preserve">.</w:t>
      </w:r>
      <w:bookmarkEnd w:id="143"/>
    </w:p>
    <w:p>
      <w:pPr>
        <w:pStyle w:val="ReferenceEntry"/>
        <w:spacing w:after="100"/>
        <w:ind w:left="475" w:hanging="475"/>
        <w:jc w:val="left"/>
        <w:keepNext w:val="0"/>
        <w:keepLines w:val="0"/>
        <w:widowControl w:val="1"/>
      </w:pPr>
      <w:r>
        <w:rPr>
          <w:rFonts w:ascii="Times New Roman" w:hAnsi="Times New Roman"/>
          <w:sz w:val="20"/>
        </w:rPr>
        <w:t xml:space="preserve">4. </w:t>
      </w:r>
      <w:bookmarkStart w:id="144" w:name="ref-ho2022cfg"/>
      <w:r>
        <w:t xml:space="preserve">Ho, J., &amp; Salimans, T. (2022). Classifier-Free Diffusion Guidance. arXiv:2207.12598.</w:t>
      </w:r>
      <w:bookmarkEnd w:id="144"/>
    </w:p>
    <w:p>
      <w:pPr>
        <w:pStyle w:val="ReferenceEntry"/>
        <w:spacing w:after="100"/>
        <w:ind w:left="475" w:hanging="475"/>
        <w:jc w:val="left"/>
        <w:keepNext w:val="0"/>
        <w:keepLines w:val="0"/>
        <w:widowControl w:val="1"/>
      </w:pPr>
      <w:r>
        <w:rPr>
          <w:rFonts w:ascii="Times New Roman" w:hAnsi="Times New Roman"/>
          <w:sz w:val="20"/>
        </w:rPr>
        <w:t xml:space="preserve">5. </w:t>
      </w:r>
      <w:bookmarkStart w:id="145"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5"/>
    </w:p>
    <w:p>
      <w:pPr>
        <w:pStyle w:val="ReferenceEntry"/>
        <w:spacing w:after="100"/>
        <w:ind w:left="475" w:hanging="475"/>
        <w:jc w:val="left"/>
        <w:keepNext w:val="0"/>
        <w:keepLines w:val="0"/>
        <w:widowControl w:val="1"/>
      </w:pPr>
      <w:r>
        <w:rPr>
          <w:rFonts w:ascii="Times New Roman" w:hAnsi="Times New Roman"/>
          <w:sz w:val="20"/>
        </w:rPr>
        <w:t xml:space="preserve">6. </w:t>
      </w:r>
      <w:bookmarkStart w:id="146"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6"/>
    </w:p>
    <w:p>
      <w:pPr>
        <w:pStyle w:val="ReferenceEntry"/>
        <w:spacing w:after="100"/>
        <w:ind w:left="475" w:hanging="475"/>
        <w:jc w:val="left"/>
        <w:keepNext w:val="0"/>
        <w:keepLines w:val="0"/>
        <w:widowControl w:val="1"/>
      </w:pPr>
      <w:r>
        <w:rPr>
          <w:rFonts w:ascii="Times New Roman" w:hAnsi="Times New Roman"/>
          <w:sz w:val="20"/>
        </w:rPr>
        <w:t xml:space="preserve">7. </w:t>
      </w:r>
      <w:bookmarkStart w:id="147"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7"/>
    </w:p>
    <w:p>
      <w:pPr>
        <w:pStyle w:val="ReferenceEntry"/>
        <w:spacing w:after="100"/>
        <w:ind w:left="475" w:hanging="475"/>
        <w:jc w:val="left"/>
        <w:keepNext w:val="0"/>
        <w:keepLines w:val="0"/>
        <w:widowControl w:val="1"/>
      </w:pPr>
      <w:r>
        <w:rPr>
          <w:rFonts w:ascii="Times New Roman" w:hAnsi="Times New Roman"/>
          <w:sz w:val="20"/>
        </w:rPr>
        <w:t xml:space="preserve">8. </w:t>
      </w:r>
      <w:bookmarkStart w:id="148"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8"/>
    </w:p>
    <w:p>
      <w:pPr>
        <w:pStyle w:val="ReferenceEntry"/>
        <w:spacing w:after="100"/>
        <w:ind w:left="475" w:hanging="475"/>
        <w:jc w:val="left"/>
        <w:keepNext w:val="0"/>
        <w:keepLines w:val="0"/>
        <w:widowControl w:val="1"/>
      </w:pPr>
      <w:r>
        <w:rPr>
          <w:rFonts w:ascii="Times New Roman" w:hAnsi="Times New Roman"/>
          <w:sz w:val="20"/>
        </w:rPr>
        <w:t xml:space="preserve">9. </w:t>
      </w:r>
      <w:bookmarkStart w:id="149"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9"/>
    </w:p>
    <w:p>
      <w:pPr>
        <w:pStyle w:val="ReferenceEntry"/>
        <w:spacing w:after="100"/>
        <w:ind w:left="475" w:hanging="475"/>
        <w:jc w:val="left"/>
        <w:keepNext w:val="0"/>
        <w:keepLines w:val="0"/>
        <w:widowControl w:val="1"/>
      </w:pPr>
      <w:r>
        <w:rPr>
          <w:rFonts w:ascii="Times New Roman" w:hAnsi="Times New Roman"/>
          <w:sz w:val="20"/>
        </w:rPr>
        <w:t xml:space="preserve">10. </w:t>
      </w:r>
      <w:bookmarkStart w:id="150"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50"/>
    </w:p>
    <w:p>
      <w:pPr>
        <w:pStyle w:val="ReferenceEntry"/>
        <w:spacing w:after="100"/>
        <w:ind w:left="475" w:hanging="475"/>
        <w:jc w:val="left"/>
        <w:keepNext w:val="0"/>
        <w:keepLines w:val="0"/>
        <w:widowControl w:val="1"/>
      </w:pPr>
      <w:r>
        <w:rPr>
          <w:rFonts w:ascii="Times New Roman" w:hAnsi="Times New Roman"/>
          <w:sz w:val="20"/>
        </w:rPr>
        <w:t xml:space="preserve">11. </w:t>
      </w:r>
      <w:bookmarkStart w:id="151" w:name="ref-reidenbach2023molmim"/>
      <w:r>
        <w:t xml:space="preserve">Reidenbach, D., Livne, M., Ilango, R. K., Gill, M., &amp; Israeli, J. (2023). MolMIM: A Molecular Language Model for Property-Guided Molecule Generation via Mutual Information Machines. (MLDD Workshop, ICLR 2023; arXiv:2208.09016).</w:t>
      </w:r>
      <w:bookmarkEnd w:id="151"/>
    </w:p>
    <w:p>
      <w:pPr>
        <w:pStyle w:val="ReferenceEntry"/>
        <w:spacing w:after="100"/>
        <w:ind w:left="475" w:hanging="475"/>
        <w:jc w:val="left"/>
        <w:keepNext w:val="0"/>
        <w:keepLines w:val="0"/>
        <w:widowControl w:val="1"/>
      </w:pPr>
      <w:r>
        <w:rPr>
          <w:rFonts w:ascii="Times New Roman" w:hAnsi="Times New Roman"/>
          <w:sz w:val="20"/>
        </w:rPr>
        <w:t xml:space="preserve">12. </w:t>
      </w:r>
      <w:bookmarkStart w:id="152" w:name="ref-jaegle2021perceiver"/>
      <w:r>
        <w:t xml:space="preserve">Jaegle, A. et al. (2021). Perceiver: General Perception with Iterative Attention.</w:t>
      </w:r>
      <w:r>
        <w:t xml:space="preserve"> </w:t>
      </w:r>
      <w:r>
        <w:rPr>
          <w:i/>
          <w:iCs/>
        </w:rPr>
        <w:t xml:space="preserve">ICML 2021</w:t>
      </w:r>
      <w:r>
        <w:t xml:space="preserve">. arXiv:2103.03206.</w:t>
      </w:r>
      <w:bookmarkEnd w:id="152"/>
    </w:p>
    <w:p>
      <w:pPr>
        <w:pStyle w:val="ReferenceEntry"/>
        <w:spacing w:after="100"/>
        <w:ind w:left="475" w:hanging="475"/>
        <w:jc w:val="left"/>
        <w:keepNext w:val="0"/>
        <w:keepLines w:val="0"/>
        <w:widowControl w:val="1"/>
      </w:pPr>
      <w:r>
        <w:rPr>
          <w:rFonts w:ascii="Times New Roman" w:hAnsi="Times New Roman"/>
          <w:sz w:val="20"/>
        </w:rPr>
        <w:t xml:space="preserve">13. </w:t>
      </w:r>
      <w:bookmarkStart w:id="153"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3"/>
    </w:p>
    <w:p>
      <w:pPr>
        <w:pStyle w:val="ReferenceEntry"/>
        <w:spacing w:after="100"/>
        <w:ind w:left="475" w:hanging="475"/>
        <w:jc w:val="left"/>
        <w:keepNext w:val="0"/>
        <w:keepLines w:val="0"/>
        <w:widowControl w:val="1"/>
      </w:pPr>
      <w:r>
        <w:rPr>
          <w:rFonts w:ascii="Times New Roman" w:hAnsi="Times New Roman"/>
          <w:sz w:val="20"/>
        </w:rPr>
        <w:t xml:space="preserve">14. </w:t>
      </w:r>
      <w:bookmarkStart w:id="154"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4"/>
    </w:p>
    <w:p>
      <w:pPr>
        <w:pStyle w:val="ReferenceEntry"/>
        <w:spacing w:after="100"/>
        <w:ind w:left="475" w:hanging="475"/>
        <w:jc w:val="left"/>
        <w:keepNext w:val="0"/>
        <w:keepLines w:val="0"/>
        <w:widowControl w:val="1"/>
      </w:pPr>
      <w:r>
        <w:rPr>
          <w:rFonts w:ascii="Times New Roman" w:hAnsi="Times New Roman"/>
          <w:sz w:val="20"/>
        </w:rPr>
        <w:t xml:space="preserve">15. </w:t>
      </w:r>
      <w:bookmarkStart w:id="155"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5"/>
    </w:p>
    <w:p>
      <w:pPr>
        <w:pStyle w:val="ReferenceEntry"/>
        <w:spacing w:after="100"/>
        <w:ind w:left="475" w:hanging="475"/>
        <w:jc w:val="left"/>
        <w:keepNext w:val="0"/>
        <w:keepLines w:val="0"/>
        <w:widowControl w:val="1"/>
      </w:pPr>
      <w:r>
        <w:rPr>
          <w:rFonts w:ascii="Times New Roman" w:hAnsi="Times New Roman"/>
          <w:sz w:val="20"/>
        </w:rPr>
        <w:t xml:space="preserve">16. </w:t>
      </w:r>
      <w:bookmarkStart w:id="156"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6"/>
    </w:p>
    <w:p>
      <w:pPr>
        <w:pStyle w:val="ReferenceEntry"/>
        <w:spacing w:after="100"/>
        <w:ind w:left="475" w:hanging="475"/>
        <w:jc w:val="left"/>
        <w:keepNext w:val="0"/>
        <w:keepLines w:val="0"/>
        <w:widowControl w:val="1"/>
      </w:pPr>
      <w:r>
        <w:rPr>
          <w:rFonts w:ascii="Times New Roman" w:hAnsi="Times New Roman"/>
          <w:sz w:val="20"/>
        </w:rPr>
        <w:t xml:space="preserve">17. </w:t>
      </w:r>
      <w:bookmarkStart w:id="157"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7"/>
    </w:p>
    <w:p>
      <w:pPr>
        <w:pStyle w:val="ReferenceEntry"/>
        <w:spacing w:after="100"/>
        <w:ind w:left="475" w:hanging="475"/>
        <w:jc w:val="left"/>
        <w:keepNext w:val="0"/>
        <w:keepLines w:val="0"/>
        <w:widowControl w:val="1"/>
      </w:pPr>
      <w:r>
        <w:rPr>
          <w:rFonts w:ascii="Times New Roman" w:hAnsi="Times New Roman"/>
          <w:sz w:val="20"/>
        </w:rPr>
        <w:t xml:space="preserve">18. </w:t>
      </w:r>
      <w:bookmarkStart w:id="158"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8"/>
    </w:p>
    <w:p>
      <w:pPr>
        <w:pStyle w:val="ReferenceEntry"/>
        <w:spacing w:after="100"/>
        <w:ind w:left="475" w:hanging="475"/>
        <w:jc w:val="left"/>
        <w:keepNext w:val="0"/>
        <w:keepLines w:val="0"/>
        <w:widowControl w:val="1"/>
      </w:pPr>
      <w:r>
        <w:rPr>
          <w:rFonts w:ascii="Times New Roman" w:hAnsi="Times New Roman"/>
          <w:sz w:val="20"/>
        </w:rPr>
        <w:t xml:space="preserve">19. </w:t>
      </w:r>
      <w:bookmarkStart w:id="159"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9"/>
    </w:p>
    <w:p>
      <w:pPr>
        <w:pStyle w:val="ReferenceEntry"/>
        <w:spacing w:after="100"/>
        <w:ind w:left="475" w:hanging="475"/>
        <w:jc w:val="left"/>
        <w:keepNext w:val="0"/>
        <w:keepLines w:val="0"/>
        <w:widowControl w:val="1"/>
      </w:pPr>
      <w:r>
        <w:rPr>
          <w:rFonts w:ascii="Times New Roman" w:hAnsi="Times New Roman"/>
          <w:sz w:val="20"/>
        </w:rPr>
        <w:t xml:space="preserve">20. </w:t>
      </w:r>
      <w:bookmarkStart w:id="160" w:name="ref-vignac2023digress"/>
      <w:r>
        <w:t xml:space="preserve">Vignac, C. et al. (2023). DiGress: Discrete Denoising Diffusion for Graph Generation.</w:t>
      </w:r>
      <w:r>
        <w:t xml:space="preserve"> </w:t>
      </w:r>
      <w:r>
        <w:rPr>
          <w:i/>
          <w:iCs/>
        </w:rPr>
        <w:t xml:space="preserve">ICLR 2023</w:t>
      </w:r>
      <w:r>
        <w:t xml:space="preserve">. arXiv:2209.14734.</w:t>
      </w:r>
      <w:bookmarkEnd w:id="160"/>
    </w:p>
    <w:p>
      <w:pPr>
        <w:pStyle w:val="ReferenceEntry"/>
        <w:spacing w:after="100"/>
        <w:ind w:left="475" w:hanging="475"/>
        <w:jc w:val="left"/>
        <w:keepNext w:val="0"/>
        <w:keepLines w:val="0"/>
        <w:widowControl w:val="1"/>
      </w:pPr>
      <w:r>
        <w:rPr>
          <w:rFonts w:ascii="Times New Roman" w:hAnsi="Times New Roman"/>
          <w:sz w:val="20"/>
        </w:rPr>
        <w:t xml:space="preserve">21. </w:t>
      </w:r>
      <w:bookmarkStart w:id="161" w:name="ref-ho2020ddpm"/>
      <w:r>
        <w:t xml:space="preserve">Ho, J., Jain, A., &amp; Abbeel, P. (2020). Denoising Diffusion Probabilistic Models.</w:t>
      </w:r>
      <w:r>
        <w:t xml:space="preserve"> </w:t>
      </w:r>
      <w:r>
        <w:rPr>
          <w:i/>
          <w:iCs/>
        </w:rPr>
        <w:t xml:space="preserve">NeurIPS 2020</w:t>
      </w:r>
      <w:r>
        <w:t xml:space="preserve">. arXiv:2006.11239.</w:t>
      </w:r>
      <w:bookmarkEnd w:id="161"/>
    </w:p>
    <w:p>
      <w:pPr>
        <w:pStyle w:val="ReferenceEntry"/>
        <w:spacing w:after="100"/>
        <w:ind w:left="475" w:hanging="475"/>
        <w:jc w:val="left"/>
        <w:keepNext w:val="0"/>
        <w:keepLines w:val="0"/>
        <w:widowControl w:val="1"/>
      </w:pPr>
      <w:r>
        <w:rPr>
          <w:rFonts w:ascii="Times New Roman" w:hAnsi="Times New Roman"/>
          <w:sz w:val="20"/>
        </w:rPr>
        <w:t xml:space="preserve">22. </w:t>
      </w:r>
      <w:bookmarkStart w:id="162"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2"/>
    </w:p>
    <w:p>
      <w:pPr>
        <w:pStyle w:val="ReferenceEntry"/>
        <w:spacing w:after="100"/>
        <w:ind w:left="475" w:hanging="475"/>
        <w:jc w:val="left"/>
        <w:keepNext w:val="0"/>
        <w:keepLines w:val="0"/>
        <w:widowControl w:val="1"/>
      </w:pPr>
      <w:r>
        <w:rPr>
          <w:rFonts w:ascii="Times New Roman" w:hAnsi="Times New Roman"/>
          <w:sz w:val="20"/>
        </w:rPr>
        <w:t xml:space="preserve">23. </w:t>
      </w:r>
      <w:bookmarkStart w:id="163"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3"/>
    </w:p>
    <w:p>
      <w:pPr>
        <w:pStyle w:val="ReferenceEntry"/>
        <w:spacing w:after="100"/>
        <w:ind w:left="475" w:hanging="475"/>
        <w:jc w:val="left"/>
        <w:keepNext w:val="0"/>
        <w:keepLines w:val="0"/>
        <w:widowControl w:val="1"/>
      </w:pPr>
      <w:r>
        <w:rPr>
          <w:rFonts w:ascii="Times New Roman" w:hAnsi="Times New Roman"/>
          <w:sz w:val="20"/>
        </w:rPr>
        <w:t xml:space="preserve">24. </w:t>
      </w:r>
      <w:bookmarkStart w:id="164"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4"/>
    </w:p>
    <w:p>
      <w:pPr>
        <w:pStyle w:val="ReferenceEntry"/>
        <w:spacing w:after="100"/>
        <w:ind w:left="475" w:hanging="475"/>
        <w:jc w:val="left"/>
        <w:keepNext w:val="0"/>
        <w:keepLines w:val="0"/>
        <w:widowControl w:val="1"/>
      </w:pPr>
      <w:r>
        <w:rPr>
          <w:rFonts w:ascii="Times New Roman" w:hAnsi="Times New Roman"/>
          <w:sz w:val="20"/>
        </w:rPr>
        <w:t xml:space="preserve">25. </w:t>
      </w:r>
      <w:bookmarkStart w:id="165"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5"/>
    </w:p>
    <w:p>
      <w:pPr>
        <w:pStyle w:val="ReferenceEntry"/>
        <w:spacing w:after="100"/>
        <w:ind w:left="475" w:hanging="475"/>
        <w:jc w:val="left"/>
        <w:keepNext w:val="0"/>
        <w:keepLines w:val="0"/>
        <w:widowControl w:val="1"/>
      </w:pPr>
      <w:r>
        <w:rPr>
          <w:rFonts w:ascii="Times New Roman" w:hAnsi="Times New Roman"/>
          <w:sz w:val="20"/>
        </w:rPr>
        <w:t xml:space="preserve">26. </w:t>
      </w:r>
      <w:bookmarkStart w:id="166"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6"/>
    </w:p>
    <w:p>
      <w:pPr>
        <w:pStyle w:val="ReferenceEntry"/>
        <w:spacing w:after="100"/>
        <w:ind w:left="475" w:hanging="475"/>
        <w:jc w:val="left"/>
        <w:keepNext w:val="0"/>
        <w:keepLines w:val="0"/>
        <w:widowControl w:val="1"/>
      </w:pPr>
      <w:r>
        <w:rPr>
          <w:rFonts w:ascii="Times New Roman" w:hAnsi="Times New Roman"/>
          <w:sz w:val="20"/>
        </w:rPr>
        <w:t xml:space="preserve">27. </w:t>
      </w:r>
      <w:bookmarkStart w:id="167"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7"/>
    </w:p>
    <w:p>
      <w:pPr>
        <w:pStyle w:val="ReferenceEntry"/>
        <w:spacing w:after="100"/>
        <w:ind w:left="475" w:hanging="475"/>
        <w:jc w:val="left"/>
        <w:keepNext w:val="0"/>
        <w:keepLines w:val="0"/>
        <w:widowControl w:val="1"/>
      </w:pPr>
      <w:r>
        <w:rPr>
          <w:rFonts w:ascii="Times New Roman" w:hAnsi="Times New Roman"/>
          <w:sz w:val="20"/>
        </w:rPr>
        <w:t xml:space="preserve">28. </w:t>
      </w:r>
      <w:bookmarkStart w:id="168"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8"/>
    </w:p>
    <w:p>
      <w:pPr>
        <w:pStyle w:val="ReferenceEntry"/>
        <w:spacing w:after="100"/>
        <w:ind w:left="475" w:hanging="475"/>
        <w:jc w:val="left"/>
        <w:keepNext w:val="0"/>
        <w:keepLines w:val="0"/>
        <w:widowControl w:val="1"/>
      </w:pPr>
      <w:r>
        <w:rPr>
          <w:rFonts w:ascii="Times New Roman" w:hAnsi="Times New Roman"/>
          <w:sz w:val="20"/>
        </w:rPr>
        <w:t xml:space="preserve">29. </w:t>
      </w:r>
      <w:bookmarkStart w:id="169"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9"/>
    </w:p>
    <w:p>
      <w:pPr>
        <w:pStyle w:val="ReferenceEntry"/>
        <w:spacing w:after="100"/>
        <w:ind w:left="475" w:hanging="475"/>
        <w:jc w:val="left"/>
        <w:keepNext w:val="0"/>
        <w:keepLines w:val="0"/>
        <w:widowControl w:val="1"/>
      </w:pPr>
      <w:r>
        <w:rPr>
          <w:rFonts w:ascii="Times New Roman" w:hAnsi="Times New Roman"/>
          <w:sz w:val="20"/>
        </w:rPr>
        <w:t xml:space="preserve">30. </w:t>
      </w:r>
      <w:bookmarkStart w:id="170"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70"/>
    </w:p>
    <w:p>
      <w:pPr>
        <w:pStyle w:val="ReferenceEntry"/>
        <w:spacing w:after="100"/>
        <w:ind w:left="475" w:hanging="475"/>
        <w:jc w:val="left"/>
        <w:keepNext w:val="0"/>
        <w:keepLines w:val="0"/>
        <w:widowControl w:val="1"/>
      </w:pPr>
      <w:r>
        <w:rPr>
          <w:rFonts w:ascii="Times New Roman" w:hAnsi="Times New Roman"/>
          <w:sz w:val="20"/>
        </w:rPr>
        <w:t xml:space="preserve">31. </w:t>
      </w:r>
      <w:bookmarkStart w:id="171"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1"/>
    </w:p>
    <w:p>
      <w:pPr>
        <w:pStyle w:val="ReferenceEntry"/>
        <w:spacing w:after="100"/>
        <w:ind w:left="475" w:hanging="475"/>
        <w:jc w:val="left"/>
        <w:keepNext w:val="0"/>
        <w:keepLines w:val="0"/>
        <w:widowControl w:val="1"/>
      </w:pPr>
      <w:r>
        <w:rPr>
          <w:rFonts w:ascii="Times New Roman" w:hAnsi="Times New Roman"/>
          <w:sz w:val="20"/>
        </w:rPr>
        <w:t xml:space="preserve">32. </w:t>
      </w:r>
      <w:bookmarkStart w:id="172"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2"/>
    </w:p>
    <w:p>
      <w:pPr>
        <w:pStyle w:val="ReferenceEntry"/>
        <w:spacing w:after="100"/>
        <w:ind w:left="475" w:hanging="475"/>
        <w:jc w:val="left"/>
        <w:keepNext w:val="0"/>
        <w:keepLines w:val="0"/>
        <w:widowControl w:val="1"/>
      </w:pPr>
      <w:r>
        <w:rPr>
          <w:rFonts w:ascii="Times New Roman" w:hAnsi="Times New Roman"/>
          <w:sz w:val="20"/>
        </w:rPr>
        <w:t xml:space="preserve">33. </w:t>
      </w:r>
      <w:bookmarkStart w:id="173"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3"/>
    </w:p>
    <w:p>
      <w:pPr>
        <w:pStyle w:val="ReferenceEntry"/>
        <w:spacing w:after="100"/>
        <w:ind w:left="475" w:hanging="475"/>
        <w:jc w:val="left"/>
        <w:keepNext w:val="0"/>
        <w:keepLines w:val="0"/>
        <w:widowControl w:val="1"/>
      </w:pPr>
      <w:r>
        <w:rPr>
          <w:rFonts w:ascii="Times New Roman" w:hAnsi="Times New Roman"/>
          <w:sz w:val="20"/>
        </w:rPr>
        <w:t xml:space="preserve">34. </w:t>
      </w:r>
      <w:bookmarkStart w:id="174"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4"/>
    </w:p>
    <w:p>
      <w:pPr>
        <w:pStyle w:val="ReferenceEntry"/>
        <w:spacing w:after="100"/>
        <w:ind w:left="475" w:hanging="475"/>
        <w:jc w:val="left"/>
        <w:keepNext w:val="0"/>
        <w:keepLines w:val="0"/>
        <w:widowControl w:val="1"/>
      </w:pPr>
      <w:r>
        <w:rPr>
          <w:rFonts w:ascii="Times New Roman" w:hAnsi="Times New Roman"/>
          <w:sz w:val="20"/>
        </w:rPr>
        <w:t xml:space="preserve">35. </w:t>
      </w:r>
      <w:bookmarkStart w:id="175"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5"/>
    </w:p>
    <w:p>
      <w:pPr>
        <w:pStyle w:val="ReferenceEntry"/>
        <w:spacing w:after="100"/>
        <w:ind w:left="475" w:hanging="475"/>
        <w:jc w:val="left"/>
        <w:keepNext w:val="0"/>
        <w:keepLines w:val="0"/>
        <w:widowControl w:val="1"/>
      </w:pPr>
      <w:r>
        <w:rPr>
          <w:rFonts w:ascii="Times New Roman" w:hAnsi="Times New Roman"/>
          <w:sz w:val="20"/>
        </w:rPr>
        <w:t xml:space="preserve">36. </w:t>
      </w:r>
      <w:bookmarkStart w:id="176"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6"/>
    </w:p>
    <w:p>
      <w:pPr>
        <w:pStyle w:val="ReferenceEntry"/>
        <w:spacing w:after="100"/>
        <w:ind w:left="475" w:hanging="475"/>
        <w:jc w:val="left"/>
        <w:keepNext w:val="0"/>
        <w:keepLines w:val="0"/>
        <w:widowControl w:val="1"/>
      </w:pPr>
      <w:r>
        <w:rPr>
          <w:rFonts w:ascii="Times New Roman" w:hAnsi="Times New Roman"/>
          <w:sz w:val="20"/>
        </w:rPr>
        <w:t xml:space="preserve">37. </w:t>
      </w:r>
      <w:bookmarkStart w:id="177"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7"/>
    </w:p>
    <w:p>
      <w:pPr>
        <w:pStyle w:val="ReferenceEntry"/>
        <w:spacing w:after="100"/>
        <w:ind w:left="475" w:hanging="475"/>
        <w:jc w:val="left"/>
        <w:keepNext w:val="0"/>
        <w:keepLines w:val="0"/>
        <w:widowControl w:val="1"/>
      </w:pPr>
      <w:r>
        <w:rPr>
          <w:rFonts w:ascii="Times New Roman" w:hAnsi="Times New Roman"/>
          <w:sz w:val="20"/>
        </w:rPr>
        <w:t xml:space="preserve">38. </w:t>
      </w:r>
      <w:bookmarkStart w:id="178"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8"/>
    </w:p>
    <w:p>
      <w:pPr>
        <w:pStyle w:val="ReferenceEntry"/>
        <w:spacing w:after="100"/>
        <w:ind w:left="475" w:hanging="475"/>
        <w:jc w:val="left"/>
        <w:keepNext w:val="0"/>
        <w:keepLines w:val="0"/>
        <w:widowControl w:val="1"/>
      </w:pPr>
      <w:r>
        <w:rPr>
          <w:rFonts w:ascii="Times New Roman" w:hAnsi="Times New Roman"/>
          <w:sz w:val="20"/>
        </w:rPr>
        <w:t xml:space="preserve">39. </w:t>
      </w:r>
      <w:bookmarkStart w:id="179"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9"/>
    </w:p>
    <w:p>
      <w:pPr>
        <w:pStyle w:val="ReferenceEntry"/>
        <w:spacing w:after="100"/>
        <w:ind w:left="475" w:hanging="475"/>
        <w:jc w:val="left"/>
        <w:keepNext w:val="0"/>
        <w:keepLines w:val="0"/>
        <w:widowControl w:val="1"/>
      </w:pPr>
      <w:r>
        <w:rPr>
          <w:rFonts w:ascii="Times New Roman" w:hAnsi="Times New Roman"/>
          <w:sz w:val="20"/>
        </w:rPr>
        <w:t xml:space="preserve">40. </w:t>
      </w:r>
      <w:bookmarkStart w:id="180"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80"/>
    </w:p>
    <w:p>
      <w:pPr>
        <w:pStyle w:val="ReferenceEntry"/>
        <w:spacing w:after="100"/>
        <w:ind w:left="475" w:hanging="475"/>
        <w:jc w:val="left"/>
        <w:keepNext w:val="0"/>
        <w:keepLines w:val="0"/>
        <w:widowControl w:val="1"/>
      </w:pPr>
      <w:r>
        <w:rPr>
          <w:rFonts w:ascii="Times New Roman" w:hAnsi="Times New Roman"/>
          <w:sz w:val="20"/>
        </w:rPr>
        <w:t xml:space="preserve">41. </w:t>
      </w:r>
      <w:bookmarkStart w:id="181"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1"/>
    </w:p>
    <w:p>
      <w:pPr>
        <w:pStyle w:val="ReferenceEntry"/>
        <w:spacing w:after="100"/>
        <w:ind w:left="475" w:hanging="475"/>
        <w:jc w:val="left"/>
        <w:keepNext w:val="0"/>
        <w:keepLines w:val="0"/>
        <w:widowControl w:val="1"/>
      </w:pPr>
      <w:r>
        <w:rPr>
          <w:rFonts w:ascii="Times New Roman" w:hAnsi="Times New Roman"/>
          <w:sz w:val="20"/>
        </w:rPr>
        <w:t xml:space="preserve">42. </w:t>
      </w:r>
      <w:bookmarkStart w:id="182"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2"/>
    </w:p>
    <w:p>
      <w:pPr>
        <w:pStyle w:val="ReferenceEntry"/>
        <w:spacing w:after="100"/>
        <w:ind w:left="475" w:hanging="475"/>
        <w:jc w:val="left"/>
        <w:keepNext w:val="0"/>
        <w:keepLines w:val="0"/>
        <w:widowControl w:val="1"/>
      </w:pPr>
      <w:r>
        <w:rPr>
          <w:rFonts w:ascii="Times New Roman" w:hAnsi="Times New Roman"/>
          <w:sz w:val="20"/>
        </w:rPr>
        <w:t xml:space="preserve">43. </w:t>
      </w:r>
      <w:bookmarkStart w:id="183" w:name="ref-klapotke2017nitrogen"/>
      <w:r>
        <w:t xml:space="preserve">Klapötke, T. M.</w:t>
      </w:r>
      <w:r>
        <w:t xml:space="preserve"> </w:t>
      </w:r>
      <w:r>
        <w:rPr>
          <w:i/>
          <w:iCs/>
        </w:rPr>
        <w:t xml:space="preserve">Chemistry of High-Energy Materials</w:t>
      </w:r>
      <w:r>
        <w:t xml:space="preserve">, 5th ed. (de Gruyter, 2019). doi:10.1515/9783110624571.</w:t>
      </w:r>
      <w:bookmarkEnd w:id="183"/>
    </w:p>
    <w:p>
      <w:pPr>
        <w:pStyle w:val="ReferenceEntry"/>
        <w:spacing w:after="100"/>
        <w:ind w:left="475" w:hanging="475"/>
        <w:jc w:val="left"/>
        <w:keepNext w:val="0"/>
        <w:keepLines w:val="0"/>
        <w:widowControl w:val="1"/>
      </w:pPr>
      <w:r>
        <w:rPr>
          <w:rFonts w:ascii="Times New Roman" w:hAnsi="Times New Roman"/>
          <w:sz w:val="20"/>
        </w:rPr>
        <w:t xml:space="preserve">44. </w:t>
      </w:r>
      <w:bookmarkStart w:id="184"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4"/>
    </w:p>
    <w:p>
      <w:pPr>
        <w:pStyle w:val="ReferenceEntry"/>
        <w:spacing w:after="100"/>
        <w:ind w:left="475" w:hanging="475"/>
        <w:jc w:val="left"/>
        <w:keepNext w:val="0"/>
        <w:keepLines w:val="0"/>
        <w:widowControl w:val="1"/>
      </w:pPr>
      <w:r>
        <w:rPr>
          <w:rFonts w:ascii="Times New Roman" w:hAnsi="Times New Roman"/>
          <w:sz w:val="20"/>
        </w:rPr>
        <w:t xml:space="preserve">45. </w:t>
      </w:r>
      <w:bookmarkStart w:id="185"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5"/>
    </w:p>
    <w:p>
      <w:pPr>
        <w:pStyle w:val="ReferenceEntry"/>
        <w:spacing w:after="100"/>
        <w:ind w:left="475" w:hanging="475"/>
        <w:jc w:val="left"/>
        <w:keepNext w:val="0"/>
        <w:keepLines w:val="0"/>
        <w:widowControl w:val="1"/>
      </w:pPr>
      <w:r>
        <w:rPr>
          <w:rFonts w:ascii="Times New Roman" w:hAnsi="Times New Roman"/>
          <w:sz w:val="20"/>
        </w:rPr>
        <w:t xml:space="preserve">46. </w:t>
      </w:r>
      <w:bookmarkStart w:id="186"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6"/>
    </w:p>
    <w:p>
      <w:pPr>
        <w:pStyle w:val="ReferenceEntry"/>
        <w:spacing w:after="100"/>
        <w:ind w:left="475" w:hanging="475"/>
        <w:jc w:val="left"/>
        <w:keepNext w:val="0"/>
        <w:keepLines w:val="0"/>
        <w:widowControl w:val="1"/>
      </w:pPr>
      <w:r>
        <w:rPr>
          <w:rFonts w:ascii="Times New Roman" w:hAnsi="Times New Roman"/>
          <w:sz w:val="20"/>
        </w:rPr>
        <w:t xml:space="preserve">47. </w:t>
      </w:r>
      <w:bookmarkStart w:id="187"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7"/>
    </w:p>
    <w:p>
      <w:pPr>
        <w:pStyle w:val="ReferenceEntry"/>
        <w:spacing w:after="100"/>
        <w:ind w:left="475" w:hanging="475"/>
        <w:jc w:val="left"/>
        <w:keepNext w:val="0"/>
        <w:keepLines w:val="0"/>
        <w:widowControl w:val="1"/>
      </w:pPr>
      <w:r>
        <w:rPr>
          <w:rFonts w:ascii="Times New Roman" w:hAnsi="Times New Roman"/>
          <w:sz w:val="20"/>
        </w:rPr>
        <w:t xml:space="preserve">48. </w:t>
      </w:r>
      <w:bookmarkStart w:id="188"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8"/>
    </w:p>
    <w:p>
      <w:pPr>
        <w:pStyle w:val="ReferenceEntry"/>
        <w:spacing w:after="100"/>
        <w:ind w:left="475" w:hanging="475"/>
        <w:jc w:val="left"/>
        <w:keepNext w:val="0"/>
        <w:keepLines w:val="0"/>
        <w:widowControl w:val="1"/>
      </w:pPr>
      <w:r>
        <w:rPr>
          <w:rFonts w:ascii="Times New Roman" w:hAnsi="Times New Roman"/>
          <w:sz w:val="20"/>
        </w:rPr>
        <w:t xml:space="preserve">49. </w:t>
      </w:r>
      <w:bookmarkStart w:id="189"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9"/>
    </w:p>
    <w:p>
      <w:pPr>
        <w:pStyle w:val="ReferenceEntry"/>
        <w:spacing w:after="100"/>
        <w:ind w:left="475" w:hanging="475"/>
        <w:jc w:val="left"/>
        <w:keepNext w:val="0"/>
        <w:keepLines w:val="0"/>
        <w:widowControl w:val="1"/>
      </w:pPr>
      <w:r>
        <w:rPr>
          <w:rFonts w:ascii="Times New Roman" w:hAnsi="Times New Roman"/>
          <w:sz w:val="20"/>
        </w:rPr>
        <w:t xml:space="preserve">50. </w:t>
      </w:r>
      <w:bookmarkStart w:id="190"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0"/>
    </w:p>
    <w:p>
      <w:pPr>
        <w:pStyle w:val="ReferenceEntry"/>
        <w:spacing w:after="100"/>
        <w:ind w:left="475" w:hanging="475"/>
        <w:jc w:val="left"/>
        <w:keepNext w:val="0"/>
        <w:keepLines w:val="0"/>
        <w:widowControl w:val="1"/>
      </w:pPr>
      <w:r>
        <w:rPr>
          <w:rFonts w:ascii="Times New Roman" w:hAnsi="Times New Roman"/>
          <w:sz w:val="20"/>
        </w:rPr>
        <w:t xml:space="preserve">51. </w:t>
      </w:r>
      <w:bookmarkStart w:id="191"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1"/>
    </w:p>
    <w:p>
      <w:pPr>
        <w:pStyle w:val="ReferenceEntry"/>
        <w:spacing w:after="100"/>
        <w:ind w:left="475" w:hanging="475"/>
        <w:jc w:val="left"/>
        <w:keepNext w:val="0"/>
        <w:keepLines w:val="0"/>
        <w:widowControl w:val="1"/>
      </w:pPr>
      <w:r>
        <w:rPr>
          <w:rFonts w:ascii="Times New Roman" w:hAnsi="Times New Roman"/>
          <w:sz w:val="20"/>
        </w:rPr>
        <w:t xml:space="preserve">52. </w:t>
      </w:r>
      <w:bookmarkStart w:id="192" w:name="ref-reymond2015gdb"/>
      <w:r>
        <w:t xml:space="preserve">Reymond, J.-L. (2015). The chemical space project.</w:t>
      </w:r>
      <w:r>
        <w:t xml:space="preserve"> </w:t>
      </w:r>
      <w:r>
        <w:rPr>
          <w:i/>
          <w:iCs/>
        </w:rPr>
        <w:t xml:space="preserve">Acc. Chem. Res. 48(3)</w:t>
      </w:r>
      <w:r>
        <w:t xml:space="preserve">:722–730.</w:t>
      </w:r>
      <w:bookmarkEnd w:id="192"/>
    </w:p>
    <w:p>
      <w:pPr>
        <w:pStyle w:val="ReferenceEntry"/>
        <w:spacing w:after="100"/>
        <w:ind w:left="475" w:hanging="475"/>
        <w:jc w:val="left"/>
        <w:keepNext w:val="0"/>
        <w:keepLines w:val="0"/>
        <w:widowControl w:val="1"/>
      </w:pPr>
      <w:r>
        <w:rPr>
          <w:rFonts w:ascii="Times New Roman" w:hAnsi="Times New Roman"/>
          <w:sz w:val="20"/>
        </w:rPr>
        <w:t xml:space="preserve">53. </w:t>
      </w:r>
      <w:bookmarkStart w:id="193"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3"/>
    </w:p>
    <w:p>
      <w:pPr>
        <w:pStyle w:val="ReferenceEntry"/>
        <w:spacing w:after="100"/>
        <w:ind w:left="475" w:hanging="475"/>
        <w:jc w:val="left"/>
        <w:keepNext w:val="0"/>
        <w:keepLines w:val="0"/>
        <w:widowControl w:val="1"/>
      </w:pPr>
      <w:r>
        <w:rPr>
          <w:rFonts w:ascii="Times New Roman" w:hAnsi="Times New Roman"/>
          <w:sz w:val="20"/>
        </w:rPr>
        <w:t xml:space="preserve">54. </w:t>
      </w:r>
      <w:bookmarkStart w:id="194"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4"/>
    </w:p>
    <w:p>
      <w:pPr>
        <w:pStyle w:val="ReferenceEntry"/>
        <w:spacing w:after="100"/>
        <w:ind w:left="475" w:hanging="475"/>
        <w:jc w:val="left"/>
        <w:keepNext w:val="0"/>
        <w:keepLines w:val="0"/>
        <w:widowControl w:val="1"/>
      </w:pPr>
      <w:r>
        <w:rPr>
          <w:rFonts w:ascii="Times New Roman" w:hAnsi="Times New Roman"/>
          <w:sz w:val="20"/>
        </w:rPr>
        <w:t xml:space="preserve">55. </w:t>
      </w:r>
      <w:bookmarkStart w:id="195" w:name="ref-rogers1960computer"/>
      <w:r>
        <w:t xml:space="preserve">Rogers, D. J., &amp; Tanimoto, T. T. (1960). A Computer Program for Classifying Plants.</w:t>
      </w:r>
      <w:r>
        <w:t xml:space="preserve"> </w:t>
      </w:r>
      <w:r>
        <w:rPr>
          <w:i/>
          <w:iCs/>
        </w:rPr>
        <w:t xml:space="preserve">Science 132(3434)</w:t>
      </w:r>
      <w:r>
        <w:t xml:space="preserve">:1115–1118.</w:t>
      </w:r>
      <w:bookmarkEnd w:id="195"/>
    </w:p>
    <w:p>
      <w:pPr>
        <w:pStyle w:val="ReferenceEntry"/>
        <w:spacing w:after="100"/>
        <w:ind w:left="475" w:hanging="475"/>
        <w:jc w:val="left"/>
        <w:keepNext w:val="0"/>
        <w:keepLines w:val="0"/>
        <w:widowControl w:val="1"/>
      </w:pPr>
      <w:r>
        <w:rPr>
          <w:rFonts w:ascii="Times New Roman" w:hAnsi="Times New Roman"/>
          <w:sz w:val="20"/>
        </w:rPr>
        <w:t xml:space="preserve">56. </w:t>
      </w:r>
      <w:bookmarkStart w:id="196"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6"/>
    </w:p>
    <w:p>
      <w:pPr>
        <w:pStyle w:val="ReferenceEntry"/>
        <w:spacing w:after="100"/>
        <w:ind w:left="475" w:hanging="475"/>
        <w:jc w:val="left"/>
        <w:keepNext w:val="0"/>
        <w:keepLines w:val="0"/>
        <w:widowControl w:val="1"/>
      </w:pPr>
      <w:r>
        <w:rPr>
          <w:rFonts w:ascii="Times New Roman" w:hAnsi="Times New Roman"/>
          <w:sz w:val="20"/>
        </w:rPr>
        <w:t xml:space="preserve">57. </w:t>
      </w:r>
      <w:bookmarkStart w:id="197"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7"/>
    </w:p>
    <w:p>
      <w:pPr>
        <w:pStyle w:val="ReferenceEntry"/>
        <w:spacing w:after="100"/>
        <w:ind w:left="475" w:hanging="475"/>
        <w:jc w:val="left"/>
        <w:keepNext w:val="0"/>
        <w:keepLines w:val="0"/>
        <w:widowControl w:val="1"/>
      </w:pPr>
      <w:r>
        <w:rPr>
          <w:rFonts w:ascii="Times New Roman" w:hAnsi="Times New Roman"/>
          <w:sz w:val="20"/>
        </w:rPr>
        <w:t xml:space="preserve">58. </w:t>
      </w:r>
      <w:bookmarkStart w:id="198"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8"/>
    </w:p>
    <w:p>
      <w:pPr>
        <w:pStyle w:val="ReferenceEntry"/>
        <w:spacing w:after="100"/>
        <w:ind w:left="475" w:hanging="475"/>
        <w:jc w:val="left"/>
        <w:keepNext w:val="0"/>
        <w:keepLines w:val="0"/>
        <w:widowControl w:val="1"/>
      </w:pPr>
      <w:r>
        <w:rPr>
          <w:rFonts w:ascii="Times New Roman" w:hAnsi="Times New Roman"/>
          <w:sz w:val="20"/>
        </w:rPr>
        <w:t xml:space="preserve">59. </w:t>
      </w:r>
      <w:bookmarkStart w:id="199"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9"/>
    </w:p>
    <w:p>
      <w:pPr>
        <w:pStyle w:val="ReferenceEntry"/>
        <w:spacing w:after="100"/>
        <w:ind w:left="475" w:hanging="475"/>
        <w:jc w:val="left"/>
        <w:keepNext w:val="0"/>
        <w:keepLines w:val="0"/>
        <w:widowControl w:val="1"/>
      </w:pPr>
      <w:r>
        <w:rPr>
          <w:rFonts w:ascii="Times New Roman" w:hAnsi="Times New Roman"/>
          <w:sz w:val="20"/>
        </w:rPr>
        <w:t xml:space="preserve">60. </w:t>
      </w:r>
      <w:bookmarkStart w:id="201" w:name="ref-landrum2024rdkit"/>
      <w:r>
        <w:t xml:space="preserve">Landrum, G., &amp; contributors. RDKit: Open-source cheminformatics.</w:t>
      </w:r>
      <w:r>
        <w:t xml:space="preserve"> </w:t>
      </w:r>
      <w:hyperlink r:id="rId200">
        <w:r>
          <w:rPr>
            <w:rStyle w:val="Hyperlink"/>
          </w:rPr>
          <w:t xml:space="preserve">rdkit.org</w:t>
        </w:r>
      </w:hyperlink>
      <w:r>
        <w:t xml:space="preserve">.</w:t>
      </w:r>
      <w:bookmarkEnd w:id="201"/>
    </w:p>
    <w:p>
      <w:pPr>
        <w:pStyle w:val="ReferenceEntry"/>
        <w:spacing w:after="100"/>
        <w:ind w:left="475" w:hanging="475"/>
        <w:jc w:val="left"/>
        <w:keepNext w:val="0"/>
        <w:keepLines w:val="0"/>
        <w:widowControl w:val="1"/>
      </w:pPr>
      <w:r>
        <w:rPr>
          <w:rFonts w:ascii="Times New Roman" w:hAnsi="Times New Roman"/>
          <w:sz w:val="20"/>
        </w:rPr>
        <w:t xml:space="preserve">61. </w:t>
      </w:r>
      <w:bookmarkStart w:id="203" w:name="ref-daylight-smarts"/>
      <w:r>
        <w:t xml:space="preserve">Daylight Chemical Information Systems. (2007). SMARTS: A Language for Describing Molecular Patterns. Daylight Theory Manual, Aliso Viejo, CA.</w:t>
      </w:r>
      <w:r>
        <w:t xml:space="preserve"> </w:t>
      </w:r>
      <w:hyperlink r:id="rId202">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203"/>
    </w:p>
    <w:p>
      <w:pPr>
        <w:pStyle w:val="ReferenceEntry"/>
        <w:spacing w:after="100"/>
        <w:ind w:left="475" w:hanging="475"/>
        <w:jc w:val="left"/>
        <w:keepNext w:val="0"/>
        <w:keepLines w:val="0"/>
        <w:widowControl w:val="1"/>
      </w:pPr>
      <w:r>
        <w:rPr>
          <w:rFonts w:ascii="Times New Roman" w:hAnsi="Times New Roman"/>
          <w:sz w:val="20"/>
        </w:rPr>
        <w:t xml:space="preserve">62. </w:t>
      </w:r>
      <w:bookmarkStart w:id="204"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4"/>
    </w:p>
    <w:p>
      <w:pPr>
        <w:pStyle w:val="ReferenceEntry"/>
        <w:spacing w:after="100"/>
        <w:ind w:left="475" w:hanging="475"/>
        <w:jc w:val="left"/>
        <w:keepNext w:val="0"/>
        <w:keepLines w:val="0"/>
        <w:widowControl w:val="1"/>
      </w:pPr>
      <w:r>
        <w:rPr>
          <w:rFonts w:ascii="Times New Roman" w:hAnsi="Times New Roman"/>
          <w:sz w:val="20"/>
        </w:rPr>
        <w:t xml:space="preserve">63. </w:t>
      </w:r>
      <w:bookmarkStart w:id="205"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5"/>
    </w:p>
    <w:p>
      <w:pPr>
        <w:pStyle w:val="ReferenceEntry"/>
        <w:spacing w:after="100"/>
        <w:ind w:left="475" w:hanging="475"/>
        <w:jc w:val="left"/>
        <w:keepNext w:val="0"/>
        <w:keepLines w:val="0"/>
        <w:widowControl w:val="1"/>
      </w:pPr>
      <w:r>
        <w:rPr>
          <w:rFonts w:ascii="Times New Roman" w:hAnsi="Times New Roman"/>
          <w:sz w:val="20"/>
        </w:rPr>
        <w:t xml:space="preserve">64. </w:t>
      </w:r>
      <w:bookmarkStart w:id="206"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6"/>
    </w:p>
    <w:p>
      <w:pPr>
        <w:pStyle w:val="ReferenceEntry"/>
        <w:spacing w:after="100"/>
        <w:ind w:left="475" w:hanging="475"/>
        <w:jc w:val="left"/>
        <w:keepNext w:val="0"/>
        <w:keepLines w:val="0"/>
        <w:widowControl w:val="1"/>
      </w:pPr>
      <w:r>
        <w:rPr>
          <w:rFonts w:ascii="Times New Roman" w:hAnsi="Times New Roman"/>
          <w:sz w:val="20"/>
        </w:rPr>
        <w:t xml:space="preserve">65. </w:t>
      </w:r>
      <w:bookmarkStart w:id="207" w:name="ref-kim2023pubchem"/>
      <w:r>
        <w:t xml:space="preserve">Kim, S. et al. (2023). PubChem 2023 Update.</w:t>
      </w:r>
      <w:r>
        <w:t xml:space="preserve"> </w:t>
      </w:r>
      <w:r>
        <w:rPr>
          <w:i/>
          <w:iCs/>
        </w:rPr>
        <w:t xml:space="preserve">Nucleic Acids Res. 51(D1)</w:t>
      </w:r>
      <w:r>
        <w:t xml:space="preserve">:D1373–D1380.</w:t>
      </w:r>
      <w:bookmarkEnd w:id="207"/>
    </w:p>
    <w:p>
      <w:pPr>
        <w:pStyle w:val="ReferenceEntry"/>
        <w:spacing w:after="100"/>
        <w:ind w:left="475" w:hanging="475"/>
        <w:jc w:val="left"/>
        <w:keepNext w:val="0"/>
        <w:keepLines w:val="0"/>
        <w:widowControl w:val="1"/>
      </w:pPr>
      <w:r>
        <w:rPr>
          <w:rFonts w:ascii="Times New Roman" w:hAnsi="Times New Roman"/>
          <w:sz w:val="20"/>
        </w:rPr>
        <w:t xml:space="preserve">66. </w:t>
      </w:r>
      <w:bookmarkStart w:id="208"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208"/>
    </w:p>
    <w:p>
      <w:pPr>
        <w:pStyle w:val="ReferenceEntry"/>
        <w:spacing w:after="100"/>
        <w:ind w:left="475" w:hanging="475"/>
        <w:jc w:val="left"/>
        <w:keepNext w:val="0"/>
        <w:keepLines w:val="0"/>
        <w:widowControl w:val="1"/>
      </w:pPr>
      <w:r>
        <w:rPr>
          <w:rFonts w:ascii="Times New Roman" w:hAnsi="Times New Roman"/>
          <w:sz w:val="20"/>
        </w:rPr>
        <w:t xml:space="preserve">67. </w:t>
      </w:r>
      <w:bookmarkStart w:id="209" w:name="ref-sterling2015zinc"/>
      <w:r>
        <w:t xml:space="preserve">Sterling, T., &amp; Irwin, J. J. (2015). ZINC 15: Ligand Discovery for Everyone.</w:t>
      </w:r>
      <w:r>
        <w:t xml:space="preserve"> </w:t>
      </w:r>
      <w:r>
        <w:rPr>
          <w:i/>
          <w:iCs/>
        </w:rPr>
        <w:t xml:space="preserve">J. Chem. Inf. Model. 55(11)</w:t>
      </w:r>
      <w:r>
        <w:t xml:space="preserve">:2324–2337.</w:t>
      </w:r>
      <w:bookmarkEnd w:id="209"/>
    </w:p>
    <w:p>
      <w:pPr>
        <w:pStyle w:val="ReferenceEntry"/>
        <w:spacing w:after="100"/>
        <w:ind w:left="475" w:hanging="475"/>
        <w:jc w:val="left"/>
        <w:keepNext w:val="0"/>
        <w:keepLines w:val="0"/>
        <w:widowControl w:val="1"/>
      </w:pPr>
      <w:r>
        <w:rPr>
          <w:rFonts w:ascii="Times New Roman" w:hAnsi="Times New Roman"/>
          <w:sz w:val="20"/>
        </w:rPr>
        <w:t xml:space="preserve">68. </w:t>
      </w:r>
      <w:bookmarkStart w:id="211" w:name="ref-cameo"/>
      <w:r>
        <w:t xml:space="preserve">NIST CAMEO Chemicals: Database of Hazardous Materials and Reactivity.</w:t>
      </w:r>
      <w:r>
        <w:t xml:space="preserve"> </w:t>
      </w:r>
      <w:hyperlink r:id="rId210">
        <w:r>
          <w:rPr>
            <w:rStyle w:val="Hyperlink"/>
          </w:rPr>
          <w:t xml:space="preserve">cameochemicals.noaa.gov</w:t>
        </w:r>
      </w:hyperlink>
      <w:r>
        <w:t xml:space="preserve">.</w:t>
      </w:r>
      <w:bookmarkEnd w:id="211"/>
    </w:p>
    <w:p>
      <w:pPr>
        <w:pStyle w:val="ReferenceEntry"/>
        <w:spacing w:after="100"/>
        <w:ind w:left="475" w:hanging="475"/>
        <w:jc w:val="left"/>
        <w:keepNext w:val="0"/>
        <w:keepLines w:val="0"/>
        <w:widowControl w:val="1"/>
      </w:pPr>
      <w:r>
        <w:rPr>
          <w:rFonts w:ascii="Times New Roman" w:hAnsi="Times New Roman"/>
          <w:sz w:val="20"/>
        </w:rPr>
        <w:t xml:space="preserve">69. </w:t>
      </w:r>
      <w:bookmarkStart w:id="212"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12"/>
    </w:p>
    <w:p>
      <w:pPr>
        <w:pStyle w:val="ReferenceEntry"/>
        <w:spacing w:after="100"/>
        <w:ind w:left="475" w:hanging="475"/>
        <w:jc w:val="left"/>
        <w:keepNext w:val="0"/>
        <w:keepLines w:val="0"/>
        <w:widowControl w:val="1"/>
      </w:pPr>
      <w:r>
        <w:rPr>
          <w:rFonts w:ascii="Times New Roman" w:hAnsi="Times New Roman"/>
          <w:sz w:val="20"/>
        </w:rPr>
        <w:t xml:space="preserve">70. </w:t>
      </w:r>
      <w:bookmarkStart w:id="213" w:name="ref-bondi1964vdw"/>
      <w:r>
        <w:t xml:space="preserve">Bondi, A. (1964). van der Waals Volumes and Radii.</w:t>
      </w:r>
      <w:r>
        <w:t xml:space="preserve"> </w:t>
      </w:r>
      <w:r>
        <w:rPr>
          <w:i/>
          <w:iCs/>
        </w:rPr>
        <w:t xml:space="preserve">J. Phys. Chem. 68(3)</w:t>
      </w:r>
      <w:r>
        <w:t xml:space="preserve">:441–451. doi:10.1021/j100785a001.</w:t>
      </w:r>
      <w:bookmarkEnd w:id="213"/>
    </w:p>
    <w:p>
      <w:pPr>
        <w:pStyle w:val="ReferenceEntry"/>
        <w:spacing w:after="100"/>
        <w:ind w:left="475" w:hanging="475"/>
        <w:jc w:val="left"/>
        <w:keepNext w:val="0"/>
        <w:keepLines w:val="0"/>
        <w:widowControl w:val="1"/>
      </w:pPr>
      <w:r>
        <w:rPr>
          <w:rFonts w:ascii="Times New Roman" w:hAnsi="Times New Roman"/>
          <w:sz w:val="20"/>
        </w:rPr>
        <w:t xml:space="preserve">71. </w:t>
      </w:r>
      <w:bookmarkStart w:id="214"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4"/>
    </w:p>
    <w:bookmarkEnd w:id="215"/>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6" Type="http://schemas.openxmlformats.org/officeDocument/2006/relationships/image" Target="media/rId106.png"/><Relationship Id="rId119" Type="http://schemas.openxmlformats.org/officeDocument/2006/relationships/image" Target="media/rId119.png"/><Relationship Id="rId110" Type="http://schemas.openxmlformats.org/officeDocument/2006/relationships/image" Target="media/rId110.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2" Type="http://schemas.openxmlformats.org/officeDocument/2006/relationships/image" Target="media/rId132.png"/><Relationship Id="rId102" Type="http://schemas.openxmlformats.org/officeDocument/2006/relationships/image" Target="media/rId102.png"/><Relationship Id="rId127" Type="http://schemas.openxmlformats.org/officeDocument/2006/relationships/image" Target="media/rId127.png"/><Relationship Id="rId123" Type="http://schemas.openxmlformats.org/officeDocument/2006/relationships/image" Target="media/rId123.png"/><Relationship Id="rId12" Type="http://schemas.openxmlformats.org/officeDocument/2006/relationships/image" Target="media/rId12.png"/><Relationship Id="rId21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1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2026-07-31T20:59:01Z</dcterms:created>
  <dcterms:modified xsi:type="dcterms:W3CDTF">2026-07-31T20:59:01Z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