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Supplementary Information for</w:t>
      </w:r>
    </w:p>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46" w:name="sec-app"/>
    <w:p>
      <w:pPr>
        <w:pStyle w:val="Subtitle"/>
        <w:spacing w:before="0" w:after="40"/>
        <w:jc w:val="center"/>
        <w:keepNext/>
        <w:keepLines/>
        <w:widowControl w:val="1"/>
      </w:pPr>
      <w:r>
        <w:rPr>
          <w:rFonts w:ascii="Times New Roman" w:hAnsi="Times New Roman"/>
          <w:b/>
          <w:i w:val="0"/>
          <w:sz w:val="24"/>
        </w:rPr>
        <w:t xml:space="preserve">Appendix</w:t>
      </w:r>
    </w:p>
    <w:bookmarkStart w:id="15" w:name="a.-dataset-details"/>
    <w:p>
      <w:pPr>
        <w:pStyle w:val="Subtitle"/>
        <w:spacing w:before="0" w:after="40"/>
        <w:jc w:val="center"/>
        <w:keepNext/>
        <w:keepLines/>
        <w:widowControl w:val="1"/>
      </w:pPr>
      <w:r>
        <w:rPr>
          <w:rFonts w:ascii="Times New Roman" w:hAnsi="Times New Roman"/>
          <w:b/>
          <w:i w:val="0"/>
          <w:sz w:val="24"/>
        </w:rPr>
        <w:t xml:space="preserve">A. Dataset details</w:t>
      </w:r>
    </w:p>
    <w:bookmarkStart w:id="10" w:name="a.1-data-sources-and-provenance"/>
    <w:p>
      <w:pPr>
        <w:pStyle w:val="Subtitle"/>
        <w:spacing w:before="0" w:after="40"/>
        <w:jc w:val="center"/>
        <w:keepNext/>
        <w:keepLines/>
        <w:widowControl w:val="1"/>
      </w:pPr>
      <w:r>
        <w:rPr>
          <w:rFonts w:ascii="Times New Roman" w:hAnsi="Times New Roman"/>
          <w:b/>
          <w:i w:val="0"/>
          <w:sz w:val="24"/>
        </w:rPr>
        <w:t xml:space="preserve">A.1 Data sources and provenance</w:t>
      </w:r>
    </w:p>
    <w:p>
      <w:pPr>
        <w:pStyle w:val="Subtitle"/>
        <w:spacing w:before="0" w:after="160"/>
        <w:jc w:val="center"/>
        <w:keepNext w:val="0"/>
        <w:keepLines/>
        <w:widowControl w:val="1"/>
      </w:pPr>
      <w:r>
        <w:rPr>
          <w:rFonts w:ascii="Times New Roman" w:hAnsi="Times New Roman"/>
          <w:b w:val="0"/>
          <w:i/>
          <w:sz w:val="20"/>
        </w:rPr>
        <w:t xml:space="preserve">The labelled master, the unlabelled SMILES dump, and the motif-augmented expansion (§3) are assembled from the following public and quasi-public sources. Per-source row counts are post-canonicalisation, post-charge-filter, and post-token-length filter; they sum to more than the master because most molecules carry labels from several sources.</w:t>
      </w:r>
    </w:p>
    <w:p>
      <w:pPr>
        <w:pStyle w:val="Subtitle"/>
        <w:spacing w:before="0" w:after="160"/>
        <w:jc w:val="center"/>
        <w:keepNext w:val="0"/>
        <w:keepLines/>
        <w:widowControl w:val="1"/>
      </w:pPr>
      <w:r>
        <w:rPr>
          <w:rFonts w:ascii="Times New Roman" w:hAnsi="Times New Roman"/>
          <w:b w:val="0"/>
          <w:bCs/>
          <w:i/>
          <w:sz w:val="20"/>
        </w:rPr>
        <w:t xml:space="preserve">Table A.1.</w:t>
      </w:r>
      <w:r>
        <w:rPr>
          <w:rFonts w:ascii="Times New Roman" w:hAnsi="Times New Roman"/>
          <w:b w:val="0"/>
          <w:i/>
          <w:sz w:val="20"/>
        </w:rPr>
        <w:t xml:space="preserve"> </w:t>
      </w:r>
      <w:r>
        <w:rPr>
          <w:rFonts w:ascii="Times New Roman" w:hAnsi="Times New Roman"/>
          <w:b w:val="0"/>
          <w:i/>
          <w:sz w:val="20"/>
        </w:rP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Table"/>
        <w:tblW w:type="pct" w:w="5000"/>
        <w:jc w:val="center"/>
        <w:tblLook w:firstRow="1" w:lastRow="0" w:firstColumn="0" w:lastColumn="0" w:noHBand="0" w:noVBand="0" w:val="0020"/>
        <w:tblCaption w:val="Table A.1. Per-source provenance of the labelled master, the unlabelled SMILES dump, and the motif-augmented expansion. Row counts are in the deduplicated 65 980-row master; a row can contribute labels at several tiers across different properties, so the tier counts do not partition the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Approx. rows contributed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Citation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 (energetics)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crystallographic densities (Davis et al. 2024, cm4c01978 SI) plus measured</w:t>
            </w:r>
            <w:r>
              <w:rPr>
                <w:rFonts w:ascii="Times New Roman" w:hAnsi="Times New Roman"/>
                <w:sz w:val="19"/>
              </w:rPr>
              <w:t xml:space="preserve"> </w:t>
            </w:r>
            <m:oMath>
              <m:r>
                <m:t>ρ</m:t>
              </m:r>
            </m:oMath>
            <w:r>
              <w:rPr>
                <w:rFonts w:ascii="Times New Roman" w:hAnsi="Times New Roman"/>
                <w:sz w:val="19"/>
              </w:rPr>
              <w:t xml:space="preserve">,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hand-compiled from Klapötke (2019), Cooper (1996), and the LLNL Explosives Handbook (Dobratz &amp; Crawford 1985)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emdb">
              <w:r>
                <w:rPr>
                  <w:rStyle w:val="Hyperlink"/>
                </w:rPr>
                <w:t xml:space="preserve">[66]</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[40]</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Thermochemical detonation-property dataset (curated CHNO + CHNOClF subset;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on an EXPLO5 train/test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npjcompmat2025">
              <w:r>
                <w:rPr>
                  <w:rStyle w:val="Hyperlink"/>
                </w:rPr>
                <w:t xml:space="preserve">[45]</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rows: density and HOF from literature compilations propagated through the K-J equation to give surrogate</w:t>
            </w:r>
            <w:r>
              <w:rPr>
                <w:rFonts w:ascii="Times New Roman" w:hAnsi="Times New Roman"/>
                <w:sz w:val="19"/>
              </w:rPr>
              <w:t xml:space="preserve"> </w:t>
            </w:r>
            <m:oMath>
              <m:r>
                <m:t>D</m:t>
              </m:r>
              <m:r>
                <m:rPr>
                  <m:sty m:val="p"/>
                </m:rPr>
                <m:t>,</m:t>
              </m:r>
              <m:r>
                <m:t>P</m:t>
              </m:r>
            </m:oMath>
            <w:r>
              <w:rPr>
                <w:rFonts w:ascii="Times New Roman" w:hAnsi="Times New Roman"/>
                <w:sz w:val="19"/>
              </w:rPr>
              <w:t xml:space="preserve"> </w:t>
            </w:r>
            <w:r>
              <w:rPr>
                <w:rFonts w:ascii="Times New Roman" w:hAnsi="Times New Roman"/>
                <w:sz w:val="19"/>
              </w:rPr>
              <w:t xml:space="preserve">(densities and HOF from Davis et al. 2024, cm4c01978 SI)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amlet1968detonation">
              <w:r>
                <w:rPr>
                  <w:rStyle w:val="Hyperlink"/>
                </w:rPr>
                <w:t xml:space="preserve">[1]</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[40]</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labels: in-house 3D-CNN smoke ensemble (trained on the union of A+B+C, eight outputs, 5-fold CV</w:t>
            </w:r>
            <w:r>
              <w:rPr>
                <w:rFonts w:ascii="Times New Roman" w:hAnsi="Times New Roman"/>
                <w:sz w:val="19"/>
              </w:rPr>
              <w:t xml:space="preserve"> </w:t>
            </w:r>
            <m:oMath>
              <m:sSup>
                <m:e>
                  <m:r>
                    <m:t>R</m:t>
                  </m:r>
                </m:e>
                <m:sup>
                  <m:r>
                    <m:t>2</m:t>
                  </m:r>
                </m:sup>
              </m:sSup>
              <m:r>
                <m:rPr>
                  <m:sty m:val="p"/>
                </m:rPr>
                <m:t>=</m:t>
              </m:r>
              <m:r>
                <m:t>0.84</m:t>
              </m:r>
              <m:r>
                <m:rPr>
                  <m:nor/>
                  <m:sty m:val="p"/>
                </m:rPr>
                <m:t>–</m:t>
              </m:r>
              <m:r>
                <m:t>0.92</m:t>
              </m:r>
            </m:oMath>
            <w:r>
              <w:rPr>
                <w:rFonts w:ascii="Times New Roman" w:hAnsi="Times New Roman"/>
                <w:sz w:val="19"/>
              </w:rPr>
              <w:t xml:space="preserve">) plus generative-model predictions (MDGNN, de-novo RL/TL sampling, q-RASPR), used to label rows with no higher-tier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r>
              <w:rPr>
                <w:rFonts w:ascii="Times New Roman" w:hAnsi="Times New Roman"/>
                <w:sz w:val="19"/>
              </w:rPr>
              <w:t xml:space="preserve"> </w:t>
            </w:r>
            <w:hyperlink w:anchor="ref-casey2020prediction">
              <w:r>
                <w:rPr>
                  <w:rStyle w:val="Hyperlink"/>
                </w:rPr>
                <w:t xml:space="preserve">[2]</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Negatives for viability classifier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ZINC-15 random subsample (drug-like, neutral, MW &lt; 500), used as inert chemistry against which the RandomForest viability classifier is trained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sterling2015zinc">
              <w:r>
                <w:rPr>
                  <w:rStyle w:val="Hyperlink"/>
                </w:rPr>
                <w:t xml:space="preserve">[67]</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Cheats mined from earlier generation pools (gem-tetranitro on small rings, polyazene chains, trinitromethane, gem-dinitrocyclopropane, etc.), encoded through LIMO and used as viab=0 latents in 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 §4.8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SMARTS catalog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NIST CAMEO Chemicals reactivity database + ChemAxon “dangerous reactivity” SMARTS, distilled into the Bruns–Watson demerit catalog used by the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 (rules)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cameo">
              <w:r>
                <w:rPr>
                  <w:rStyle w:val="Hyperlink"/>
                </w:rPr>
                <w:t xml:space="preserve">[68]</w:t>
              </w:r>
            </w:hyperlink>
            <w:r>
              <w:rPr>
                <w:rFonts w:ascii="Times New Roman" w:hAnsi="Times New Roman"/>
                <w:sz w:val="19"/>
              </w:rPr>
              <w:t xml:space="preserve">,</w:t>
            </w:r>
            <w:r>
              <w:rPr>
                <w:rFonts w:ascii="Times New Roman" w:hAnsi="Times New Roman"/>
                <w:sz w:val="19"/>
              </w:rPr>
              <w:t xml:space="preserve"> </w:t>
            </w:r>
            <w:hyperlink w:anchor="ref-bruns2020watson">
              <w:r>
                <w:rPr>
                  <w:rStyle w:val="Hyperlink"/>
                </w:rPr>
                <w:t xml:space="preserve">[69]</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Unlabelled domain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Augmented CHNO / CHNOClF SMILES dump assembled from public energetic-chemistry compilations (Klapötke reviews, patent-extracted SMILES, energetic-materials review papers); used only for the unconditional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lapotke2017nitrogen">
              <w:r>
                <w:rPr>
                  <w:rStyle w:val="Hyperlink"/>
                </w:rPr>
                <w:t xml:space="preserve">[43]</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Motif-augmented expansion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Programmatic substitution of nitro, nitramine, azide, cyano, tetrazole, oxadiazole groups onto the labelled master scaffolds, then re-canonicalised and de-duplicated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 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 (only used in unlabelled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External novelty database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PubChem 2023 (PUG REST query on canonical SMILES) used to assess novelty of generated leads, not for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im2023pubchem">
              <w:r>
                <w:rPr>
                  <w:rStyle w:val="Hyperlink"/>
                </w:rPr>
                <w:t xml:space="preserve">[65]</w:t>
              </w:r>
            </w:hyperlink>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Stability triage tool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xTB 6.6.1 (GFN2-xTB) used at sample-time triage on top leads (</w:t>
            </w:r>
            <m:oMath>
              <m:r>
                <m:rPr>
                  <m:sty m:val="p"/>
                </m:rPr>
                <m:t>≤</m:t>
              </m:r>
            </m:oMath>
            <w:r>
              <w:rPr>
                <w:rFonts w:ascii="Times New Roman" w:hAnsi="Times New Roman"/>
                <w:sz w:val="19"/>
              </w:rPr>
              <w:t xml:space="preserve">100 candidates), not in the training 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hyperlink w:anchor="ref-bannwarth2019gfn2">
              <w:r>
                <w:rPr>
                  <w:rStyle w:val="Hyperlink"/>
                </w:rPr>
                <w:t xml:space="preserve">[56]</w:t>
              </w:r>
            </w:hyperlink>
          </w:p>
        </w:tc>
      </w:tr>
    </w:tbl>
    <w:p>
      <w:pPr>
        <w:pStyle w:val="Subtitle"/>
        <w:spacing w:before="0" w:after="160"/>
        <w:jc w:val="center"/>
        <w:keepNext w:val="0"/>
        <w:keepLines/>
        <w:widowControl w:val="1"/>
      </w:pPr>
      <w:r>
        <w:rPr>
          <w:rFonts w:ascii="Times New Roman" w:hAnsi="Times New Roman"/>
          <w:b w:val="0"/>
          <w:bCs/>
          <w:i/>
          <w:sz w:val="20"/>
        </w:rPr>
        <w:t xml:space="preserve">What is and is not in the master.</w:t>
      </w:r>
      <w:r>
        <w:rPr>
          <w:rFonts w:ascii="Times New Roman" w:hAnsi="Times New Roman"/>
          <w:b w:val="0"/>
          <w:i/>
          <w:sz w:val="20"/>
        </w:rPr>
        <w:t xml:space="preserve"> </w:t>
      </w:r>
      <w:r>
        <w:rPr>
          <w:rFonts w:ascii="Times New Roman" w:hAnsi="Times New Roman"/>
          <w:b w:val="0"/>
          <w:i/>
          <w:sz w:val="20"/>
        </w:rPr>
        <w:t xml:space="preserve">The labelled master contains canonical, neutral, single-component CHNOClF SMILES with at least one of {density, HOF,</w:t>
      </w:r>
      <w:r>
        <w:rPr>
          <w:rFonts w:ascii="Times New Roman" w:hAnsi="Times New Roman"/>
          <w:b w:val="0"/>
          <w:i/>
          <w:sz w:val="20"/>
        </w:rPr>
        <w:t xml:space="preserve"> </w:t>
      </w:r>
      <m:oMath>
        <m:r>
          <m:t>D</m:t>
        </m:r>
      </m:oMath>
      <w:r>
        <w:rPr>
          <w:rFonts w:ascii="Times New Roman" w:hAnsi="Times New Roman"/>
          <w:b w:val="0"/>
          <w:i/>
          <w:sz w:val="20"/>
        </w:rPr>
        <w:t xml:space="preserve">,</w:t>
      </w:r>
      <w:r>
        <w:rPr>
          <w:rFonts w:ascii="Times New Roman" w:hAnsi="Times New Roman"/>
          <w:b w:val="0"/>
          <w:i/>
          <w:sz w:val="20"/>
        </w:rPr>
        <w:t xml:space="preserve"> </w:t>
      </w:r>
      <m:oMath>
        <m:r>
          <m:t>P</m:t>
        </m:r>
      </m:oMath>
      <w:r>
        <w:rPr>
          <w:rFonts w:ascii="Times New Roman" w:hAnsi="Times New Roman"/>
          <w:b w:val="0"/>
          <w:i/>
          <w:sz w:val="20"/>
        </w:rPr>
        <w:t xml:space="preserve">}. Salt fragments, mixtures, organometallics, isotopologues, and radicals are filtered. Per-row labels are aggregated to the highest-tier value available for each property; a row with experimental</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(Tier A) and Kamlet–Jacobs</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Subtitle"/>
        <w:spacing w:before="0" w:after="160"/>
        <w:jc w:val="center"/>
        <w:keepNext w:val="0"/>
        <w:keepLines/>
        <w:widowControl w:val="1"/>
      </w:pPr>
      <w:r>
        <w:rPr>
          <w:rFonts w:ascii="Times New Roman" w:hAnsi="Times New Roman"/>
          <w:b w:val="0"/>
          <w:bCs/>
          <w:i/>
          <w:sz w:val="20"/>
        </w:rPr>
        <w:t xml:space="preserve">Row-count overlap and deduplication.</w:t>
      </w:r>
      <w:r>
        <w:rPr>
          <w:rFonts w:ascii="Times New Roman" w:hAnsi="Times New Roman"/>
          <w:b w:val="0"/>
          <w:i/>
          <w:sz w:val="20"/>
        </w:rPr>
        <w:t xml:space="preserve"> </w:t>
      </w:r>
      <w:r>
        <w:rPr>
          <w:rFonts w:ascii="Times New Roman" w:hAnsi="Times New Roman"/>
          <w:b w:val="0"/>
          <w:i/>
          <w:sz w:val="20"/>
        </w:rPr>
        <w:t xml:space="preserve">After cross-source canonical-SMILES deduplication the labelled master contains</w:t>
      </w:r>
      <w:r>
        <w:rPr>
          <w:rFonts w:ascii="Times New Roman" w:hAnsi="Times New Roman"/>
          <w:b w:val="0"/>
          <w:i/>
          <w:sz w:val="20"/>
        </w:rPr>
        <w:t xml:space="preserve"> </w:t>
      </w:r>
      <m:oMath>
        <m:r>
          <m:rPr>
            <m:sty m:val="p"/>
          </m:rPr>
          <m:t>∼</m:t>
        </m:r>
        <m:r>
          <m:t>65</m:t>
        </m:r>
        <m:r>
          <m:t> </m:t>
        </m:r>
        <m:r>
          <m:t>980</m:t>
        </m:r>
      </m:oMath>
      <w:r>
        <w:rPr>
          <w:rFonts w:ascii="Times New Roman" w:hAnsi="Times New Roman"/>
          <w:b w:val="0"/>
          <w:i/>
          <w:sz w:val="20"/>
        </w:rPr>
        <w:t xml:space="preserve"> </w:t>
      </w:r>
      <w:r>
        <w:rPr>
          <w:rFonts w:ascii="Times New Roman" w:hAnsi="Times New Roman"/>
          <w:b w:val="0"/>
          <w:i/>
          <w:sz w:val="20"/>
        </w:rPr>
        <w:t xml:space="preserve">unique molecules (Tier-A</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Tier-B is small but non-zero:</w:t>
      </w:r>
      <w:r>
        <w:rPr>
          <w:rFonts w:ascii="Times New Roman" w:hAnsi="Times New Roman"/>
          <w:b w:val="0"/>
          <w:i/>
          <w:sz w:val="20"/>
        </w:rPr>
        <w:t xml:space="preserve"> </w:t>
      </w:r>
      <m:oMath>
        <m:r>
          <m:rPr>
            <m:sty m:val="p"/>
          </m:rPr>
          <m:t>∼</m:t>
        </m:r>
      </m:oMath>
      <w:r>
        <w:rPr>
          <w:rFonts w:ascii="Times New Roman" w:hAnsi="Times New Roman"/>
          <w:b w:val="0"/>
          <w:i/>
          <w:sz w:val="20"/>
        </w:rPr>
        <w:t xml:space="preserve">600 molecules carry both an experimental measurement and an independent DFT-derived label for at least one property; these contribute to a held-out cross-tier consistency check used during data-readiness audits). The unlabelled</w:t>
      </w:r>
      <w:r>
        <w:rPr>
          <w:rFonts w:ascii="Times New Roman" w:hAnsi="Times New Roman"/>
          <w:b w:val="0"/>
          <w:i/>
          <w:sz w:val="20"/>
        </w:rPr>
        <w:t xml:space="preserve"> </w:t>
      </w:r>
      <m:oMath>
        <m:r>
          <m:rPr>
            <m:sty m:val="p"/>
          </m:rPr>
          <m:t>∼</m:t>
        </m:r>
        <m:r>
          <m:t>380</m:t>
        </m:r>
        <m:r>
          <m:t> </m:t>
        </m:r>
      </m:oMath>
      <w:r>
        <w:rPr>
          <w:rFonts w:ascii="Times New Roman" w:hAnsi="Times New Roman"/>
          <w:b w:val="0"/>
          <w:i/>
          <w:sz w:val="20"/>
        </w:rPr>
        <w:t xml:space="preserve">k corpus and the motif-augmented</w:t>
      </w:r>
      <w:r>
        <w:rPr>
          <w:rFonts w:ascii="Times New Roman" w:hAnsi="Times New Roman"/>
          <w:b w:val="0"/>
          <w:i/>
          <w:sz w:val="20"/>
        </w:rPr>
        <w:t xml:space="preserve"> </w:t>
      </w:r>
      <m:oMath>
        <m:r>
          <m:rPr>
            <m:sty m:val="p"/>
          </m:rPr>
          <m:t>∼</m:t>
        </m:r>
        <m:r>
          <m:t>1.08</m:t>
        </m:r>
        <m:r>
          <m:t> </m:t>
        </m:r>
      </m:oMath>
      <w:r>
        <w:rPr>
          <w:rFonts w:ascii="Times New Roman" w:hAnsi="Times New Roman"/>
          <w:b w:val="0"/>
          <w:i/>
          <w:sz w:val="20"/>
        </w:rPr>
        <w:t xml:space="preserve">M expansion are deduplicated against the labelled master and against each other, yielding a final pretraining pool of</w:t>
      </w:r>
      <w:r>
        <w:rPr>
          <w:rFonts w:ascii="Times New Roman" w:hAnsi="Times New Roman"/>
          <w:b w:val="0"/>
          <w:i/>
          <w:sz w:val="20"/>
        </w:rPr>
        <w:t xml:space="preserve"> </w:t>
      </w:r>
      <m:oMath>
        <m:r>
          <m:rPr>
            <m:sty m:val="p"/>
          </m:rPr>
          <m:t>∼</m:t>
        </m:r>
        <m:r>
          <m:t>694</m:t>
        </m:r>
        <m:r>
          <m:t> </m:t>
        </m:r>
      </m:oMath>
      <w:r>
        <w:rPr>
          <w:rFonts w:ascii="Times New Roman" w:hAnsi="Times New Roman"/>
          <w:b w:val="0"/>
          <w:i/>
          <w:sz w:val="20"/>
        </w:rPr>
        <w:t xml:space="preserve">k unique canonical SMILES (this is the corpus referenced in the §5.4 Tanimoto stratification). Anchor compounds (RDX, HMX, TATB, FOX-7, PETN, NTO, TNT, etc.) appear in the labelled master and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filtered from generation; their occasional surfacing in gated runs is a sanity-check rediscovery rather than a leak.</w:t>
      </w:r>
    </w:p>
    <w:bookmarkEnd w:id="10"/>
    <w:bookmarkStart w:id="14" w:name="a.2-data-preprocessing-details"/>
    <w:p>
      <w:pPr>
        <w:pStyle w:val="Subtitle"/>
        <w:spacing w:before="0" w:after="40"/>
        <w:jc w:val="center"/>
        <w:keepNext/>
        <w:keepLines/>
        <w:widowControl w:val="1"/>
      </w:pPr>
      <w:r>
        <w:rPr>
          <w:rFonts w:ascii="Times New Roman" w:hAnsi="Times New Roman"/>
          <w:b/>
          <w:i w:val="0"/>
          <w:sz w:val="24"/>
        </w:rPr>
        <w:t xml:space="preserve">A.2 Data preprocessing details</w:t>
      </w:r>
    </w:p>
    <w:p>
      <w:pPr>
        <w:pStyle w:val="Subtitle"/>
        <w:spacing w:before="0" w:after="160"/>
        <w:jc w:val="center"/>
        <w:keepNext w:val="0"/>
        <w:keepLines/>
        <w:widowControl w:val="1"/>
      </w:pPr>
      <w:r>
        <w:rPr>
          <w:rFonts w:ascii="Times New Roman" w:hAnsi="Times New Roman"/>
          <w:b w:val="0"/>
          <w:i/>
          <w:sz w:val="20"/>
        </w:rP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kJ/mol; densities in g/cm</w:t>
      </w:r>
      <w:r>
        <w:rPr>
          <w:rFonts w:ascii="Times New Roman" w:hAnsi="Times New Roman"/>
          <w:b w:val="0"/>
          <w:i/>
          <w:sz w:val="20"/>
          <w:vertAlign w:val="superscript"/>
        </w:rPr>
        <w:t xml:space="preserve">3</w:t>
      </w:r>
      <w:r>
        <w:rPr>
          <w:rFonts w:ascii="Times New Roman" w:hAnsi="Times New Roman"/>
          <w:b w:val="0"/>
          <w:i/>
          <w:sz w:val="20"/>
        </w:rPr>
        <w:t xml:space="preserve">; velocities in km/s;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w:pPr>
        <w:pStyle w:val="BodyText"/>
        <w:jc w:val="center"/>
        <w:keepNext/>
        <w:keepLines/>
        <w:widowControl w:val="1"/>
      </w:pPr>
      <w:r>
        <w:drawing>
          <wp:inline>
            <wp:extent cx="5943600" cy="1920525"/>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1"/>
                    <a:stretch>
                      <a:fillRect/>
                    </a:stretch>
                  </pic:blipFill>
                  <pic:spPr bwMode="auto">
                    <a:xfrm>
                      <a:off x="0" y="0"/>
                      <a:ext cx="5943600" cy="1920525"/>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A.1.</w:t>
      </w:r>
      <w:r>
        <w:rPr>
          <w:rFonts w:ascii="Times New Roman" w:hAnsi="Times New Roman"/>
          <w:b w:val="0"/>
          <w:i/>
          <w:sz w:val="20"/>
        </w:rPr>
        <w:t xml:space="preserve"> </w:t>
      </w:r>
      <w:r>
        <w:rPr>
          <w:rFonts w:ascii="Times New Roman" w:hAnsi="Times New Roman"/>
          <w:b w:val="0"/>
          <w:i/>
          <w:sz w:val="20"/>
        </w:rPr>
        <w:t xml:space="preserve">Atom-composition statistics over a 30k subsample of the labelled corpus: molecular weight, nitro-group count, and joint C-vs-N atom counts. The corpus is heavily concentrated in CHNO chemistry with 2–6 nitro groups and MW between 150 and 350.</w:t>
      </w:r>
    </w:p>
    <w:bookmarkEnd w:id="14"/>
    <w:bookmarkEnd w:id="15"/>
    <w:bookmarkStart w:id="18" w:name="X86ca6009a5c21dee0dd2d63a566156f0e6f6ce9"/>
    <w:p>
      <w:pPr>
        <w:pStyle w:val="Subtitle"/>
        <w:spacing w:before="0" w:after="40"/>
        <w:jc w:val="center"/>
        <w:keepNext/>
        <w:keepLines/>
        <w:widowControl w:val="1"/>
      </w:pPr>
      <w:r>
        <w:rPr>
          <w:rFonts w:ascii="Times New Roman" w:hAnsi="Times New Roman"/>
          <w:b/>
          <w:i w:val="0"/>
          <w:sz w:val="24"/>
        </w:rPr>
        <w:t xml:space="preserve">B. Model architecture and hyperparameter values</w:t>
      </w:r>
    </w:p>
    <w:p>
      <w:pPr>
        <w:pStyle w:val="Subtitle"/>
        <w:spacing w:before="0" w:after="160"/>
        <w:jc w:val="center"/>
        <w:keepNext w:val="0"/>
        <w:keepLines/>
        <w:widowControl w:val="1"/>
      </w:pPr>
      <w:r>
        <w:rPr>
          <w:rFonts w:ascii="Times New Roman" w:hAnsi="Times New Roman"/>
          <w:b w:val="0"/>
          <w:bCs/>
          <w:i/>
          <w:sz w:val="20"/>
        </w:rPr>
        <w:t xml:space="preserve">B.0 Architecture summary.</w:t>
      </w:r>
      <w:r>
        <w:rPr>
          <w:rFonts w:ascii="Times New Roman" w:hAnsi="Times New Roman"/>
          <w:b w:val="0"/>
          <w:i/>
          <w:sz w:val="20"/>
        </w:rPr>
        <w:t xml:space="preserve"> </w:t>
      </w:r>
      <w:r>
        <w:rPr>
          <w:rFonts w:ascii="Times New Roman" w:hAnsi="Times New Roman"/>
          <w:b w:val="0"/>
          <w:i/>
          <w:sz w:val="20"/>
        </w:rPr>
        <w:t xml:space="preserve">DGLD instantiates four neural networks plus two non-neural label sources. (1) The</w:t>
      </w:r>
      <w:r>
        <w:rPr>
          <w:rFonts w:ascii="Times New Roman" w:hAnsi="Times New Roman"/>
          <w:b w:val="0"/>
          <w:i/>
          <w:sz w:val="20"/>
        </w:rPr>
        <w:t xml:space="preserve"> </w:t>
      </w:r>
      <w:r>
        <w:rPr>
          <w:rFonts w:ascii="Times New Roman" w:hAnsi="Times New Roman"/>
          <w:b w:val="0"/>
          <w:bCs/>
          <w:i/>
          <w:sz w:val="20"/>
        </w:rPr>
        <w:t xml:space="preserve">LIMO SELFIES-VAE</w:t>
      </w:r>
      <w:r>
        <w:rPr>
          <w:rFonts w:ascii="Times New Roman" w:hAnsi="Times New Roman"/>
          <w:b w:val="0"/>
          <w:i/>
          <w:sz w:val="20"/>
        </w:rPr>
        <w:t xml:space="preserve"> </w:t>
      </w:r>
      <w:r>
        <w:rPr>
          <w:rFonts w:ascii="Times New Roman" w:hAnsi="Times New Roman"/>
          <w:b w:val="0"/>
          <w:i/>
          <w:sz w:val="20"/>
        </w:rPr>
        <w:t xml:space="preserve">(Fig 7) encodes every SMILES once into a deterministic 1024-d latent μ that the diffusion model treats as its data. (2) The</w:t>
      </w:r>
      <w:r>
        <w:rPr>
          <w:rFonts w:ascii="Times New Roman" w:hAnsi="Times New Roman"/>
          <w:b w:val="0"/>
          <w:i/>
          <w:sz w:val="20"/>
        </w:rPr>
        <w:t xml:space="preserve"> </w:t>
      </w:r>
      <w:r>
        <w:rPr>
          <w:rFonts w:ascii="Times New Roman" w:hAnsi="Times New Roman"/>
          <w:b w:val="0"/>
          <w:bCs/>
          <w:i/>
          <w:sz w:val="20"/>
        </w:rPr>
        <w:t xml:space="preserve">denoiser</w:t>
      </w:r>
      <w:r>
        <w:rPr>
          <w:rFonts w:ascii="Times New Roman" w:hAnsi="Times New Roman"/>
          <w:b w:val="0"/>
          <w:i/>
          <w:sz w:val="20"/>
        </w:rPr>
        <w:t xml:space="preserve"> </w:t>
      </w:r>
      <w:r>
        <w:rPr>
          <w:rFonts w:ascii="Times New Roman" w:hAnsi="Times New Roman"/>
          <w:b w:val="0"/>
          <w:i/>
          <w:sz w:val="20"/>
        </w:rPr>
        <w:t xml:space="preserve">ε</w:t>
      </w:r>
      <w:r>
        <w:rPr>
          <w:rFonts w:ascii="Times New Roman" w:hAnsi="Times New Roman"/>
          <w:b w:val="0"/>
          <w:i/>
          <w:sz w:val="20"/>
          <w:vertAlign w:val="subscript"/>
        </w:rPr>
        <w:t xml:space="preserve">θ</w:t>
      </w:r>
      <w:r>
        <w:rPr>
          <w:rFonts w:ascii="Times New Roman" w:hAnsi="Times New Roman"/>
          <w:b w:val="0"/>
          <w:i/>
          <w:sz w:val="20"/>
        </w:rPr>
        <w:t xml:space="preserve"> </w:t>
      </w:r>
      <w:r>
        <w:rPr>
          <w:rFonts w:ascii="Times New Roman" w:hAnsi="Times New Roman"/>
          <w:b w:val="0"/>
          <w:i/>
          <w:sz w:val="20"/>
        </w:rPr>
        <w:t xml:space="preserve">(Fig 9) is a 44.6 M-parameter FiLM-ResNet that reverses a 1000-step cosine DDPM in latent space; the production sampler runs two such denoisers in parallel (DGLD-H + DGLD-P, §4.5). (3) The</w:t>
      </w:r>
      <w:r>
        <w:rPr>
          <w:rFonts w:ascii="Times New Roman" w:hAnsi="Times New Roman"/>
          <w:b w:val="0"/>
          <w:i/>
          <w:sz w:val="20"/>
        </w:rPr>
        <w:t xml:space="preserve"> </w:t>
      </w:r>
      <w:r>
        <w:rPr>
          <w:rFonts w:ascii="Times New Roman" w:hAnsi="Times New Roman"/>
          <w:b w:val="0"/>
          <w:bCs/>
          <w:i/>
          <w:sz w:val="20"/>
        </w:rPr>
        <w:t xml:space="preserve">multi-task score model</w:t>
      </w:r>
      <w:r>
        <w:rPr>
          <w:rFonts w:ascii="Times New Roman" w:hAnsi="Times New Roman"/>
          <w:b w:val="0"/>
          <w:i/>
          <w:sz w:val="20"/>
        </w:rPr>
        <w:t xml:space="preserve"> </w:t>
      </w:r>
      <w:r>
        <w:rPr>
          <w:rFonts w:ascii="Times New Roman" w:hAnsi="Times New Roman"/>
          <w:b w:val="0"/>
          <w:i/>
          <w:sz w:val="20"/>
        </w:rPr>
        <w:t xml:space="preserve">(Figs 11 and 13) is a 4-block FiLM-MLP with a shared 1024-d trunk over (z, σ) with three active steering heads (Viability, Sensitivity, Hazard) and three auxiliary multi-task heads (Performance, SA, SC; Appendix B.4); its per-head autograd gradients are the steering bus injected into DDIM at every sampling step. (4) Two</w:t>
      </w:r>
      <w:r>
        <w:rPr>
          <w:rFonts w:ascii="Times New Roman" w:hAnsi="Times New Roman"/>
          <w:b w:val="0"/>
          <w:i/>
          <w:sz w:val="20"/>
        </w:rPr>
        <w:t xml:space="preserve"> </w:t>
      </w:r>
      <w:r>
        <w:rPr>
          <w:rFonts w:ascii="Times New Roman" w:hAnsi="Times New Roman"/>
          <w:b w:val="0"/>
          <w:bCs/>
          <w:i/>
          <w:sz w:val="20"/>
        </w:rPr>
        <w:t xml:space="preserve">external label sources</w:t>
      </w:r>
      <w:r>
        <w:rPr>
          <w:rFonts w:ascii="Times New Roman" w:hAnsi="Times New Roman"/>
          <w:b w:val="0"/>
          <w:i/>
          <w:sz w:val="20"/>
        </w:rP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B.1a (LIMO VAE), B.1b (denoiser + score model), and B.1c (label sources + reranker).</w:t>
      </w:r>
    </w:p>
    <w:p>
      <w:pPr>
        <w:pStyle w:val="Subtitle"/>
        <w:spacing w:before="0" w:after="160"/>
        <w:jc w:val="center"/>
        <w:keepNext w:val="0"/>
        <w:keepLines/>
        <w:widowControl w:val="1"/>
      </w:pPr>
      <w:r>
        <w:rPr>
          <w:rFonts w:ascii="Times New Roman" w:hAnsi="Times New Roman"/>
          <w:b w:val="0"/>
          <w:bCs/>
          <w:i/>
          <w:sz w:val="20"/>
        </w:rPr>
        <w:t xml:space="preserve">External label sources are training-time only.</w:t>
      </w:r>
      <w:r>
        <w:rPr>
          <w:rFonts w:ascii="Times New Roman" w:hAnsi="Times New Roman"/>
          <w:b w:val="0"/>
          <w:i/>
          <w:sz w:val="20"/>
        </w:rPr>
        <w:t xml:space="preserve"> </w:t>
      </w:r>
      <w:r>
        <w:rPr>
          <w:rFonts w:ascii="Times New Roman" w:hAnsi="Times New Roman"/>
          <w:b w:val="0"/>
          <w:i/>
          <w:sz w:val="20"/>
        </w:rPr>
        <w:t xml:space="preserve">The Random-Forest viability classifier and the 3D-CNN/Uni-Mol smoke-model ensemble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executed at every diffusion step. They are run once, offline, over the cached training corpus to manufacture the per-row labels (</w:t>
      </w:r>
      <m:oMath>
        <m:sSub>
          <m:e>
            <m:r>
              <m:t>y</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ρ</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D</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P</m:t>
            </m:r>
          </m:sub>
        </m:sSub>
      </m:oMath>
      <w:r>
        <w:rPr>
          <w:rFonts w:ascii="Times New Roman" w:hAnsi="Times New Roman"/>
          <w:b w:val="0"/>
          <w:i/>
          <w:sz w:val="20"/>
        </w:rPr>
        <w:t xml:space="preserve">, HOF, etc.) that the multi-task score model is trained to regress and classify. At sample time, the only networks actually evaluated per DDIM step are the denoiser (one of DGLD-H or DGLD-P depending on the pool-fusion lane, §4.4 / §4.7) and the multi-task score model; the Random Forest and smoke ensemble do not appear in the sampling loop. The smoke ensemble is additionally invoked once per surviving candidate at re-ranking (Stage 1) to produce the (8-output) post-rerank property scores.</w:t>
      </w:r>
    </w:p>
    <w:p>
      <w:pPr>
        <w:pStyle w:val="Subtitle"/>
        <w:spacing w:before="0" w:after="40"/>
        <w:jc w:val="center"/>
        <w:keepNext/>
        <w:keepLines/>
        <w:widowControl w:val="1"/>
      </w:pPr>
      <w:r>
        <w:rPr>
          <w:rFonts w:ascii="Times New Roman" w:hAnsi="Times New Roman"/>
          <w:b/>
          <w:bCs/>
          <w:i w:val="0"/>
          <w:sz w:val="24"/>
        </w:rPr>
        <w:t xml:space="preserve">Table B.1a.</w:t>
      </w:r>
      <w:r>
        <w:rPr>
          <w:rFonts w:ascii="Times New Roman" w:hAnsi="Times New Roman"/>
          <w:b/>
          <w:i w:val="0"/>
          <w:sz w:val="24"/>
        </w:rPr>
        <w:t xml:space="preserve"> </w:t>
      </w:r>
      <w:r>
        <w:rPr>
          <w:rFonts w:ascii="Times New Roman" w:hAnsi="Times New Roman"/>
          <w:b/>
          <w:i w:val="0"/>
          <w:sz w:val="24"/>
        </w:rPr>
        <w:t xml:space="preserve">LIMO SELFIES-VAE hyperparameters. Source of truth for all LIMO-related numeric values referenced in §3–§4.</w:t>
      </w:r>
    </w:p>
    <w:tbl>
      <w:tblPr>
        <w:tblStyle w:val="Table"/>
        <w:tblW w:type="pct" w:w="5000"/>
        <w:jc w:val="center"/>
        <w:tblLook w:firstRow="1" w:lastRow="0" w:firstColumn="0" w:lastColumn="0" w:noHBand="0" w:noVBand="0" w:val="0020"/>
        <w:tblCaption w:val="Table B.1a. LIMO SELFIES-VAE hyperparameters. Source of truth for all LIMO-related numeric values referenced in §3–§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SELFIES-VAE (Fig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Latent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SELFIES max length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Vocabulary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Embedding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Linear(72·64=4608→2000)–ReLU–Linear(2000→1000)–BN1d–ReLU–Linear(1000→1000)–BN1d–ReLU–Linear(1000→2·1024)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Linear(1024→1000)–BN1d–ReLU–Linear(1000→1000)–BN1d–ReLU–Linear(1000→2000)–ReLU–Linear(2000→72·108=7776)</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ReLU (encoder &amp; decoder hidden); log-softmax over vocab on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NLL reconstruction + β·KL (standard VAE ELBO; free-bits disabled)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KL weight β</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 (constant)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Fine-tune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~8500 on 326 k energetic-biased SMILES</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combo_bundle/limo_model.py</w:t>
            </w:r>
            <w:r>
              <w:rPr>
                <w:rFonts w:ascii="Times New Roman" w:hAnsi="Times New Roman"/>
                <w:sz w:val="19"/>
              </w:rPr>
              <w:t xml:space="preserve"> </w:t>
            </w:r>
            <w:r>
              <w:rPr>
                <w:rFonts w:ascii="Times New Roman" w:hAnsi="Times New Roman"/>
                <w:sz w:val="19"/>
              </w:rPr>
              <w:t xml:space="preserve">(LIMOVAE class)</w:t>
            </w:r>
          </w:p>
        </w:tc>
      </w:tr>
    </w:tbl>
    <w:p/>
    <w:p>
      <w:pPr>
        <w:pStyle w:val="Subtitle"/>
        <w:spacing w:before="0" w:after="40"/>
        <w:jc w:val="center"/>
        <w:keepNext/>
        <w:keepLines/>
        <w:widowControl w:val="1"/>
      </w:pPr>
      <w:r>
        <w:rPr>
          <w:rFonts w:ascii="Times New Roman" w:hAnsi="Times New Roman"/>
          <w:b/>
          <w:bCs/>
          <w:i w:val="0"/>
          <w:sz w:val="24"/>
        </w:rPr>
        <w:t xml:space="preserve">Table B.1b.</w:t>
      </w:r>
      <w:r>
        <w:rPr>
          <w:rFonts w:ascii="Times New Roman" w:hAnsi="Times New Roman"/>
          <w:b/>
          <w:i w:val="0"/>
          <w:sz w:val="24"/>
        </w:rPr>
        <w:t xml:space="preserve"> </w:t>
      </w:r>
      <w:r>
        <w:rPr>
          <w:rFonts w:ascii="Times New Roman" w:hAnsi="Times New Roman"/>
          <w:b/>
          <w:i w:val="0"/>
          <w:sz w:val="24"/>
        </w:rPr>
        <w:t xml:space="preserve">Denoiser and multi-task score-model hyperparameters. Source of truth for all denoiser and score-model numeric values referenced in §3–§4.</w:t>
      </w:r>
    </w:p>
    <w:tbl>
      <w:tblPr>
        <w:tblStyle w:val="Table"/>
        <w:tblW w:type="pct" w:w="5000"/>
        <w:jc w:val="center"/>
        <w:tblLook w:firstRow="1" w:lastRow="0" w:firstColumn="0" w:lastColumn="0" w:noHBand="0" w:noVBand="0" w:val="0020"/>
        <w:tblCaption w:val="Table B.1b. Denoiser and multi-task score-model hyperparameters. Source of truth for all denoiser and score-model numeric values referenced in §3–§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ε</w:t>
            </w:r>
            <w:r>
              <w:rPr>
                <w:rFonts w:ascii="Times New Roman" w:hAnsi="Times New Roman"/>
                <w:sz w:val="19"/>
                <w:vertAlign w:val="subscript"/>
              </w:rPr>
              <w:t xml:space="preserve">θ</w:t>
            </w:r>
            <w:r>
              <w:rPr>
                <w:rFonts w:ascii="Times New Roman" w:hAnsi="Times New Roman"/>
                <w:sz w:val="19"/>
              </w:rPr>
              <w:t xml:space="preserve"> </w:t>
            </w:r>
            <w:r>
              <w:rPr>
                <w:rFonts w:ascii="Times New Roman" w:hAnsi="Times New Roman"/>
                <w:sz w:val="19"/>
              </w:rPr>
              <w:t xml:space="preserve">(DGLD-P; Fig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FiLM-modulated ResNet, 8 residual blocks, latent 1024, hidden 2048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LayerNorm–Linear(1024→2048)–FiLM(γ,β)–SiLU–Linear(2048→1024)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44.6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Time-embed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256 (sinusoidal → 2-layer MLP)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 per property × 4 properties = 256, plus learned mask token</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masked MSE on predicted noise ε with mask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 (diffusion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 (cosine schedule, Nichol &amp; Dhariwal)</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EMA decay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0.999</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1e-4 / 1e-4 (cosine decay)</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cfg-dropout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property-dropout rate (DGLD-P)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oversample-extreme factor / quantile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5×–10× above 90th percentile (high tail; matches §3.2)</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Multi-task score model (Fig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latent 1024, hidden 1024, σ-embed 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Linear(1024→1024)–LayerNorm–FiLM(σ-emb→(γ,β) over 1024)–SiLU–Dropout(0.1)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embedding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Linear(1→128)–SiLU–Linear(128→128)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Heads (6, parallel on 1024-d trunk)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Linear(1024→256)–SiLU–Linear(256→d</w:t>
            </w:r>
            <w:r>
              <w:rPr>
                <w:rFonts w:ascii="Times New Roman" w:hAnsi="Times New Roman"/>
                <w:sz w:val="19"/>
                <w:vertAlign w:val="subscript"/>
              </w:rPr>
              <w:t xml:space="preserve">k</w:t>
            </w:r>
            <w:r>
              <w:rPr>
                <w:rFonts w:ascii="Times New Roman" w:hAnsi="Times New Roman"/>
                <w:sz w:val="19"/>
              </w:rPr>
              <w:t xml:space="preserve">); d</w:t>
            </w:r>
            <w:r>
              <w:rPr>
                <w:rFonts w:ascii="Times New Roman" w:hAnsi="Times New Roman"/>
                <w:sz w:val="19"/>
                <w:vertAlign w:val="subscript"/>
              </w:rPr>
              <w:t xml:space="preserve">k</w:t>
            </w:r>
            <w:r>
              <w:rPr>
                <w:rFonts w:ascii="Times New Roman" w:hAnsi="Times New Roman"/>
                <w:sz w:val="19"/>
              </w:rPr>
              <w:t xml:space="preserve">=1 for viability/SA/SC/sensitivity/hazard; d</w:t>
            </w:r>
            <w:r>
              <w:rPr>
                <w:rFonts w:ascii="Times New Roman" w:hAnsi="Times New Roman"/>
                <w:sz w:val="19"/>
                <w:vertAlign w:val="subscript"/>
              </w:rPr>
              <w:t xml:space="preserve">k</w:t>
            </w:r>
            <w:r>
              <w:rPr>
                <w:rFonts w:ascii="Times New Roman" w:hAnsi="Times New Roman"/>
                <w:sz w:val="19"/>
              </w:rPr>
              <w:t xml:space="preserve">=4 for performance (ρ, HOF, D, 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 (trunk); sigmoid on viability/hazard logits at use-time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BCE-with-logits (viability, hazard); smooth-L1 on z-scored target (SA, SC, sensitivity, performance), performance masked to Tier-A/B</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Noise-level curriculum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 U(0, σ</w:t>
            </w:r>
            <w:r>
              <w:rPr>
                <w:rFonts w:ascii="Times New Roman" w:hAnsi="Times New Roman"/>
                <w:sz w:val="19"/>
                <w:vertAlign w:val="subscript"/>
              </w:rPr>
              <w:t xml:space="preserve">max</w:t>
            </w:r>
            <w:r>
              <w:rPr>
                <w:rFonts w:ascii="Times New Roman" w:hAnsi="Times New Roman"/>
                <w:sz w:val="19"/>
              </w:rPr>
              <w:t xml:space="preserve">=2.0) per batch; z</w:t>
            </w:r>
            <w:r>
              <w:rPr>
                <w:rFonts w:ascii="Times New Roman" w:hAnsi="Times New Roman"/>
                <w:sz w:val="19"/>
                <w:vertAlign w:val="subscript"/>
              </w:rPr>
              <w:t xml:space="preserve">t</w:t>
            </w:r>
            <w:r>
              <w:rPr>
                <w:rFonts w:ascii="Times New Roman" w:hAnsi="Times New Roman"/>
                <w:sz w:val="19"/>
              </w:rPr>
              <w:t xml:space="preserve">=z</w:t>
            </w:r>
            <w:r>
              <w:rPr>
                <w:rFonts w:ascii="Times New Roman" w:hAnsi="Times New Roman"/>
                <w:sz w:val="19"/>
                <w:vertAlign w:val="subscript"/>
              </w:rPr>
              <w:t xml:space="preserve">0</w:t>
            </w:r>
            <w:r>
              <w:rPr>
                <w:rFonts w:ascii="Times New Roman" w:hAnsi="Times New Roman"/>
                <w:sz w:val="19"/>
              </w:rPr>
              <w:t xml:space="preserve">+σ·ε</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2e-4 / 1e-4 (cosine decay), grad-norm clip 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Steps / batch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~40k AdamW steps / batch 1024 (matches §4.7)</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Sample-time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autograd of head losses w.r.t. z</w:t>
            </w:r>
            <w:r>
              <w:rPr>
                <w:rFonts w:ascii="Times New Roman" w:hAnsi="Times New Roman"/>
                <w:sz w:val="19"/>
                <w:vertAlign w:val="subscript"/>
              </w:rPr>
              <w:t xml:space="preserve">t</w:t>
            </w:r>
            <w:r>
              <w:rPr>
                <w:rFonts w:ascii="Times New Roman" w:hAnsi="Times New Roman"/>
                <w:sz w:val="19"/>
              </w:rPr>
              <w:t xml:space="preserve">; per-head clamp + alpha-anneal disabled (§4.7)</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combo_bundle/train_multihead_latent.py</w:t>
            </w:r>
            <w:r>
              <w:rPr>
                <w:rFonts w:ascii="Times New Roman" w:hAnsi="Times New Roman"/>
                <w:sz w:val="19"/>
              </w:rPr>
              <w:t xml:space="preserve"> </w:t>
            </w:r>
            <w:r>
              <w:rPr>
                <w:rFonts w:ascii="Times New Roman" w:hAnsi="Times New Roman"/>
                <w:sz w:val="19"/>
              </w:rPr>
              <w:t xml:space="preserve">(MultiHeadScoreModel)</w:t>
            </w:r>
          </w:p>
        </w:tc>
      </w:tr>
    </w:tbl>
    <w:p/>
    <w:p>
      <w:pPr>
        <w:pStyle w:val="Subtitle"/>
        <w:spacing w:before="0" w:after="160"/>
        <w:jc w:val="center"/>
        <w:keepNext w:val="0"/>
        <w:keepLines/>
        <w:widowControl w:val="1"/>
      </w:pPr>
      <w:r>
        <w:rPr>
          <w:rFonts w:ascii="Times New Roman" w:hAnsi="Times New Roman"/>
          <w:b w:val="0"/>
          <w:bCs/>
          <w:i/>
          <w:sz w:val="20"/>
        </w:rPr>
        <w:t xml:space="preserve">Table B.1c.</w:t>
      </w:r>
      <w:r>
        <w:rPr>
          <w:rFonts w:ascii="Times New Roman" w:hAnsi="Times New Roman"/>
          <w:b w:val="0"/>
          <w:i/>
          <w:sz w:val="20"/>
        </w:rPr>
        <w:t xml:space="preserve"> </w:t>
      </w:r>
      <w:r>
        <w:rPr>
          <w:rFonts w:ascii="Times New Roman" w:hAnsi="Times New Roman"/>
          <w:b w:val="0"/>
          <w:i/>
          <w:sz w:val="20"/>
        </w:rPr>
        <w:t xml:space="preserve">External label sources and re-ranking pipeline configuration. The Random Forest and 3D smoke-model ensemble run only at training-label preparation (and Stage-1 reranking for the smoke ensemble), not in the per-step sampling loop.</w:t>
      </w:r>
    </w:p>
    <w:tbl>
      <w:tblPr>
        <w:tblStyle w:val="Table"/>
        <w:tblW w:type="pct" w:w="5000"/>
        <w:jc w:val="center"/>
        <w:tblLook w:firstRow="1" w:lastRow="0" w:firstColumn="0" w:lastColumn="0" w:noHBand="0" w:noVBand="0" w:val="0020"/>
        <w:tblCaption w:val="Table B.1c. External label sources and re-ranking pipeline configuration. The Random Forest and 3D smoke-model ensemble run only at training-label preparation (and Stage-1 reranking for the smoke ensemble), not in the per-step sampling loo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Random-Forest viability classifier (training-label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Algorithm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scikit-learn RandomForestClassifier (CPU)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n_estimators / max_depth / min_samples_leaf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 22 / 4 (v2-hardneg; v1 uses CLI flags: see code)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Class weight / random_state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balanced / 42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Feature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~2089 = 2048 Morgan FP (radius 2) + 10 RDKit descriptors + 11 derived CHNO/OB features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Training data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k labelled energetics positives vs 80 k ZINC-250k random negatives + mined hard negatives (§B.1)</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AUC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0.9986 (v2-hardneg test split)</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smoke-model ensemble (training-label source &amp; Stage-1 scorer)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Uni-Mol v1 (Zhou et al. 2023) regression head, 2-fold scaffold-CV ensemble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 M per fold × 2 folds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conformer atom-coordinate set (Uni-Mol native); not a raw voxel grid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Outputs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ρ, D, P, det-temperature T, det-energy E, det-volume V, HOF, BDE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R</w:t>
            </w:r>
            <w:r>
              <w:rPr>
                <w:rFonts w:ascii="Times New Roman" w:hAnsi="Times New Roman"/>
                <w:sz w:val="19"/>
                <w:vertAlign w:val="super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0.84–0.92 (5-fold CV, per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Wrapper /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scripts/diffusion/unimol_validator.py</w:t>
            </w:r>
            <w:r>
              <w:rPr>
                <w:rFonts w:ascii="Times New Roman" w:hAnsi="Times New Roman"/>
                <w:sz w:val="19"/>
              </w:rPr>
              <w:t xml:space="preserve">; reset every 80 batches</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Re-ranking (Stage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Tanimoto window</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(0.20, 0.55)</w:t>
            </w:r>
          </w:p>
        </w:tc>
      </w:tr>
    </w:tbl>
    <w:p>
      <w:pPr>
        <w:pStyle w:val="Subtitle"/>
        <w:spacing w:before="0" w:after="40"/>
        <w:jc w:val="center"/>
        <w:keepNext/>
        <w:keepLines/>
        <w:widowControl w:val="1"/>
      </w:pPr>
      <w:r>
        <w:rPr>
          <w:rFonts w:ascii="Times New Roman" w:hAnsi="Times New Roman"/>
          <w:b/>
          <w:bCs/>
          <w:i w:val="0"/>
          <w:sz w:val="24"/>
        </w:rPr>
        <w:t xml:space="preserve">B.1 Hard-negative augmentation (self-distillation).</w:t>
      </w:r>
    </w:p>
    <w:p>
      <w:pPr>
        <w:pStyle w:val="Subtitle"/>
        <w:spacing w:before="0" w:after="160"/>
        <w:jc w:val="center"/>
        <w:keepNext w:val="0"/>
        <w:keepLines/>
        <w:widowControl w:val="1"/>
      </w:pPr>
      <w:r>
        <w:rPr>
          <w:rFonts w:ascii="Times New Roman" w:hAnsi="Times New Roman"/>
          <w:b w:val="0"/>
          <w:i/>
          <w:iCs/>
          <w:sz w:val="20"/>
        </w:rPr>
        <w:t xml:space="preserve">Why it's needed.</w:t>
      </w:r>
      <w:r>
        <w:rPr>
          <w:rFonts w:ascii="Times New Roman" w:hAnsi="Times New Roman"/>
          <w:b w:val="0"/>
          <w:i/>
          <w:sz w:val="20"/>
        </w:rPr>
        <w:t xml:space="preserve"> </w:t>
      </w:r>
      <w:r>
        <w:rPr>
          <w:rFonts w:ascii="Times New Roman" w:hAnsi="Times New Roman"/>
          <w:b w:val="0"/>
          <w:i/>
          <w:sz w:val="20"/>
        </w:rPr>
        <w:t xml:space="preserve">The Viability head's labels at round 0 are produced by</w:t>
      </w:r>
      <w:r>
        <w:rPr>
          <w:rFonts w:ascii="Times New Roman" w:hAnsi="Times New Roman"/>
          <w:b w:val="0"/>
          <w:i/>
          <w:sz w:val="20"/>
        </w:rP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rPr>
          <w:rFonts w:ascii="Times New Roman" w:hAnsi="Times New Roman"/>
          <w:b w:val="0"/>
          <w:i/>
          <w:sz w:val="20"/>
        </w:rPr>
        <w:t xml:space="preserve"> </w:t>
      </w:r>
      <w:r>
        <w:rPr>
          <w:rFonts w:ascii="Times New Roman" w:hAnsi="Times New Roman"/>
          <w:b w:val="0"/>
          <w:i/>
          <w:sz w:val="20"/>
        </w:rPr>
        <w:t xml:space="preserve">(cf. §4.5). The Random Forest was trained on (labelled energetic corpus = positives, ZINC drug-like = negatives), a clean two-class boundary. The diffusion sampler, however, operates in</w:t>
      </w:r>
      <w:r>
        <w:rPr>
          <w:rFonts w:ascii="Times New Roman" w:hAnsi="Times New Roman"/>
          <w:b w:val="0"/>
          <w:i/>
          <w:sz w:val="20"/>
        </w:rPr>
        <w:t xml:space="preserve"> </w:t>
      </w:r>
      <w:r>
        <w:rPr>
          <w:rFonts w:ascii="Times New Roman" w:hAnsi="Times New Roman"/>
          <w:b w:val="0"/>
          <w:i/>
          <w:iCs/>
          <w:sz w:val="20"/>
        </w:rPr>
        <w:t xml:space="preserve">latent regions between</w:t>
      </w:r>
      <w:r>
        <w:rPr>
          <w:rFonts w:ascii="Times New Roman" w:hAnsi="Times New Roman"/>
          <w:b w:val="0"/>
          <w:i/>
          <w:sz w:val="20"/>
        </w:rPr>
        <w:t xml:space="preserve"> </w:t>
      </w:r>
      <w:r>
        <w:rPr>
          <w:rFonts w:ascii="Times New Roman" w:hAnsi="Times New Roman"/>
          <w:b w:val="0"/>
          <w:i/>
          <w:sz w:val="20"/>
        </w:rP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rPr>
          <w:rFonts w:ascii="Times New Roman" w:hAnsi="Times New Roman"/>
          <w:b w:val="0"/>
          <w:i/>
          <w:sz w:val="20"/>
        </w:rPr>
        <w:t xml:space="preserve"> </w:t>
      </w:r>
      <m:oMath>
        <m:sSub>
          <m:e>
            <m:r>
              <m:t>y</m:t>
            </m:r>
          </m:e>
          <m:sub>
            <m:r>
              <m:rPr>
                <m:nor/>
                <m:sty m:val="p"/>
              </m:rPr>
              <m:t>viab</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labels. The three-round training schedule (0 → 137 → 918 cumulative hard negatives; Fig 12) is specified in §4.11 and not repeated here. The held-out probe (7 anchors: RDX, HMX, TNT, FOX-7, PETN, TATB, NTO; 5 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confirms anchors hold at 0.86–0.99 while cheats are demoted to 0.12–0.84. Appendix D.9 reports an early variant (137 cheats) versus the production variant (918 cheats).</w:t>
      </w:r>
    </w:p>
    <w:p>
      <w:pPr>
        <w:pStyle w:val="Subtitle"/>
        <w:spacing w:before="0" w:after="160"/>
        <w:jc w:val="center"/>
        <w:keepNext w:val="0"/>
        <w:keepLines/>
        <w:widowControl w:val="1"/>
      </w:pPr>
      <w:r>
        <w:rPr>
          <w:rFonts w:ascii="Times New Roman" w:hAnsi="Times New Roman"/>
          <w:b w:val="0"/>
          <w:i/>
          <w:iCs/>
          <w:sz w:val="20"/>
        </w:rPr>
        <w:t xml:space="preserve">What's frozen vs trained.</w:t>
      </w:r>
      <w:r>
        <w:rPr>
          <w:rFonts w:ascii="Times New Roman" w:hAnsi="Times New Roman"/>
          <w:b w:val="0"/>
          <w:i/>
          <w:sz w:val="20"/>
        </w:rPr>
        <w:t xml:space="preserve"> </w:t>
      </w:r>
      <w:r>
        <w:rPr>
          <w:rFonts w:ascii="Times New Roman" w:hAnsi="Times New Roman"/>
          <w:b w:val="0"/>
          <w:i/>
          <w:sz w:val="20"/>
        </w:rP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in their availability mask, §4.5). The score model after round 2 (corpus + 918 hard negatives) is the production checkpoint used in §5.</w:t>
      </w:r>
    </w:p>
    <w:p>
      <w:pPr>
        <w:pStyle w:val="Subtitle"/>
        <w:spacing w:before="0" w:after="160"/>
        <w:jc w:val="center"/>
        <w:keepNext w:val="0"/>
        <w:keepLines/>
        <w:widowControl w:val="1"/>
      </w:pPr>
      <w:r>
        <w:rPr>
          <w:rFonts w:ascii="Times New Roman" w:hAnsi="Times New Roman"/>
          <w:b w:val="0"/>
          <w:bCs/>
          <w:i/>
          <w:sz w:val="20"/>
        </w:rPr>
        <w:t xml:space="preserve">Procedure summary.</w:t>
      </w:r>
      <w:r>
        <w:rPr>
          <w:rFonts w:ascii="Times New Roman" w:hAnsi="Times New Roman"/>
          <w:b w:val="0"/>
          <w:i/>
          <w:sz w:val="20"/>
        </w:rPr>
        <w:t xml:space="preserve"> </w:t>
      </w:r>
      <w:r>
        <w:rPr>
          <w:rFonts w:ascii="Times New Roman" w:hAnsi="Times New Roman"/>
          <w:b w:val="0"/>
          <w:i/>
          <w:sz w:val="20"/>
        </w:rPr>
        <w:t xml:space="preserve">The protocol of Fig 12 in five steps, repeated for at most three rounds:</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Train</w:t>
      </w:r>
      <w:r>
        <w:rPr>
          <w:rFonts w:ascii="Times New Roman" w:hAnsi="Times New Roman"/>
          <w:b/>
          <w:i w:val="0"/>
          <w:sz w:val="24"/>
        </w:rPr>
        <w:t xml:space="preserve"> </w:t>
      </w:r>
      <w:r>
        <w:rPr>
          <w:rFonts w:ascii="Times New Roman" w:hAnsi="Times New Roman"/>
          <w:b/>
          <w:i w:val="0"/>
          <w:sz w:val="24"/>
        </w:rPr>
        <w:t xml:space="preserve">the score model for</w:t>
      </w:r>
      <w:r>
        <w:rPr>
          <w:rFonts w:ascii="Times New Roman" w:hAnsi="Times New Roman"/>
          <w:b/>
          <w:i w:val="0"/>
          <w:sz w:val="24"/>
        </w:rPr>
        <w:t xml:space="preserve"> </w:t>
      </w:r>
      <m:oMath>
        <m:r>
          <m:rPr>
            <m:sty m:val="p"/>
          </m:rPr>
          <m:t>∼</m:t>
        </m:r>
      </m:oMath>
      <w:r>
        <w:rPr>
          <w:rFonts w:ascii="Times New Roman" w:hAnsi="Times New Roman"/>
          <w:b/>
          <w:i w:val="0"/>
          <w:sz w:val="24"/>
        </w:rPr>
        <w:t xml:space="preserve">40k AdamW steps on the labelled corpus plus all hard negatives accumulated so far (zero negatives in round 0).</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Probe</w:t>
      </w:r>
      <w:r>
        <w:rPr>
          <w:rFonts w:ascii="Times New Roman" w:hAnsi="Times New Roman"/>
          <w:b w:val="0"/>
          <w:i/>
          <w:sz w:val="20"/>
        </w:rPr>
        <w:t xml:space="preserve"> </w:t>
      </w:r>
      <w:r>
        <w:rPr>
          <w:rFonts w:ascii="Times New Roman" w:hAnsi="Times New Roman"/>
          <w:b w:val="0"/>
          <w:i/>
          <w:sz w:val="20"/>
        </w:rPr>
        <w:t xml:space="preserve">on a held-out 7-anchor / 5-cheat set; if all anchors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and all cheats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0.84, stop.</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Sample</w:t>
      </w:r>
      <w:r>
        <w:rPr>
          <w:rFonts w:ascii="Times New Roman" w:hAnsi="Times New Roman"/>
          <w:b/>
          <w:i w:val="0"/>
          <w:sz w:val="24"/>
        </w:rPr>
        <w:t xml:space="preserve"> </w:t>
      </w:r>
      <w:r>
        <w:rPr>
          <w:rFonts w:ascii="Times New Roman" w:hAnsi="Times New Roman"/>
          <w:b/>
          <w:i w:val="0"/>
          <w:sz w:val="24"/>
        </w:rPr>
        <w:t xml:space="preserve">a candidate pool from the diffusion model using the current score-model's guidance.</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Mine</w:t>
      </w:r>
      <w:r>
        <w:rPr>
          <w:rFonts w:ascii="Times New Roman" w:hAnsi="Times New Roman"/>
          <w:b/>
          <w:i w:val="0"/>
          <w:sz w:val="24"/>
        </w:rPr>
        <w:t xml:space="preserve"> </w:t>
      </w:r>
      <w:r>
        <w:rPr>
          <w:rFonts w:ascii="Times New Roman" w:hAnsi="Times New Roman"/>
          <w:b/>
          <w:i w:val="0"/>
          <w:sz w:val="24"/>
        </w:rPr>
        <w:t xml:space="preserve">false positives: high predicted viability but rejected by the chem-curated SMARTS gate.</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Encode</w:t>
      </w:r>
      <w:r>
        <w:rPr>
          <w:rFonts w:ascii="Times New Roman" w:hAnsi="Times New Roman"/>
          <w:b w:val="0"/>
          <w:i/>
          <w:sz w:val="20"/>
        </w:rPr>
        <w:t xml:space="preserve"> </w:t>
      </w:r>
      <w:r>
        <w:rPr>
          <w:rFonts w:ascii="Times New Roman" w:hAnsi="Times New Roman"/>
          <w:b w:val="0"/>
          <w:i/>
          <w:sz w:val="20"/>
        </w:rPr>
        <w:t xml:space="preserve">the mined cheats through the frozen LIMO encoder, label them viab</w:t>
      </w:r>
      <m:oMath>
        <m:r>
          <m:rPr>
            <m:sty m:val="p"/>
          </m:rPr>
          <m:t>=</m:t>
        </m:r>
      </m:oMath>
      <w:r>
        <w:rPr>
          <w:rFonts w:ascii="Times New Roman" w:hAnsi="Times New Roman"/>
          <w:b w:val="0"/>
          <w:i/>
          <w:sz w:val="20"/>
        </w:rPr>
        <w:t xml:space="preserve">0, and add them to the cumulative hard-negative set for the next round.</w:t>
      </w:r>
    </w:p>
    <w:p>
      <w:pPr>
        <w:pStyle w:val="Subtitle"/>
        <w:spacing w:before="0" w:after="160"/>
        <w:jc w:val="center"/>
        <w:keepNext w:val="0"/>
        <w:keepLines/>
        <w:widowControl w:val="1"/>
      </w:pPr>
      <w:r>
        <w:rPr>
          <w:rFonts w:ascii="Times New Roman" w:hAnsi="Times New Roman"/>
          <w:b w:val="0"/>
          <w:bCs/>
          <w:i/>
          <w:sz w:val="20"/>
        </w:rPr>
        <w:t xml:space="preserve">Why a teacher Random Forest rather than direct binary labels.</w:t>
      </w:r>
      <w:r>
        <w:rPr>
          <w:rFonts w:ascii="Times New Roman" w:hAnsi="Times New Roman"/>
          <w:b w:val="0"/>
          <w:i/>
          <w:sz w:val="20"/>
        </w:rPr>
        <w:t xml:space="preserve"> </w:t>
      </w:r>
      <w:r>
        <w:rPr>
          <w:rFonts w:ascii="Times New Roman" w:hAnsi="Times New Roman"/>
          <w:b w:val="0"/>
          <w:i/>
          <w:sz w:val="20"/>
        </w:rPr>
        <w:t xml:space="preserve">The score-model head trains on</w:t>
      </w:r>
      <w:r>
        <w:rPr>
          <w:rFonts w:ascii="Times New Roman" w:hAnsi="Times New Roman"/>
          <w:b w:val="0"/>
          <w:i/>
          <w:sz w:val="20"/>
        </w:rPr>
        <w:t xml:space="preserve"> </w:t>
      </w:r>
      <w:r>
        <w:rPr>
          <w:rFonts w:ascii="Times New Roman" w:hAnsi="Times New Roman"/>
          <w:b w:val="0"/>
          <w:i/>
          <w:iCs/>
          <w:sz w:val="20"/>
        </w:rPr>
        <w:t xml:space="preserve">noised</w:t>
      </w:r>
      <w:r>
        <w:rPr>
          <w:rFonts w:ascii="Times New Roman" w:hAnsi="Times New Roman"/>
          <w:b w:val="0"/>
          <w:i/>
          <w:sz w:val="20"/>
        </w:rPr>
        <w:t xml:space="preserve"> </w:t>
      </w:r>
      <w:r>
        <w:rPr>
          <w:rFonts w:ascii="Times New Roman" w:hAnsi="Times New Roman"/>
          <w:b w:val="0"/>
          <w:i/>
          <w:sz w:val="20"/>
        </w:rPr>
        <w:t xml:space="preserve">latents</w:t>
      </w:r>
      <w:r>
        <w:rPr>
          <w:rFonts w:ascii="Times New Roman" w:hAnsi="Times New Roman"/>
          <w:b w:val="0"/>
          <w:i/>
          <w:sz w:val="20"/>
        </w:rPr>
        <w:t xml:space="preserve"> </w:t>
      </w:r>
      <m:oMath>
        <m:sSub>
          <m:e>
            <m:r>
              <m:t>z</m:t>
            </m:r>
          </m:e>
          <m:sub>
            <m:r>
              <m:t>t</m:t>
            </m:r>
          </m:sub>
        </m:sSub>
      </m:oMath>
      <w:r>
        <w:rPr>
          <w:rFonts w:ascii="Times New Roman" w:hAnsi="Times New Roman"/>
          <w:b w:val="0"/>
          <w:i/>
          <w:sz w:val="20"/>
        </w:rPr>
        <w:t xml:space="preserve">, so we need a label-from-SMILES function that can be applied at</w:t>
      </w:r>
      <w:r>
        <w:rPr>
          <w:rFonts w:ascii="Times New Roman" w:hAnsi="Times New Roman"/>
          <w:b w:val="0"/>
          <w:i/>
          <w:sz w:val="20"/>
        </w:rPr>
        <w:t xml:space="preserve"> </w:t>
      </w:r>
      <m:oMath>
        <m:sSub>
          <m:e>
            <m:r>
              <m:t>z</m:t>
            </m:r>
          </m:e>
          <m:sub>
            <m:r>
              <m:t>0</m:t>
            </m:r>
          </m:sub>
        </m:sSub>
      </m:oMath>
      <w:r>
        <w:rPr>
          <w:rFonts w:ascii="Times New Roman" w:hAnsi="Times New Roman"/>
          <w:b w:val="0"/>
          <w:i/>
          <w:sz w:val="20"/>
        </w:rPr>
        <w:t xml:space="preserve"> </w:t>
      </w:r>
      <w:r>
        <w:rPr>
          <w:rFonts w:ascii="Times New Roman" w:hAnsi="Times New Roman"/>
          <w:b w:val="0"/>
          <w:i/>
          <w:sz w:val="20"/>
        </w:rP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rPr>
          <w:rFonts w:ascii="Times New Roman" w:hAnsi="Times New Roman"/>
          <w:b w:val="0"/>
          <w:i/>
          <w:sz w:val="20"/>
        </w:rPr>
        <w:t xml:space="preserve"> </w:t>
      </w:r>
      <m:oMath>
        <m:r>
          <m:rPr>
            <m:sty m:val="p"/>
          </m:rPr>
          <m:t>{</m:t>
        </m:r>
        <m:r>
          <m:t>0</m:t>
        </m:r>
        <m:r>
          <m:rPr>
            <m:sty m:val="p"/>
          </m:rPr>
          <m:t>,</m:t>
        </m:r>
        <m:r>
          <m:t>1</m:t>
        </m:r>
        <m:r>
          <m:rPr>
            <m:sty m:val="p"/>
          </m:rPr>
          <m:t>}</m:t>
        </m:r>
      </m:oMath>
      <w:r>
        <w:rPr>
          <w:rFonts w:ascii="Times New Roman" w:hAnsi="Times New Roman"/>
          <w:b w:val="0"/>
          <w:i/>
          <w:sz w:val="20"/>
        </w:rPr>
        <w:t xml:space="preserve"> </w:t>
      </w:r>
      <w:r>
        <w:rPr>
          <w:rFonts w:ascii="Times New Roman" w:hAnsi="Times New Roman"/>
          <w:b w:val="0"/>
          <w:i/>
          <w:sz w:val="20"/>
        </w:rP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Subtitle"/>
        <w:spacing w:before="0" w:after="160"/>
        <w:jc w:val="center"/>
        <w:keepNext w:val="0"/>
        <w:keepLines/>
        <w:widowControl w:val="1"/>
      </w:pPr>
      <w:r>
        <w:rPr>
          <w:rFonts w:ascii="Times New Roman" w:hAnsi="Times New Roman"/>
          <w:b w:val="0"/>
          <w:i/>
          <w:sz w:val="20"/>
        </w:rPr>
        <w:t xml:space="preserve">Within a single call to</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the hard-negative set is fixed input data, indistinguishable from the labelled corpus rows; the only "self-distillation" is the outer-loop iteration where the</w:t>
      </w:r>
      <w:r>
        <w:rPr>
          <w:rFonts w:ascii="Times New Roman" w:hAnsi="Times New Roman"/>
          <w:b w:val="0"/>
          <w:i/>
          <w:sz w:val="20"/>
        </w:rPr>
        <w:t xml:space="preserve"> </w:t>
      </w:r>
      <w:r>
        <w:rPr>
          <w:rFonts w:ascii="Times New Roman" w:hAnsi="Times New Roman"/>
          <w:b w:val="0"/>
          <w:i/>
          <w:iCs/>
          <w:sz w:val="20"/>
        </w:rPr>
        <w:t xml:space="preserve">next</w:t>
      </w:r>
      <w:r>
        <w:rPr>
          <w:rFonts w:ascii="Times New Roman" w:hAnsi="Times New Roman"/>
          <w:b w:val="0"/>
          <w:i/>
          <w:sz w:val="20"/>
        </w:rPr>
        <w:t xml:space="preserve"> </w:t>
      </w:r>
      <w:r>
        <w:rPr>
          <w:rFonts w:ascii="Times New Roman" w:hAnsi="Times New Roman"/>
          <w:b w:val="0"/>
          <w:i/>
          <w:sz w:val="20"/>
        </w:rPr>
        <w:t xml:space="preserve">round's training data depends on the</w:t>
      </w:r>
      <w:r>
        <w:rPr>
          <w:rFonts w:ascii="Times New Roman" w:hAnsi="Times New Roman"/>
          <w:b w:val="0"/>
          <w:i/>
          <w:sz w:val="20"/>
        </w:rPr>
        <w:t xml:space="preserve"> </w:t>
      </w:r>
      <w:r>
        <w:rPr>
          <w:rFonts w:ascii="Times New Roman" w:hAnsi="Times New Roman"/>
          <w:b w:val="0"/>
          <w:i/>
          <w:iCs/>
          <w:sz w:val="20"/>
        </w:rPr>
        <w:t xml:space="preserve">current</w:t>
      </w:r>
      <w:r>
        <w:rPr>
          <w:rFonts w:ascii="Times New Roman" w:hAnsi="Times New Roman"/>
          <w:b w:val="0"/>
          <w:i/>
          <w:sz w:val="20"/>
        </w:rPr>
        <w:t xml:space="preserve"> </w:t>
      </w:r>
      <w:r>
        <w:rPr>
          <w:rFonts w:ascii="Times New Roman" w:hAnsi="Times New Roman"/>
          <w:b w:val="0"/>
          <w:i/>
          <w:sz w:val="20"/>
        </w:rPr>
        <w:t xml:space="preserve">round's model. Operational note: a third-party reproduction can skip rounds 0–1 entirely by loading the published 918 hard-negative latents (released alongside the labelled master, §7.1) and running only one round of</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with corpus + 918 negatives. This is the recipe used by the Zenodo-deposited production checkpoint.</w:t>
      </w:r>
    </w:p>
    <w:p>
      <w:pPr>
        <w:pStyle w:val="Subtitle"/>
        <w:spacing w:before="0" w:after="160"/>
        <w:jc w:val="center"/>
        <w:keepNext w:val="0"/>
        <w:keepLines/>
        <w:widowControl w:val="1"/>
      </w:pPr>
      <w:r>
        <w:rPr>
          <w:rFonts w:ascii="Times New Roman" w:hAnsi="Times New Roman"/>
          <w:b w:val="0"/>
          <w:bCs/>
          <w:i/>
          <w:sz w:val="20"/>
        </w:rPr>
        <w:t xml:space="preserve">B.2 Sensitivity head: heuristic vs literature-grounded variants.</w:t>
      </w:r>
      <w:r>
        <w:rPr>
          <w:rFonts w:ascii="Times New Roman" w:hAnsi="Times New Roman"/>
          <w:b w:val="0"/>
          <w:i/>
          <w:sz w:val="20"/>
        </w:rPr>
        <w:t xml:space="preserve"> </w:t>
      </w:r>
      <w:r>
        <w:rPr>
          <w:rFonts w:ascii="Times New Roman" w:hAnsi="Times New Roman"/>
          <w:b w:val="0"/>
          <w:i/>
          <w:sz w:val="20"/>
        </w:rPr>
        <w:t xml:space="preserve">The default 5-head score model trains the sensitivity head against the hand-coded heuristic of Appendix B.2 (nitro density, open-chain 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count, small-skeleton penalties), then z-scored. Because guiding generation with gradients of a head trained on a heuristic is partially tautological as a measurement of sensitivity reduction, we additionally fine-tune a literature-grounded variant: the trunk and the four other heads are frozen at the default-score-model weights, the sensitivity head is re-initialised, and the head is fit on 306 (canonical SMILES, observed h</w:t>
      </w:r>
      <w:r>
        <w:rPr>
          <w:rFonts w:ascii="Times New Roman" w:hAnsi="Times New Roman"/>
          <w:b w:val="0"/>
          <w:i/>
          <w:sz w:val="20"/>
          <w:vertAlign w:val="subscript"/>
        </w:rPr>
        <w:t xml:space="preserve">50</w:t>
      </w:r>
      <w:r>
        <w:rPr>
          <w:rFonts w:ascii="Times New Roman" w:hAnsi="Times New Roman"/>
          <w:b w:val="0"/>
          <w:i/>
          <w:sz w:val="20"/>
        </w:rPr>
        <w:t xml:space="preserve">) pairs from the Huang &amp; Massa compilation</w:t>
      </w:r>
      <w:r>
        <w:rPr>
          <w:rFonts w:ascii="Times New Roman" w:hAnsi="Times New Roman"/>
          <w:b w:val="0"/>
          <w:i/>
          <w:sz w:val="20"/>
        </w:rPr>
        <w:t xml:space="preserve"> </w:t>
      </w:r>
      <w:hyperlink w:anchor="ref-huang2021applying">
        <w:r>
          <w:rPr>
            <w:rStyle w:val="Hyperlink"/>
          </w:rPr>
          <w:t xml:space="preserve">[42]</w:t>
        </w:r>
      </w:hyperlink>
      <w:r>
        <w:rPr>
          <w:rFonts w:ascii="Times New Roman" w:hAnsi="Times New Roman"/>
          <w:b w:val="0"/>
          <w:i/>
          <w:sz w:val="20"/>
        </w:rPr>
        <w:t xml:space="preserve"> </w:t>
      </w:r>
      <w:r>
        <w:rPr>
          <w:rFonts w:ascii="Times New Roman" w:hAnsi="Times New Roman"/>
          <w:b w:val="0"/>
          <w:i/>
          <w:sz w:val="20"/>
        </w:rPr>
        <w:t xml:space="preserve">mapped to a sigmoid sensitivity proxy in [0, 1] (h</w:t>
      </w:r>
      <w:r>
        <w:rPr>
          <w:rFonts w:ascii="Times New Roman" w:hAnsi="Times New Roman"/>
          <w:b w:val="0"/>
          <w:i/>
          <w:sz w:val="20"/>
          <w:vertAlign w:val="subscript"/>
        </w:rPr>
        <w:t xml:space="preserve">50</w:t>
      </w:r>
      <w:r>
        <w:rPr>
          <w:rFonts w:ascii="Times New Roman" w:hAnsi="Times New Roman"/>
          <w:b w:val="0"/>
          <w:i/>
          <w:sz w:val="20"/>
        </w:rPr>
        <w:t xml:space="preserve">=40 cm pivot, slope 1.5 in log-h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units). Training mixes a smooth-L1 loss on the 276-row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train split with a teacher regulariser pulling the new head toward the default-head prediction on 383 k auxiliary latents, weighted 1.0:0.25. The retrained head reaches Pearson</w:t>
      </w:r>
      <w:r>
        <w:rPr>
          <w:rFonts w:ascii="Times New Roman" w:hAnsi="Times New Roman"/>
          <w:b w:val="0"/>
          <w:i/>
          <w:sz w:val="20"/>
        </w:rPr>
        <w:t xml:space="preserve"> </w:t>
      </w:r>
      <w:r>
        <w:rPr>
          <w:rFonts w:ascii="Times New Roman" w:hAnsi="Times New Roman"/>
          <w:b w:val="0"/>
          <w:i/>
          <w:iCs/>
          <w:sz w:val="20"/>
        </w:rPr>
        <w:t xml:space="preserve">r</w:t>
      </w:r>
      <w:r>
        <w:rPr>
          <w:rFonts w:ascii="Times New Roman" w:hAnsi="Times New Roman"/>
          <w:b w:val="0"/>
          <w:i/>
          <w:sz w:val="20"/>
        </w:rPr>
        <w:t xml:space="preserve">=+0.71 on a 30-row held-out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split and produces qualitatively correct relative orderings on a 5-anchor smoke test (TATB, h</w:t>
      </w:r>
      <w:r>
        <w:rPr>
          <w:rFonts w:ascii="Times New Roman" w:hAnsi="Times New Roman"/>
          <w:b w:val="0"/>
          <w:i/>
          <w:sz w:val="20"/>
          <w:vertAlign w:val="subscript"/>
        </w:rPr>
        <w:t xml:space="preserve">50</w:t>
      </w:r>
      <w:r>
        <w:rPr>
          <w:rFonts w:ascii="Times New Roman" w:hAnsi="Times New Roman"/>
          <w:b w:val="0"/>
          <w:i/>
          <w:sz w:val="20"/>
        </w:rPr>
        <w:t xml:space="preserve">~490 cm, scored 0.37; trinitro-isoxazole lead scored 0.55). The literature-grounded variant is a drop-in replacement for the default score model at sample time.</w:t>
      </w:r>
    </w:p>
    <w:p>
      <w:pPr>
        <w:pStyle w:val="Subtitle"/>
        <w:spacing w:before="0" w:after="160"/>
        <w:jc w:val="center"/>
        <w:keepNext w:val="0"/>
        <w:keepLines/>
        <w:widowControl w:val="1"/>
      </w:pPr>
      <w:r>
        <w:rPr>
          <w:rFonts w:ascii="Times New Roman" w:hAnsi="Times New Roman"/>
          <w:b w:val="0"/>
          <w:bCs/>
          <w:i/>
          <w:sz w:val="20"/>
        </w:rPr>
        <w:t xml:space="preserve">B.3 Per-head gradient-norm rebalancing (optional).</w:t>
      </w:r>
      <w:r>
        <w:rPr>
          <w:rFonts w:ascii="Times New Roman" w:hAnsi="Times New Roman"/>
          <w:b w:val="0"/>
          <w:i/>
          <w:sz w:val="20"/>
        </w:rPr>
        <w:t xml:space="preserve"> </w:t>
      </w:r>
      <w:r>
        <w:rPr>
          <w:rFonts w:ascii="Times New Roman" w:hAnsi="Times New Roman"/>
          <w:b w:val="0"/>
          <w:i/>
          <w:sz w:val="20"/>
        </w:rPr>
        <w:t xml:space="preserve">Different heads naturally produce different gradient magnitudes (sigmoid logits</w:t>
      </w:r>
      <w:r>
        <w:rPr>
          <w:rFonts w:ascii="Times New Roman" w:hAnsi="Times New Roman"/>
          <w:b w:val="0"/>
          <w:i/>
          <w:sz w:val="20"/>
        </w:rPr>
        <w:t xml:space="preserve"> </w:t>
      </w:r>
      <m:oMath>
        <m:r>
          <m:rPr>
            <m:sty m:val="p"/>
          </m:rPr>
          <m:t>∼</m:t>
        </m:r>
      </m:oMath>
      <w:r>
        <w:rPr>
          <w:rFonts w:ascii="Times New Roman" w:hAnsi="Times New Roman"/>
          <w:b w:val="0"/>
          <w:i/>
          <w:sz w:val="20"/>
        </w:rPr>
        <w:t xml:space="preserve">0.5; smooth-L1 z-scores</w:t>
      </w:r>
      <w:r>
        <w:rPr>
          <w:rFonts w:ascii="Times New Roman" w:hAnsi="Times New Roman"/>
          <w:b w:val="0"/>
          <w:i/>
          <w:sz w:val="20"/>
        </w:rPr>
        <w:t xml:space="preserve"> </w:t>
      </w:r>
      <m:oMath>
        <m:r>
          <m:rPr>
            <m:sty m:val="p"/>
          </m:rPr>
          <m:t>∼</m:t>
        </m:r>
      </m:oMath>
      <w:r>
        <w:rPr>
          <w:rFonts w:ascii="Times New Roman" w:hAnsi="Times New Roman"/>
          <w:b w:val="0"/>
          <w:i/>
          <w:sz w:val="20"/>
        </w:rPr>
        <w:t xml:space="preserve">2.0); the raw per-head scales</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therefore conflate "head importance" with "head gradient magnitude." We add an optional</w:t>
      </w:r>
      <w:r>
        <w:rPr>
          <w:rFonts w:ascii="Times New Roman" w:hAnsi="Times New Roman"/>
          <w:b w:val="0"/>
          <w:i/>
          <w:sz w:val="20"/>
        </w:rPr>
        <w:t xml:space="preserve"> </w:t>
      </w:r>
      <w:r>
        <w:rPr>
          <w:rFonts w:ascii="Times New Roman" w:hAnsi="Times New Roman"/>
          <w:b w:val="0"/>
          <w:i/>
          <w:iCs/>
          <w:sz w:val="20"/>
        </w:rPr>
        <w:t xml:space="preserve">unit-norm rebalancing</w:t>
      </w:r>
      <w:r>
        <w:rPr>
          <w:rFonts w:ascii="Times New Roman" w:hAnsi="Times New Roman"/>
          <w:b w:val="0"/>
          <w:i/>
          <w:sz w:val="20"/>
        </w:rPr>
        <w:t xml:space="preserve">: each head's gradient is normalised per-row before scaling, so</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cleanly controls steering weight. This makes the head-scale ablation cleanly interpretable; it is a no-op when only one head is active.</w:t>
      </w:r>
    </w:p>
    <w:p>
      <w:pPr>
        <w:pStyle w:val="Subtitle"/>
        <w:spacing w:before="0" w:after="160"/>
        <w:jc w:val="center"/>
        <w:keepNext w:val="0"/>
        <w:keepLines/>
        <w:widowControl w:val="1"/>
      </w:pPr>
      <w:r>
        <w:rPr>
          <w:rFonts w:ascii="Times New Roman" w:hAnsi="Times New Roman"/>
          <w:b w:val="0"/>
          <w:bCs/>
          <w:i/>
          <w:sz w:val="20"/>
        </w:rPr>
        <w:t xml:space="preserve">B.4 Drug-domain transfer heads (SA, SC).</w:t>
      </w:r>
      <w:r>
        <w:rPr>
          <w:rFonts w:ascii="Times New Roman" w:hAnsi="Times New Roman"/>
          <w:b w:val="0"/>
          <w:i/>
          <w:sz w:val="20"/>
        </w:rPr>
        <w:t xml:space="preserve"> </w:t>
      </w:r>
      <w:r>
        <w:rPr>
          <w:rFonts w:ascii="Times New Roman" w:hAnsi="Times New Roman"/>
          <w:b w:val="0"/>
          <w:i/>
          <w:sz w:val="20"/>
        </w:rPr>
        <w:t xml:space="preserve">The score model architected in §4.7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3D-CNN smoke ensemble trained on Tier-A/B labelled energetic compounds). The remaining two heads,</w:t>
      </w:r>
      <w:r>
        <w:rPr>
          <w:rFonts w:ascii="Times New Roman" w:hAnsi="Times New Roman"/>
          <w:b w:val="0"/>
          <w:i/>
          <w:sz w:val="20"/>
        </w:rPr>
        <w:t xml:space="preserve"> </w:t>
      </w:r>
      <w:r>
        <w:rPr>
          <w:rFonts w:ascii="Times New Roman" w:hAnsi="Times New Roman"/>
          <w:b w:val="0"/>
          <w:bCs/>
          <w:i/>
          <w:sz w:val="20"/>
        </w:rPr>
        <w:t xml:space="preserve">SA</w:t>
      </w:r>
      <w:r>
        <w:rPr>
          <w:rFonts w:ascii="Times New Roman" w:hAnsi="Times New Roman"/>
          <w:b w:val="0"/>
          <w:i/>
          <w:sz w:val="20"/>
        </w:rPr>
        <w:t xml:space="preserve"> </w:t>
      </w:r>
      <w:r>
        <w:rPr>
          <w:rFonts w:ascii="Times New Roman" w:hAnsi="Times New Roman"/>
          <w:b w:val="0"/>
          <w:i/>
          <w:sz w:val="20"/>
        </w:rPr>
        <w:t xml:space="preserve">(Ertl synthetic-accessibility regression, label source RDKit's</w:t>
      </w:r>
      <w:r>
        <w:rPr>
          <w:rFonts w:ascii="Times New Roman" w:hAnsi="Times New Roman"/>
          <w:b w:val="0"/>
          <w:i/>
          <w:sz w:val="20"/>
        </w:rPr>
        <w:t xml:space="preserve"> </w:t>
      </w:r>
      <w:r>
        <w:rPr>
          <w:rStyle w:val="VerbatimChar"/>
          <w:rFonts w:ascii="Times New Roman" w:hAnsi="Times New Roman"/>
          <w:b w:val="0"/>
          <w:i/>
          <w:sz w:val="20"/>
        </w:rPr>
        <w:t xml:space="preserve">sascorer.py</w:t>
      </w:r>
      <w:r>
        <w:rPr>
          <w:rFonts w:ascii="Times New Roman" w:hAnsi="Times New Roman"/>
          <w:b w:val="0"/>
          <w:i/>
          <w:sz w:val="20"/>
        </w:rPr>
        <w:t xml:space="preserve">) and</w:t>
      </w:r>
      <w:r>
        <w:rPr>
          <w:rFonts w:ascii="Times New Roman" w:hAnsi="Times New Roman"/>
          <w:b w:val="0"/>
          <w:i/>
          <w:sz w:val="20"/>
        </w:rPr>
        <w:t xml:space="preserve"> </w:t>
      </w:r>
      <w:r>
        <w:rPr>
          <w:rFonts w:ascii="Times New Roman" w:hAnsi="Times New Roman"/>
          <w:b w:val="0"/>
          <w:bCs/>
          <w:i/>
          <w:sz w:val="20"/>
        </w:rPr>
        <w:t xml:space="preserve">SC</w:t>
      </w:r>
      <w:r>
        <w:rPr>
          <w:rFonts w:ascii="Times New Roman" w:hAnsi="Times New Roman"/>
          <w:b w:val="0"/>
          <w:i/>
          <w:sz w:val="20"/>
        </w:rPr>
        <w:t xml:space="preserve"> </w:t>
      </w:r>
      <w:r>
        <w:rPr>
          <w:rFonts w:ascii="Times New Roman" w:hAnsi="Times New Roman"/>
          <w:b w:val="0"/>
          <w:i/>
          <w:sz w:val="20"/>
        </w:rPr>
        <w:t xml:space="preserve">(Coley SCScore retrosynthetic-complexity regression, label source Coley's pretrained SCScorer), are</w:t>
      </w:r>
      <w:r>
        <w:rPr>
          <w:rFonts w:ascii="Times New Roman" w:hAnsi="Times New Roman"/>
          <w:b w:val="0"/>
          <w:i/>
          <w:sz w:val="20"/>
        </w:rPr>
        <w:t xml:space="preserve"> </w:t>
      </w:r>
      <w:r>
        <w:rPr>
          <w:rFonts w:ascii="Times New Roman" w:hAnsi="Times New Roman"/>
          <w:b w:val="0"/>
          <w:bCs/>
          <w:i/>
          <w:sz w:val="20"/>
        </w:rPr>
        <w:t xml:space="preserve">auxiliary multi-task heads (Performance, SA, SC)</w:t>
      </w:r>
      <w:r>
        <w:rPr>
          <w:rFonts w:ascii="Times New Roman" w:hAnsi="Times New Roman"/>
          <w:b w:val="0"/>
          <w:i/>
          <w:sz w:val="20"/>
        </w:rP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§4.7; that is a separate layer (post-decode hard caps on canonical SMILES) and is unaffected by the discussion here.</w:t>
      </w:r>
    </w:p>
    <w:p>
      <w:pPr>
        <w:pStyle w:val="Subtitle"/>
        <w:spacing w:before="0" w:after="160"/>
        <w:jc w:val="center"/>
        <w:keepNext w:val="0"/>
        <w:keepLines/>
        <w:widowControl w:val="1"/>
      </w:pPr>
      <w:r>
        <w:rPr>
          <w:rFonts w:ascii="Times New Roman" w:hAnsi="Times New Roman"/>
          <w:b w:val="0"/>
          <w:bCs/>
          <w:i/>
          <w:sz w:val="20"/>
        </w:rPr>
        <w:t xml:space="preserve">Empirical sample-time evaluation.</w:t>
      </w:r>
      <w:r>
        <w:rPr>
          <w:rFonts w:ascii="Times New Roman" w:hAnsi="Times New Roman"/>
          <w:b w:val="0"/>
          <w:i/>
          <w:sz w:val="20"/>
        </w:rPr>
        <w:t xml:space="preserve"> </w:t>
      </w:r>
      <w:r>
        <w:rPr>
          <w:rFonts w:ascii="Times New Roman" w:hAnsi="Times New Roman"/>
          <w:b w:val="0"/>
          <w:i/>
          <w:sz w:val="20"/>
        </w:rPr>
        <w:t xml:space="preserve">SA was tested at sample time in the §F.4 SA-axis matrix at</w:t>
      </w:r>
      <w:r>
        <w:rPr>
          <w:rFonts w:ascii="Times New Roman" w:hAnsi="Times New Roman"/>
          <w:b w:val="0"/>
          <w:i/>
          <w:sz w:val="20"/>
        </w:rPr>
        <w:t xml:space="preserve"> </w:t>
      </w:r>
      <m:oMath>
        <m:sSub>
          <m:e>
            <m:r>
              <m:t>s</m:t>
            </m:r>
          </m:e>
          <m:sub>
            <m:r>
              <m:rPr>
                <m:nor/>
                <m:sty m:val="p"/>
              </m:rPr>
              <m:t>SA</m:t>
            </m:r>
          </m:sub>
        </m:sSub>
        <m:r>
          <m:rPr>
            <m:sty m:val="p"/>
          </m:rPr>
          <m:t>=</m:t>
        </m:r>
        <m:r>
          <m:t>0.15</m:t>
        </m:r>
      </m:oMath>
      <w:r>
        <w:rPr>
          <w:rFonts w:ascii="Times New Roman" w:hAnsi="Times New Roman"/>
          <w:b w:val="0"/>
          <w:i/>
          <w:sz w:val="20"/>
        </w:rPr>
        <w:t xml:space="preserve">. The result: turning SA-gradient on raised the top-1 composite penalty from 0.618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0.056 (SA-C2 viab+sens, no SA) to 0.698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0.015 (SA-C3 viab+sens+SA), a 0.080 (13 %)</w:t>
      </w:r>
      <w:r>
        <w:rPr>
          <w:rFonts w:ascii="Times New Roman" w:hAnsi="Times New Roman"/>
          <w:b w:val="0"/>
          <w:i/>
          <w:sz w:val="20"/>
        </w:rPr>
        <w:t xml:space="preserve"> </w:t>
      </w:r>
      <w:r>
        <w:rPr>
          <w:rFonts w:ascii="Times New Roman" w:hAnsi="Times New Roman"/>
          <w:b w:val="0"/>
          <w:i/>
          <w:iCs/>
          <w:sz w:val="20"/>
        </w:rPr>
        <w:t xml:space="preserve">worsening</w:t>
      </w:r>
      <w:r>
        <w:rPr>
          <w:rFonts w:ascii="Times New Roman" w:hAnsi="Times New Roman"/>
          <w:b w:val="0"/>
          <w:i/>
          <w:sz w:val="20"/>
        </w:rPr>
        <w:t xml:space="preserve">. The interpretation is that the drug-domain SA score actively penalises the very chemotype family the diffusion sampler is targeted at. Production therefore uses</w:t>
      </w:r>
      <w:r>
        <w:rPr>
          <w:rFonts w:ascii="Times New Roman" w:hAnsi="Times New Roman"/>
          <w:b w:val="0"/>
          <w:i/>
          <w:sz w:val="20"/>
        </w:rPr>
        <w:t xml:space="preserve"> </w:t>
      </w:r>
      <m:oMath>
        <m:sSub>
          <m:e>
            <m:r>
              <m:t>s</m:t>
            </m:r>
          </m:e>
          <m:sub>
            <m:r>
              <m:rPr>
                <m:nor/>
                <m:sty m:val="p"/>
              </m:rPr>
              <m:t>SA</m:t>
            </m:r>
          </m:sub>
        </m:sSub>
        <m:r>
          <m:rPr>
            <m:sty m:val="p"/>
          </m:rPr>
          <m:t>=</m:t>
        </m:r>
        <m:r>
          <m:t>0</m:t>
        </m:r>
      </m:oMath>
      <w:r>
        <w:rPr>
          <w:rFonts w:ascii="Times New Roman" w:hAnsi="Times New Roman"/>
          <w:b w:val="0"/>
          <w:i/>
          <w:sz w:val="20"/>
        </w:rPr>
        <w:t xml:space="preserve">. SC was retained as an architectural slot in the production score model for backward-compatibility with the 5-head predecessor (Appendix B.1) but was never plumbed into the sample-time gradient sum (no</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is defined at sample time anywhere in the codebase or experiments); we make no empirical claim about its sample-time utility in this domain. The natural follow-up ablation, sweeping</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at non-zero values to test whether the drug-domain SC label has a similar inversion effect to SA, is left to future work.</w:t>
      </w:r>
    </w:p>
    <w:p>
      <w:pPr>
        <w:pStyle w:val="Subtitle"/>
        <w:spacing w:before="0" w:after="160"/>
        <w:jc w:val="center"/>
        <w:keepNext w:val="0"/>
        <w:keepLines/>
        <w:widowControl w:val="1"/>
      </w:pPr>
      <w:r>
        <w:rPr>
          <w:rFonts w:ascii="Times New Roman" w:hAnsi="Times New Roman"/>
          <w:b w:val="0"/>
          <w:bCs/>
          <w:i/>
          <w:sz w:val="20"/>
        </w:rPr>
        <w:t xml:space="preserve">Why retain the heads.</w:t>
      </w:r>
      <w:r>
        <w:rPr>
          <w:rFonts w:ascii="Times New Roman" w:hAnsi="Times New Roman"/>
          <w:b w:val="0"/>
          <w:i/>
          <w:sz w:val="20"/>
        </w:rPr>
        <w:t xml:space="preserve"> </w:t>
      </w:r>
      <w:r>
        <w:rPr>
          <w:rFonts w:ascii="Times New Roman" w:hAnsi="Times New Roman"/>
          <w:b w:val="0"/>
          <w:i/>
          <w:sz w:val="20"/>
        </w:rPr>
        <w:t xml:space="preserve">Both SA and SC heads share the 1024-d trunk used by the four domain-native heads; their trained weights add</w:t>
      </w:r>
      <w:r>
        <w:rPr>
          <w:rFonts w:ascii="Times New Roman" w:hAnsi="Times New Roman"/>
          <w:b w:val="0"/>
          <w:i/>
          <w:sz w:val="20"/>
        </w:rPr>
        <w:t xml:space="preserve"> </w:t>
      </w:r>
      <m:oMath>
        <m:r>
          <m:rPr>
            <m:sty m:val="p"/>
          </m:rPr>
          <m:t>∼</m:t>
        </m:r>
      </m:oMath>
      <w:r>
        <w:rPr>
          <w:rFonts w:ascii="Times New Roman" w:hAnsi="Times New Roman"/>
          <w:b w:val="0"/>
          <w:i/>
          <w:sz w:val="20"/>
        </w:rPr>
        <w:t xml:space="preserve">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256k parameters (negligible against the</w:t>
      </w:r>
      <w:r>
        <w:rPr>
          <w:rFonts w:ascii="Times New Roman" w:hAnsi="Times New Roman"/>
          <w:b w:val="0"/>
          <w:i/>
          <w:sz w:val="20"/>
        </w:rPr>
        <w:t xml:space="preserve"> </w:t>
      </w:r>
      <m:oMath>
        <m:r>
          <m:rPr>
            <m:sty m:val="p"/>
          </m:rPr>
          <m:t>∼</m:t>
        </m:r>
      </m:oMath>
      <w:r>
        <w:rPr>
          <w:rFonts w:ascii="Times New Roman" w:hAnsi="Times New Roman"/>
          <w:b w:val="0"/>
          <w:i/>
          <w:sz w:val="20"/>
        </w:rPr>
        <w:t xml:space="preserve">8 M parameter score-model trunk; cf. Table B.1b)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Appendix B.1). The cost of retaining is low; the cost of dropping (re-training the score model, re-running §F.4 to confirm no SA-axis dependency) is non-trivial. The heads are therefore retained.</w:t>
      </w:r>
    </w:p>
    <w:p>
      <w:pPr>
        <w:pStyle w:val="Subtitle"/>
        <w:spacing w:before="0" w:after="40"/>
        <w:jc w:val="center"/>
        <w:keepNext/>
        <w:keepLines/>
        <w:widowControl w:val="1"/>
      </w:pPr>
      <w:r>
        <w:rPr>
          <w:rFonts w:ascii="Times New Roman" w:hAnsi="Times New Roman"/>
          <w:b/>
          <w:bCs/>
          <w:i w:val="0"/>
          <w:sz w:val="24"/>
        </w:rPr>
        <w:t xml:space="preserve">Cross-references.</w:t>
      </w:r>
      <w:r>
        <w:rPr>
          <w:rFonts w:ascii="Times New Roman" w:hAnsi="Times New Roman"/>
          <w:b/>
          <w:i w:val="0"/>
          <w:sz w:val="24"/>
        </w:rPr>
        <w:t xml:space="preserve"> </w:t>
      </w:r>
      <w:r>
        <w:rPr>
          <w:rFonts w:ascii="Times New Roman" w:hAnsi="Times New Roman"/>
          <w:b/>
          <w:i w:val="0"/>
          <w:sz w:val="24"/>
        </w:rPr>
        <w:t xml:space="preserve">The same SA / SC story appears in three places relevant to the headline: §4.7 Architecture (drug-domain transfer paragraph); §4.7 Sample-time gradient (the "Why</w:t>
      </w:r>
      <w:r>
        <w:rPr>
          <w:rFonts w:ascii="Times New Roman" w:hAnsi="Times New Roman"/>
          <w:b/>
          <w:i w:val="0"/>
          <w:sz w:val="24"/>
        </w:rPr>
        <w:t xml:space="preserve"> </w:t>
      </w:r>
      <m:oMath>
        <m:sSub>
          <m:e>
            <m:r>
              <m:t>s</m:t>
            </m:r>
          </m:e>
          <m:sub>
            <m:r>
              <m:rPr>
                <m:nor/>
                <m:sty m:val="p"/>
              </m:rPr>
              <m:t>SA</m:t>
            </m:r>
          </m:sub>
        </m:sSub>
        <m:r>
          <m:rPr>
            <m:sty m:val="p"/>
          </m:rPr>
          <m:t>=</m:t>
        </m:r>
        <m:r>
          <m:t>0</m:t>
        </m:r>
      </m:oMath>
      <w:r>
        <w:rPr>
          <w:rFonts w:ascii="Times New Roman" w:hAnsi="Times New Roman"/>
          <w:b/>
          <w:i w:val="0"/>
          <w:sz w:val="24"/>
        </w:rPr>
        <w:t xml:space="preserve"> </w:t>
      </w:r>
      <w:r>
        <w:rPr>
          <w:rFonts w:ascii="Times New Roman" w:hAnsi="Times New Roman"/>
          <w:b/>
          <w:i w:val="0"/>
          <w:sz w:val="24"/>
        </w:rPr>
        <w:t xml:space="preserve">and where SC is" paragraph); §F.4 Multi-seed pattern (the SA-C3-vs-SA-C2 numerical result). This appendix consolidates them.</w:t>
      </w:r>
    </w:p>
    <w:bookmarkStart w:id="17" w:name="b.5-production-recipe-table-b.5"/>
    <w:p>
      <w:pPr>
        <w:pStyle w:val="Subtitle"/>
        <w:spacing w:before="0" w:after="40"/>
        <w:jc w:val="center"/>
        <w:keepNext/>
        <w:keepLines/>
        <w:widowControl w:val="1"/>
      </w:pPr>
      <w:r>
        <w:rPr>
          <w:rFonts w:ascii="Times New Roman" w:hAnsi="Times New Roman"/>
          <w:b/>
          <w:i w:val="0"/>
          <w:sz w:val="24"/>
        </w:rPr>
        <w:t xml:space="preserve">B.5 Production recipe (Table B.5)</w:t>
      </w:r>
    </w:p>
    <w:p>
      <w:pPr>
        <w:pStyle w:val="Subtitle"/>
        <w:spacing w:before="0" w:after="40"/>
        <w:jc w:val="center"/>
        <w:keepNext/>
        <w:keepLines/>
        <w:widowControl w:val="1"/>
      </w:pPr>
      <w:r>
        <w:rPr>
          <w:rFonts w:ascii="Times New Roman" w:hAnsi="Times New Roman"/>
          <w:b/>
          <w:i w:val="0"/>
          <w:sz w:val="24"/>
        </w:rPr>
        <w:t xml:space="preserve">Complete configuration used throughout §5.2–§5.5. Each knob traces to the §5.6 ablation (or §4.12 hyperparameter sweep) that selected it.</w:t>
      </w:r>
    </w:p>
    <w:bookmarkStart w:id="16" w:name="table-c5"/>
    <w:p>
      <w:pPr>
        <w:pStyle w:val="Subtitle"/>
        <w:spacing w:before="0" w:after="160"/>
        <w:jc w:val="center"/>
        <w:keepNext w:val="0"/>
        <w:keepLines/>
        <w:widowControl w:val="1"/>
      </w:pPr>
      <w:r>
        <w:rPr>
          <w:rFonts w:ascii="Times New Roman" w:hAnsi="Times New Roman"/>
          <w:b w:val="0"/>
          <w:bCs/>
          <w:i/>
          <w:sz w:val="20"/>
        </w:rPr>
        <w:t xml:space="preserve">Table B.5.</w:t>
      </w:r>
      <w:r>
        <w:rPr>
          <w:rFonts w:ascii="Times New Roman" w:hAnsi="Times New Roman"/>
          <w:b w:val="0"/>
          <w:i/>
          <w:sz w:val="20"/>
        </w:rPr>
        <w:t xml:space="preserve"> </w:t>
      </w:r>
      <w:r>
        <w:rPr>
          <w:rFonts w:ascii="Times New Roman" w:hAnsi="Times New Roman"/>
          <w:b w:val="0"/>
          <w:i/>
          <w:sz w:val="20"/>
        </w:rPr>
        <w:t xml:space="preserve">Production recipe for the §5 experiments. Knobs grouped by stage: generative model, score model, sampler, filter pipeline (Stages 1–4), reranker. “Justified by” points to the ablation or sweep that fixed the value.</w:t>
      </w:r>
    </w:p>
    <w:tbl>
      <w:tblPr>
        <w:tblStyle w:val="Table"/>
        <w:tblW w:type="pct" w:w="5000"/>
        <w:jc w:val="center"/>
        <w:tblLook w:firstRow="1" w:lastRow="0" w:firstColumn="0" w:lastColumn="0" w:noHBand="0" w:noVBand="0" w:val="0020"/>
        <w:tblCaption w:val="Table B.5. Production recipe for the §5 experiments. Knobs grouped by stage: generative model, score model, sampler, filter pipeline (Stages 1–4), reranker. “Justified by” points to the ablation or sweep that fixed the valu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Knob</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Production 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Justified by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Generative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VAE + conditional latent DDPM with classifier-free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DGLD-H + DGLD-P, pools fused post-decode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§4.5;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 scale 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Fig 16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DDIM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prior-art default; not separately swept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Pool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m:t>
              </m:r>
            </m:oMath>
            <w:r>
              <w:rPr>
                <w:rFonts w:ascii="Times New Roman" w:hAnsi="Times New Roman"/>
                <w:sz w:val="19"/>
              </w:rPr>
              <w:t xml:space="preserve"> </w:t>
            </w:r>
            <w:r>
              <w:rPr>
                <w:rFonts w:ascii="Times New Roman" w:hAnsi="Times New Roman"/>
                <w:sz w:val="19"/>
              </w:rPr>
              <w:t xml:space="preserve">40k per denoiser, fused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 §4.12, Fig 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trunk, 6 heads, multi-task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§F.1 (HN budget = 918)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Active steering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Viability (</w:t>
            </w:r>
            <m:oMath>
              <m:r>
                <m:t>s</m:t>
              </m:r>
              <m:r>
                <m:rPr>
                  <m:sty m:val="p"/>
                </m:rPr>
                <m:t>=</m:t>
              </m:r>
              <m:r>
                <m:t>1.0</m:t>
              </m:r>
            </m:oMath>
            <w:r>
              <w:rPr>
                <w:rFonts w:ascii="Times New Roman" w:hAnsi="Times New Roman"/>
                <w:sz w:val="19"/>
              </w:rPr>
              <w:t xml:space="preserve">), Sensitivity (</w:t>
            </w:r>
            <m:oMath>
              <m:r>
                <m:t>s</m:t>
              </m:r>
              <m:r>
                <m:rPr>
                  <m:sty m:val="p"/>
                </m:rPr>
                <m:t>=</m:t>
              </m:r>
              <m:r>
                <m:t>0.3</m:t>
              </m:r>
            </m:oMath>
            <w:r>
              <w:rPr>
                <w:rFonts w:ascii="Times New Roman" w:hAnsi="Times New Roman"/>
                <w:sz w:val="19"/>
              </w:rPr>
              <w:t xml:space="preserve">), Hazard (</w:t>
            </w:r>
            <m:oMath>
              <m:r>
                <m:t>s</m:t>
              </m:r>
              <m:r>
                <m:rPr>
                  <m:sty m:val="p"/>
                </m:rP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Inactive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Performance, SA, SC (auxiliary multi-task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Anneal / clamp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sSub>
                <m:e>
                  <m:r>
                    <m:t>σ</m:t>
                  </m:r>
                </m:e>
                <m:sub>
                  <m:r>
                    <m:rPr>
                      <m:sty m:val="p"/>
                    </m:rPr>
                    <m:t>max</m:t>
                  </m:r>
                </m:sub>
              </m:sSub>
              <m:r>
                <m:rPr>
                  <m:sty m:val="p"/>
                </m:rPr>
                <m:t>=</m:t>
              </m:r>
              <m:r>
                <m:t>0</m:t>
              </m:r>
            </m:oMath>
            <w:r>
              <w:rPr>
                <w:rFonts w:ascii="Times New Roman" w:hAnsi="Times New Roman"/>
                <w:sz w:val="19"/>
              </w:rPr>
              <w:t xml:space="preserve">,</w:t>
            </w:r>
            <w:r>
              <w:rPr>
                <w:rFonts w:ascii="Times New Roman" w:hAnsi="Times New Roman"/>
                <w:sz w:val="19"/>
              </w:rPr>
              <w:t xml:space="preserve"> </w:t>
            </w:r>
            <m:oMath>
              <m:sSub>
                <m:e>
                  <m:r>
                    <m:t>C</m:t>
                  </m:r>
                </m:e>
                <m:sub>
                  <m:r>
                    <m:t>g</m:t>
                  </m:r>
                </m:sub>
              </m:sSub>
              <m:r>
                <m:rPr>
                  <m:sty m:val="p"/>
                </m:rPr>
                <m:t>=</m:t>
              </m:r>
              <m:r>
                <m:t>50</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§4.9; Appendix D.5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Chemist-curated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Pareto reranker on 4 axes, composite tie-break, top-K = 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GFN2-xTB, HOMO–LUMO gap</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1.5 eV</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chemist-set threshold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DFT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B3LYP/6-31G(d) opt +</w:t>
            </w:r>
            <w:r>
              <w:rPr>
                <w:rFonts w:ascii="Times New Roman" w:hAnsi="Times New Roman"/>
                <w:sz w:val="19"/>
              </w:rPr>
              <w:t xml:space="preserve"> </w:t>
            </w:r>
            <m:oMath>
              <m:r>
                <m:t>ω</m:t>
              </m:r>
            </m:oMath>
            <w:r>
              <w:rPr>
                <w:rFonts w:ascii="Times New Roman" w:hAnsi="Times New Roman"/>
                <w:sz w:val="19"/>
              </w:rPr>
              <w:t xml:space="preserve">B97X-D3BJ/def2-TZVP single-point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Appendix 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calibration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6-anchor LOO fit:</w:t>
            </w:r>
            <w:r>
              <w:rPr>
                <w:rFonts w:ascii="Times New Roman" w:hAnsi="Times New Roman"/>
                <w:sz w:val="19"/>
              </w:rP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rPr>
                <w:rFonts w:ascii="Times New Roman" w:hAnsi="Times New Roman"/>
                <w:sz w:val="19"/>
              </w:rPr>
              <w:t xml:space="preserve">, HOF</w:t>
            </w:r>
            <m:oMath>
              <m:sSub>
                <m:e>
                  <m:r>
                    <m:t>​</m:t>
                  </m:r>
                </m:e>
                <m:sub>
                  <m:r>
                    <m:rPr>
                      <m:nor/>
                      <m:sty m:val="p"/>
                    </m:rPr>
                    <m:t>cal</m:t>
                  </m:r>
                </m:sub>
              </m:sSub>
            </m:oMath>
            <w:r>
              <w:rPr>
                <w:rFonts w:ascii="Times New Roman" w:hAnsi="Times New Roman"/>
                <w:sz w:val="19"/>
              </w:rPr>
              <w:t xml:space="preserve"> </w:t>
            </w:r>
            <w:r>
              <w:rPr>
                <w:rFonts w:ascii="Times New Roman" w:hAnsi="Times New Roman"/>
                <w:sz w:val="19"/>
              </w:rPr>
              <w:t xml:space="preserve">= HOF</w:t>
            </w:r>
            <m:oMath>
              <m:sSub>
                <m:e>
                  <m:r>
                    <m:t>​</m:t>
                  </m:r>
                </m:e>
                <m:sub>
                  <m:r>
                    <m:rPr>
                      <m:nor/>
                      <m:sty m:val="p"/>
                    </m:rPr>
                    <m:t>DFT</m:t>
                  </m:r>
                </m:sub>
              </m:sSub>
              <m:r>
                <m:rPr>
                  <m:sty m:val="p"/>
                </m:rPr>
                <m:t>−</m:t>
              </m:r>
              <m:r>
                <m:t>206.7</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K-J recompute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Closed-form K-J on calibrated</w:t>
            </w:r>
            <w:r>
              <w:rPr>
                <w:rFonts w:ascii="Times New Roman" w:hAnsi="Times New Roman"/>
                <w:sz w:val="19"/>
              </w:rPr>
              <w:t xml:space="preserve"> </w:t>
            </w:r>
            <m:oMath>
              <m:r>
                <m:rPr>
                  <m:sty m:val="p"/>
                </m:rPr>
                <m:t>(</m:t>
              </m:r>
              <m:sSub>
                <m:e>
                  <m:r>
                    <m:t>ρ</m:t>
                  </m:r>
                </m:e>
                <m:sub>
                  <m:r>
                    <m:rPr>
                      <m:nor/>
                      <m:sty m:val="p"/>
                    </m:rPr>
                    <m:t>cal</m:t>
                  </m:r>
                </m:sub>
              </m:sSub>
              <m:r>
                <m:rPr>
                  <m:sty m:val="p"/>
                </m:rPr>
                <m:t>,</m:t>
              </m:r>
              <m:sSub>
                <m:e>
                  <m:r>
                    <m:rPr>
                      <m:nor/>
                      <m:sty m:val="p"/>
                    </m:rPr>
                    <m:t>HOF</m:t>
                  </m:r>
                </m:e>
                <m:sub>
                  <m:r>
                    <m:rPr>
                      <m:nor/>
                      <m:sty m:val="p"/>
                    </m:rPr>
                    <m:t>cal</m:t>
                  </m:r>
                </m:sub>
              </m:sSub>
              <m:r>
                <m:rPr>
                  <m:sty m:val="p"/>
                </m:rPr>
                <m:t>)</m:t>
              </m:r>
            </m:oMath>
            <w:r>
              <w:rPr>
                <w:rFonts w:ascii="Times New Roman" w:hAnsi="Times New Roman"/>
                <w:sz w:val="19"/>
              </w:rPr>
              <w:t xml:space="preserve">; ranking-grade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Reranker property scoring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perf_score(\(\rho\), HOF, \(D\), \(P\))</w:t>
            </w:r>
            <w:r>
              <w:rPr>
                <w:rFonts w:ascii="Times New Roman" w:hAnsi="Times New Roman"/>
                <w:sz w:val="19"/>
              </w:rPr>
              <w:t xml:space="preserve"> </w:t>
            </w:r>
            <w:r>
              <w:rPr>
                <w:rFonts w:ascii="Times New Roman" w:hAnsi="Times New Roman"/>
                <w:sz w:val="19"/>
              </w:rPr>
              <w:t xml:space="preserve">ramp on 3D-CNN smoke ensemble outputs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bl>
    <w:bookmarkEnd w:id="16"/>
    <w:bookmarkEnd w:id="17"/>
    <w:bookmarkEnd w:id="18"/>
    <w:bookmarkStart w:id="20" w:name="X7e317108d30eb1339186cc7c3dfc8e61aec6ead"/>
    <w:p>
      <w:pPr>
        <w:pStyle w:val="Subtitle"/>
        <w:spacing w:before="0" w:after="40"/>
        <w:jc w:val="center"/>
        <w:keepNext/>
        <w:keepLines/>
        <w:widowControl w:val="1"/>
      </w:pPr>
      <w:r>
        <w:rPr>
          <w:rFonts w:ascii="Times New Roman" w:hAnsi="Times New Roman"/>
          <w:b/>
          <w:i w:val="0"/>
          <w:sz w:val="24"/>
        </w:rPr>
        <w:t xml:space="preserve">C. First-principles audit (DFT) methodology and uncertainty bounds</w:t>
      </w:r>
    </w:p>
    <w:p>
      <w:pPr>
        <w:pStyle w:val="Subtitle"/>
        <w:spacing w:before="0" w:after="160"/>
        <w:jc w:val="center"/>
        <w:keepNext w:val="0"/>
        <w:keepLines/>
        <w:widowControl w:val="1"/>
      </w:pPr>
      <w:r>
        <w:rPr>
          <w:rFonts w:ascii="Times New Roman" w:hAnsi="Times New Roman"/>
          <w:b w:val="0"/>
          <w:i/>
          <w:sz w:val="20"/>
        </w:rPr>
        <w:t xml:space="preserve">This appendix collects the DFT-methodology details that support §5.3 (per-lead validation and anchor calibration). Body §5.3 reports only the result table; readers who want to assess the methodology choices, the systematic-bias bands, and the calibration-extension recommendations should refer to this appendix.</w:t>
      </w:r>
    </w:p>
    <w:p>
      <w:pPr>
        <w:pStyle w:val="Subtitle"/>
        <w:spacing w:before="0" w:after="160"/>
        <w:jc w:val="center"/>
        <w:keepNext w:val="0"/>
        <w:keepLines/>
        <w:widowControl w:val="1"/>
      </w:pPr>
      <w:r>
        <w:rPr>
          <w:rFonts w:ascii="Times New Roman" w:hAnsi="Times New Roman"/>
          <w:b w:val="0"/>
          <w:bCs/>
          <w:i/>
          <w:sz w:val="20"/>
        </w:rPr>
        <w:t xml:space="preserve">C.1 Functional and basis-set choice.</w:t>
      </w:r>
      <w:r>
        <w:rPr>
          <w:rFonts w:ascii="Times New Roman" w:hAnsi="Times New Roman"/>
          <w:b w:val="0"/>
          <w:i/>
          <w:sz w:val="20"/>
        </w:rPr>
        <w:t xml:space="preserve"> </w:t>
      </w:r>
      <w:r>
        <w:rPr>
          <w:rFonts w:ascii="Times New Roman" w:hAnsi="Times New Roman"/>
          <w:b w:val="0"/>
          <w:i/>
          <w:sz w:val="20"/>
        </w:rPr>
        <w:t xml:space="preserve">We use B3LYP/6-31G(d) for geometry optimisation and</w:t>
      </w:r>
      <w:r>
        <w:rPr>
          <w:rFonts w:ascii="Times New Roman" w:hAnsi="Times New Roman"/>
          <w:b w:val="0"/>
          <w:i/>
          <w:sz w:val="20"/>
        </w:rPr>
        <w:t xml:space="preserve"> </w:t>
      </w:r>
      <m:oMath>
        <m:r>
          <m:t>ω</m:t>
        </m:r>
      </m:oMath>
      <w:r>
        <w:rPr>
          <w:rFonts w:ascii="Times New Roman" w:hAnsi="Times New Roman"/>
          <w:b w:val="0"/>
          <w:i/>
          <w:sz w:val="20"/>
        </w:rPr>
        <w:t xml:space="preserve">B97X-D3BJ/def2-TZVP for the single-point energy on the optimised geometry. The B3LYP/6-31G(d) geometry is a long-standing standard for CHNO molecules (Casey et al.</w:t>
      </w:r>
      <w:r>
        <w:rPr>
          <w:rFonts w:ascii="Times New Roman" w:hAnsi="Times New Roman"/>
          <w:b w:val="0"/>
          <w:i/>
          <w:sz w:val="20"/>
        </w:rPr>
        <w:t xml:space="preserve"> </w:t>
      </w:r>
      <w:hyperlink w:anchor="ref-casey2020prediction">
        <w:r>
          <w:rPr>
            <w:rStyle w:val="Hyperlink"/>
          </w:rPr>
          <w:t xml:space="preserve">[2]</w:t>
        </w:r>
      </w:hyperlink>
      <w:r>
        <w:rPr>
          <w:rFonts w:ascii="Times New Roman" w:hAnsi="Times New Roman"/>
          <w:b w:val="0"/>
          <w:i/>
          <w:sz w:val="20"/>
        </w:rPr>
        <w:t xml:space="preserve"> </w:t>
      </w:r>
      <w:r>
        <w:rPr>
          <w:rFonts w:ascii="Times New Roman" w:hAnsi="Times New Roman"/>
          <w:b w:val="0"/>
          <w:i/>
          <w:sz w:val="20"/>
        </w:rPr>
        <w:t xml:space="preserve">use the same level for the 3D-CNN training labels we calibrate against), and the</w:t>
      </w:r>
      <w:r>
        <w:rPr>
          <w:rFonts w:ascii="Times New Roman" w:hAnsi="Times New Roman"/>
          <w:b w:val="0"/>
          <w:i/>
          <w:sz w:val="20"/>
        </w:rPr>
        <w:t xml:space="preserve"> </w:t>
      </w:r>
      <m:oMath>
        <m:r>
          <m:t>ω</m:t>
        </m:r>
      </m:oMath>
      <w:r>
        <w:rPr>
          <w:rFonts w:ascii="Times New Roman" w:hAnsi="Times New Roman"/>
          <w:b w:val="0"/>
          <w:i/>
          <w:sz w:val="20"/>
        </w:rP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rPr>
          <w:rFonts w:ascii="Times New Roman" w:hAnsi="Times New Roman"/>
          <w:b w:val="0"/>
          <w:i/>
          <w:sz w:val="20"/>
        </w:rPr>
        <w:t xml:space="preserve"> </w:t>
      </w:r>
      <m:oMath>
        <m:r>
          <m:t>ω</m:t>
        </m:r>
      </m:oMath>
      <w:r>
        <w:rPr>
          <w:rFonts w:ascii="Times New Roman" w:hAnsi="Times New Roman"/>
          <w:b w:val="0"/>
          <w:i/>
          <w:sz w:val="20"/>
        </w:rPr>
        <w:t xml:space="preserve">B97M-V or B97M-V might offer marginal further accuracy gains (</w:t>
      </w:r>
      <m:oMath>
        <m:r>
          <m:rPr>
            <m:sty m:val="p"/>
          </m:rPr>
          <m:t>∼</m:t>
        </m:r>
      </m:oMath>
      <w:r>
        <w:rPr>
          <w:rFonts w:ascii="Times New Roman" w:hAnsi="Times New Roman"/>
          <w:b w:val="0"/>
          <w:i/>
          <w:sz w:val="20"/>
        </w:rPr>
        <w:t xml:space="preserve">1–2 kJ/mol 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rPr>
          <w:rFonts w:ascii="Times New Roman" w:hAnsi="Times New Roman"/>
          <w:b w:val="0"/>
          <w:i/>
          <w:sz w:val="20"/>
        </w:rPr>
        <w:t xml:space="preserve"> </w:t>
      </w:r>
      <m:oMath>
        <m:r>
          <m:rPr>
            <m:sty m:val="p"/>
          </m:rPr>
          <m:t>∼</m:t>
        </m:r>
      </m:oMath>
      <w:r>
        <w:rPr>
          <w:rFonts w:ascii="Times New Roman" w:hAnsi="Times New Roman"/>
          <w:b w:val="0"/>
          <w:i/>
          <w:sz w:val="20"/>
        </w:rP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Subtitle"/>
        <w:spacing w:before="0" w:after="160"/>
        <w:jc w:val="center"/>
        <w:keepNext w:val="0"/>
        <w:keepLines/>
        <w:widowControl w:val="1"/>
      </w:pPr>
      <w:r>
        <w:rPr>
          <w:rFonts w:ascii="Times New Roman" w:hAnsi="Times New Roman"/>
          <w:b w:val="0"/>
          <w:bCs/>
          <w:i/>
          <w:sz w:val="20"/>
        </w:rPr>
        <w:t xml:space="preserve">C.2 Thermal correction to 298 K.</w:t>
      </w:r>
      <w:r>
        <w:rPr>
          <w:rFonts w:ascii="Times New Roman" w:hAnsi="Times New Roman"/>
          <w:b w:val="0"/>
          <w:i/>
          <w:sz w:val="20"/>
        </w:rPr>
        <w:t xml:space="preserve"> </w:t>
      </w:r>
      <w:r>
        <w:rPr>
          <w:rFonts w:ascii="Times New Roman" w:hAnsi="Times New Roman"/>
          <w:b w:val="0"/>
          <w:i/>
          <w:sz w:val="20"/>
        </w:rPr>
        <w:t xml:space="preserve">All HOFs in §5.3 are reported at 0 K (atomization-energy method gives</w:t>
      </w:r>
      <w:r>
        <w:rPr>
          <w:rFonts w:ascii="Times New Roman" w:hAnsi="Times New Roman"/>
          <w:b w:val="0"/>
          <w:i/>
          <w:sz w:val="20"/>
        </w:rPr>
        <w:t xml:space="preserve"> </w:t>
      </w:r>
      <m:oMath>
        <m:r>
          <m:rPr>
            <m:sty m:val="p"/>
          </m:rPr>
          <m:t>Δ</m:t>
        </m:r>
        <m:sSubSup>
          <m:e>
            <m:r>
              <m:t>H</m:t>
            </m:r>
          </m:e>
          <m:sub>
            <m:r>
              <m:t>f</m:t>
            </m:r>
          </m:sub>
          <m:sup>
            <m:r>
              <m:t>0</m:t>
            </m:r>
            <m:r>
              <m:t> </m:t>
            </m:r>
            <m:r>
              <m:rPr>
                <m:nor/>
                <m:sty m:val="p"/>
              </m:rPr>
              <m:t>K</m:t>
            </m:r>
          </m:sup>
        </m:sSubSup>
      </m:oMath>
      <w:r>
        <w:rPr>
          <w:rFonts w:ascii="Times New Roman" w:hAnsi="Times New Roman"/>
          <w:b w:val="0"/>
          <w:i/>
          <w:sz w:val="20"/>
        </w:rPr>
        <w:t xml:space="preserve">). The thermal correction</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for an isolated nonlinear ideal-gas molecule is dominated by 4 RT (translational + rotational + PV term</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m:oMath>
        <m:r>
          <m:rPr>
            <m:sty m:val="p"/>
          </m:rPr>
          <m:t>∼</m:t>
        </m:r>
      </m:oMath>
      <w:r>
        <w:rPr>
          <w:rFonts w:ascii="Times New Roman" w:hAnsi="Times New Roman"/>
          <w:b w:val="0"/>
          <w:i/>
          <w:sz w:val="20"/>
        </w:rPr>
        <w:t xml:space="preserve">9.9 kJ/mol) plus a small low-frequency-vibration contribution (each mode</w:t>
      </w:r>
      <w:r>
        <w:rPr>
          <w:rFonts w:ascii="Times New Roman" w:hAnsi="Times New Roman"/>
          <w:b w:val="0"/>
          <w:i/>
          <w:sz w:val="20"/>
        </w:rPr>
        <w:t xml:space="preserve"> </w:t>
      </w:r>
      <m:oMath>
        <m:r>
          <m:rPr>
            <m:sty m:val="p"/>
          </m:rPr>
          <m:t>&lt;</m:t>
        </m:r>
        <m:r>
          <m:t>200</m:t>
        </m:r>
      </m:oMath>
      <w:r>
        <w:rPr>
          <w:rFonts w:ascii="Times New Roman" w:hAnsi="Times New Roman"/>
          <w:b w:val="0"/>
          <w:i/>
          <w:sz w:val="20"/>
        </w:rPr>
        <w:t xml:space="preserve"> </w:t>
      </w:r>
      <w:r>
        <w:rPr>
          <w:rFonts w:ascii="Times New Roman" w:hAnsi="Times New Roman"/>
          <w:b w:val="0"/>
          <w:i/>
          <w:sz w:val="20"/>
        </w:rPr>
        <w:t xml:space="preserve">cm</w:t>
      </w:r>
      <w:r>
        <w:rPr>
          <w:rFonts w:ascii="Times New Roman" w:hAnsi="Times New Roman"/>
          <w:b w:val="0"/>
          <w:i/>
          <w:sz w:val="20"/>
          <w:vertAlign w:val="superscript"/>
        </w:rPr>
        <w:t xml:space="preserve">−1</w:t>
      </w:r>
      <w:r>
        <w:rPr>
          <w:rFonts w:ascii="Times New Roman" w:hAnsi="Times New Roman"/>
          <w:b w:val="0"/>
          <w:i/>
          <w:sz w:val="20"/>
        </w:rPr>
        <w:t xml:space="preserve"> </w:t>
      </w:r>
      <w:r>
        <w:rPr>
          <w:rFonts w:ascii="Times New Roman" w:hAnsi="Times New Roman"/>
          <w:b w:val="0"/>
          <w:i/>
          <w:sz w:val="20"/>
        </w:rPr>
        <w:t xml:space="preserve">contributes</w:t>
      </w:r>
      <w:r>
        <w:rPr>
          <w:rFonts w:ascii="Times New Roman" w:hAnsi="Times New Roman"/>
          <w:b w:val="0"/>
          <w:i/>
          <w:sz w:val="20"/>
        </w:rPr>
        <w:t xml:space="preserve"> </w:t>
      </w:r>
      <m:oMath>
        <m:r>
          <m:rPr>
            <m:sty m:val="p"/>
          </m:rPr>
          <m:t>∼</m:t>
        </m:r>
      </m:oMath>
      <w:r>
        <w:rPr>
          <w:rFonts w:ascii="Times New Roman" w:hAnsi="Times New Roman"/>
          <w:b w:val="0"/>
          <w:i/>
          <w:sz w:val="20"/>
        </w:rPr>
        <w:t xml:space="preserve">RT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 kJ/mol). For our top-10 leads with 0–6 low-frequency modes each,</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ranges 10–25 kJ/mol, smaller than the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LOO uncertainty from the 6-anchor calibration of the atomization energy (C.4). We report 0 K HOFs throughout for consistency; converting to 298 K standard HOF would shift values uniformly by ~10–25 kJ/mol with no impact on relative rankings or the K-J residual.</w:t>
      </w:r>
    </w:p>
    <w:p>
      <w:pPr>
        <w:pStyle w:val="Subtitle"/>
        <w:spacing w:before="0" w:after="160"/>
        <w:jc w:val="center"/>
        <w:keepNext w:val="0"/>
        <w:keepLines/>
        <w:widowControl w:val="1"/>
      </w:pPr>
      <w:r>
        <w:rPr>
          <w:rFonts w:ascii="Times New Roman" w:hAnsi="Times New Roman"/>
          <w:b w:val="0"/>
          <w:bCs/>
          <w:i/>
          <w:sz w:val="20"/>
        </w:rPr>
        <w:t xml:space="preserve">C.3 Calibration uncertainty: literature bias bands.</w:t>
      </w:r>
      <w:r>
        <w:rPr>
          <w:rFonts w:ascii="Times New Roman" w:hAnsi="Times New Roman"/>
          <w:b w:val="0"/>
          <w:i/>
          <w:sz w:val="20"/>
        </w:rPr>
        <w:t xml:space="preserve"> </w:t>
      </w:r>
      <w:r>
        <w:rPr>
          <w:rFonts w:ascii="Times New Roman" w:hAnsi="Times New Roman"/>
          <w:b w:val="0"/>
          <w:i/>
          <w:sz w:val="20"/>
        </w:rPr>
        <w:t xml:space="preserve">The 6-anchor LOO RMS quoted in §5.3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rPr>
          <w:rFonts w:ascii="Times New Roman" w:hAnsi="Times New Roman"/>
          <w:b w:val="0"/>
          <w:i/>
          <w:sz w:val="20"/>
        </w:rPr>
        <w:t xml:space="preserve"> </w:t>
      </w:r>
      <w:hyperlink w:anchor="ref-goerigk2017benchmark">
        <w:r>
          <w:rPr>
            <w:rStyle w:val="Hyperlink"/>
          </w:rPr>
          <w:t xml:space="preserve">[59]</w:t>
        </w:r>
      </w:hyperlink>
      <w:r>
        <w:rPr>
          <w:rFonts w:ascii="Times New Roman" w:hAnsi="Times New Roman"/>
          <w:b w:val="0"/>
          <w:i/>
          <w:sz w:val="20"/>
        </w:rPr>
        <w:t xml:space="preserve"> </w:t>
      </w:r>
      <w:r>
        <w:rPr>
          <w:rFonts w:ascii="Times New Roman" w:hAnsi="Times New Roman"/>
          <w:b w:val="0"/>
          <w:i/>
          <w:sz w:val="20"/>
        </w:rPr>
        <w:t xml:space="preserve">place the systematic atomization-energy bias of B3LYP with a double-zeta polarised basis at approximately 5–15 kJ/mol per atom, which scales to</w:t>
      </w:r>
      <w:r>
        <w:rPr>
          <w:rFonts w:ascii="Times New Roman" w:hAnsi="Times New Roman"/>
          <w:b w:val="0"/>
          <w:i/>
          <w:sz w:val="20"/>
        </w:rPr>
        <w:t xml:space="preserve"> </w:t>
      </w:r>
      <m:oMath>
        <m:r>
          <m:rPr>
            <m:sty m:val="p"/>
          </m:rPr>
          <m:t>∼</m:t>
        </m:r>
      </m:oMath>
      <w:r>
        <w:rPr>
          <w:rFonts w:ascii="Times New Roman" w:hAnsi="Times New Roman"/>
          <w:b w:val="0"/>
          <w:i/>
          <w:sz w:val="20"/>
        </w:rPr>
        <w:t xml:space="preserve">100–250 kJ/mol at the molecular level for our 15–25-atom leads, consistent with the +170 to +224 kJ/mol offsets we observe at the RDX/TATB anchors. Casey et al.</w:t>
      </w:r>
      <w:r>
        <w:rPr>
          <w:rFonts w:ascii="Times New Roman" w:hAnsi="Times New Roman"/>
          <w:b w:val="0"/>
          <w:i/>
          <w:sz w:val="20"/>
        </w:rPr>
        <w:t xml:space="preserve"> </w:t>
      </w:r>
      <w:hyperlink w:anchor="ref-casey2020prediction">
        <w:r>
          <w:rPr>
            <w:rStyle w:val="Hyperlink"/>
          </w:rPr>
          <w:t xml:space="preserve">[2]</w:t>
        </w:r>
      </w:hyperlink>
      <w:r>
        <w:rPr>
          <w:rFonts w:ascii="Times New Roman" w:hAnsi="Times New Roman"/>
          <w:b w:val="0"/>
          <w:i/>
          <w:sz w:val="20"/>
        </w:rPr>
        <w:t xml:space="preserve"> </w:t>
      </w:r>
      <w:r>
        <w:rPr>
          <w:rFonts w:ascii="Times New Roman" w:hAnsi="Times New Roman"/>
          <w:b w:val="0"/>
          <w:i/>
          <w:sz w:val="20"/>
        </w:rPr>
        <w:t xml:space="preserve">report B3LYP/6-31G* HOF residuals on a CHNO test set with molecule-level RMSE in the</w:t>
      </w:r>
      <w:r>
        <w:rPr>
          <w:rFonts w:ascii="Times New Roman" w:hAnsi="Times New Roman"/>
          <w:b w:val="0"/>
          <w:i/>
          <w:sz w:val="20"/>
        </w:rPr>
        <w:t xml:space="preserve"> </w:t>
      </w:r>
      <m:oMath>
        <m:r>
          <m:rPr>
            <m:sty m:val="p"/>
          </m:rPr>
          <m:t>∼</m:t>
        </m:r>
      </m:oMath>
      <w:r>
        <w:rPr>
          <w:rFonts w:ascii="Times New Roman" w:hAnsi="Times New Roman"/>
          <w:b w:val="0"/>
          <w:i/>
          <w:sz w:val="20"/>
        </w:rPr>
        <w:t xml:space="preserve">30–50 kJ/mol band (</w:t>
      </w:r>
      <m:oMath>
        <m:r>
          <m:rPr>
            <m:sty m:val="p"/>
          </m:rPr>
          <m:t>∼</m:t>
        </m:r>
      </m:oMath>
      <w:r>
        <w:rPr>
          <w:rFonts w:ascii="Times New Roman" w:hAnsi="Times New Roman"/>
          <w:b w:val="0"/>
          <w:i/>
          <w:sz w:val="20"/>
        </w:rPr>
        <w:t xml:space="preserve">5–10 kJ/mol per heavy atom), which is the closest published analogue to our setup and which we adopt as the residual-uncertainty band on calibrated HOFs in §5.3. For density, the Bondi van-der-Waals volume estimator</w:t>
      </w:r>
      <w:r>
        <w:rPr>
          <w:rFonts w:ascii="Times New Roman" w:hAnsi="Times New Roman"/>
          <w:b w:val="0"/>
          <w:i/>
          <w:sz w:val="20"/>
        </w:rPr>
        <w:t xml:space="preserve"> </w:t>
      </w:r>
      <w:hyperlink w:anchor="ref-bondi1964vdw">
        <w:r>
          <w:rPr>
            <w:rStyle w:val="Hyperlink"/>
          </w:rPr>
          <w:t xml:space="preserve">[70]</w:t>
        </w:r>
      </w:hyperlink>
      <w:r>
        <w:rPr>
          <w:rFonts w:ascii="Times New Roman" w:hAnsi="Times New Roman"/>
          <w:b w:val="0"/>
          <w:i/>
          <w:sz w:val="20"/>
        </w:rPr>
        <w:t xml:space="preserve"> </w:t>
      </w:r>
      <w:r>
        <w:rPr>
          <w:rFonts w:ascii="Times New Roman" w:hAnsi="Times New Roman"/>
          <w:b w:val="0"/>
          <w:i/>
          <w:sz w:val="20"/>
        </w:rPr>
        <w:t xml:space="preserve">requires a packing coefficient that ranges 0.65–0.78 across observed CHNO crystal structures; our fixed value of 0.69 sits near the middle of this range, and the anchor-calibrated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would shift by approximately</w:t>
      </w:r>
      <w:r>
        <w:rPr>
          <w:rFonts w:ascii="Times New Roman" w:hAnsi="Times New Roman"/>
          <w:b w:val="0"/>
          <w:i/>
          <w:sz w:val="20"/>
        </w:rPr>
        <w:t xml:space="preserve"> </w:t>
      </w:r>
      <m:oMath>
        <m:r>
          <m:rPr>
            <m:sty m:val="p"/>
          </m:rPr>
          <m:t>±</m:t>
        </m:r>
        <m:r>
          <m:t>0.15</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across the full packing-coefficient interval, which dominates the</w:t>
      </w:r>
      <w:r>
        <w:rPr>
          <w:rFonts w:ascii="Times New Roman" w:hAnsi="Times New Roman"/>
          <w:b w:val="0"/>
          <w:i/>
          <w:sz w:val="20"/>
        </w:rPr>
        <w:t xml:space="preserve">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uncertainty for any single lead.</w:t>
      </w:r>
    </w:p>
    <w:p>
      <w:pPr>
        <w:pStyle w:val="Subtitle"/>
        <w:spacing w:before="0" w:after="160"/>
        <w:jc w:val="center"/>
        <w:keepNext w:val="0"/>
        <w:keepLines/>
        <w:widowControl w:val="1"/>
      </w:pPr>
      <w:r>
        <w:rPr>
          <w:rFonts w:ascii="Times New Roman" w:hAnsi="Times New Roman"/>
          <w:b w:val="0"/>
          <w:bCs/>
          <w:i/>
          <w:sz w:val="20"/>
        </w:rPr>
        <w:t xml:space="preserve">C.4 6-anchor calibration (provenance and robustness).</w:t>
      </w:r>
      <w:r>
        <w:rPr>
          <w:rFonts w:ascii="Times New Roman" w:hAnsi="Times New Roman"/>
          <w:b w:val="0"/>
          <w:i/>
          <w:sz w:val="20"/>
        </w:rPr>
        <w:t xml:space="preserve"> </w:t>
      </w:r>
      <w:r>
        <w:rPr>
          <w:rFonts w:ascii="Times New Roman" w:hAnsi="Times New Roman"/>
          <w:b w:val="0"/>
          <w:i/>
          <w:sz w:val="20"/>
        </w:rPr>
        <w:t xml:space="preserve">The calibration equation and leave-one-out residuals are stated in Table 2 (§2.3) and are not repeated here; this note documents their provenance and numerical robustness. The four added anchors (HMX, PETN, FOX-7, NTO) were computed on two independent GPU compute runs (separate hosts); cross-run consistency was</w:t>
      </w:r>
      <w:r>
        <w:rPr>
          <w:rFonts w:ascii="Times New Roman" w:hAnsi="Times New Roman"/>
          <w:b w:val="0"/>
          <w:i/>
          <w:sz w:val="20"/>
        </w:rPr>
        <w:t xml:space="preserve"> </w:t>
      </w:r>
      <m:oMath>
        <m:r>
          <m:rPr>
            <m:sty m:val="p"/>
          </m:rPr>
          <m:t>Δ</m:t>
        </m:r>
        <m:r>
          <m:t>ρ</m:t>
        </m:r>
        <m:r>
          <m:rPr>
            <m:sty m:val="p"/>
          </m:rPr>
          <m:t>≤</m:t>
        </m:r>
        <m:r>
          <m:t>0.0002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oMath>
      <w:r>
        <w:rPr>
          <w:rFonts w:ascii="Times New Roman" w:hAnsi="Times New Roman"/>
          <w:b w:val="0"/>
          <w:i/>
          <w:sz w:val="20"/>
        </w:rPr>
        <w:t xml:space="preserve">HOF</w:t>
      </w:r>
      <m:oMath>
        <m:r>
          <m:t> </m:t>
        </m:r>
        <m:r>
          <m:rPr>
            <m:sty m:val="p"/>
          </m:rPr>
          <m:t>=</m:t>
        </m:r>
        <m:r>
          <m:t> </m:t>
        </m:r>
        <m:r>
          <m:t>0.0</m:t>
        </m:r>
      </m:oMath>
      <w:r>
        <w:rPr>
          <w:rFonts w:ascii="Times New Roman" w:hAnsi="Times New Roman"/>
          <w:b w:val="0"/>
          <w:i/>
          <w:sz w:val="20"/>
        </w:rPr>
        <w:t xml:space="preserve"> kJ/mol on every anchor, demonstrating run-to-run determinism of the GPU4PySCF pipeline. The density slope of</w:t>
      </w:r>
      <w:r>
        <w:rPr>
          <w:rFonts w:ascii="Times New Roman" w:hAnsi="Times New Roman"/>
          <w:b w:val="0"/>
          <w:i/>
          <w:sz w:val="20"/>
        </w:rPr>
        <w:t xml:space="preserve"> </w:t>
      </w:r>
      <m:oMath>
        <m:r>
          <m:t>1.392</m:t>
        </m:r>
      </m:oMath>
      <w:r>
        <w:rPr>
          <w:rFonts w:ascii="Times New Roman" w:hAnsi="Times New Roman"/>
          <w:b w:val="0"/>
          <w:i/>
          <w:sz w:val="20"/>
        </w:rPr>
        <w:t xml:space="preserve"> </w:t>
      </w:r>
      <w:r>
        <w:rPr>
          <w:rFonts w:ascii="Times New Roman" w:hAnsi="Times New Roman"/>
          <w:b w:val="0"/>
          <w:i/>
          <w:sz w:val="20"/>
        </w:rPr>
        <w:t xml:space="preserve">sits in the physically expected</w:t>
      </w:r>
      <w:r>
        <w:rPr>
          <w:rFonts w:ascii="Times New Roman" w:hAnsi="Times New Roman"/>
          <w:b w:val="0"/>
          <w:i/>
          <w:sz w:val="20"/>
        </w:rPr>
        <w:t xml:space="preserve"> </w:t>
      </w:r>
      <m:oMath>
        <m:r>
          <m:rPr>
            <m:sty m:val="p"/>
          </m:rPr>
          <m:t>[</m:t>
        </m:r>
        <m:r>
          <m:t>1.0</m:t>
        </m:r>
        <m:r>
          <m:rPr>
            <m:sty m:val="p"/>
          </m:rPr>
          <m:t>,</m:t>
        </m:r>
        <m:r>
          <m:t>2.0</m:t>
        </m:r>
        <m:r>
          <m:rPr>
            <m:sty m:val="p"/>
          </m:rPr>
          <m:t>]</m:t>
        </m:r>
      </m:oMath>
      <w:r>
        <w:rPr>
          <w:rFonts w:ascii="Times New Roman" w:hAnsi="Times New Roman"/>
          <w:b w:val="0"/>
          <w:i/>
          <w:sz w:val="20"/>
        </w:rPr>
        <w:t xml:space="preserve"> </w:t>
      </w:r>
      <w:r>
        <w:rPr>
          <w:rFonts w:ascii="Times New Roman" w:hAnsi="Times New Roman"/>
          <w:b w:val="0"/>
          <w:i/>
          <w:sz w:val="20"/>
        </w:rPr>
        <w:t xml:space="preserve">range for the Bondi-vdW + 0.69-packing estimator under DFT-optimised geometry; the previously reported 2-anchor slope of 4.275 (RDX/TATB only) was a 2-point regression artefact corrected by the 6-anchor extension. The 6-anchor calibration is the source of truth for §5.3; per-anchor fit residuals are tabulated in Appendix C.4. The calibrated DFT numbers in §5.3 remain ranking-grade rather than absolute-value-grade, with residual atomization-method uncertainty of approximately 5–15 kJ/mol per atom for B3LYP/6-31G(d) HOFs (Goerigk and Casey benchmarks). (The TATB experimental HOF = −141 kJ/mol is the 298 K condensed-phase value; applying HOF_cal = HOF_DFT − 206.7 to our 0 K DFT output (+82.9 kJ/mol) gives −123.7 kJ/mol, a 17 kJ/mol residual attributable to the 0 K → 298 K thermal correction not included in the linear offset; this is within the ±64.6 kJ/mol LOO RMS.)</w:t>
      </w:r>
    </w:p>
    <w:p>
      <w:pPr>
        <w:pStyle w:val="Subtitle"/>
        <w:spacing w:before="0" w:after="160"/>
        <w:jc w:val="center"/>
        <w:keepNext w:val="0"/>
        <w:keepLines/>
        <w:widowControl w:val="1"/>
      </w:pPr>
      <w:r>
        <w:rPr>
          <w:rFonts w:ascii="Times New Roman" w:hAnsi="Times New Roman"/>
          <w:b w:val="0"/>
          <w:bCs/>
          <w:i/>
          <w:sz w:val="20"/>
        </w:rPr>
        <w:t xml:space="preserve">C.5 Per-lead DFT-recomputed property table.</w:t>
      </w:r>
      <w:r>
        <w:rPr>
          <w:rFonts w:ascii="Times New Roman" w:hAnsi="Times New Roman"/>
          <w:b w:val="0"/>
          <w:i/>
          <w:sz w:val="20"/>
        </w:rPr>
        <w:t xml:space="preserve"> </w:t>
      </w:r>
      <w:r>
        <w:rPr>
          <w:rFonts w:ascii="Times New Roman" w:hAnsi="Times New Roman"/>
          <w:b w:val="0"/>
          <w:i/>
          <w:sz w:val="20"/>
        </w:rPr>
        <w:t xml:space="preserve">Full per-lead B3LYP/6-31G(d) optimisation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 results for the chem-pass leads and the two anchors (RDX, TATB):</w:t>
      </w:r>
    </w:p>
    <w:p>
      <w:pPr>
        <w:pStyle w:val="Subtitle"/>
        <w:spacing w:before="0" w:after="160"/>
        <w:jc w:val="center"/>
        <w:keepNext w:val="0"/>
        <w:keepLines/>
        <w:widowControl w:val="1"/>
      </w:pPr>
      <w:r>
        <w:rPr>
          <w:rFonts w:ascii="Times New Roman" w:hAnsi="Times New Roman"/>
          <w:b w:val="0"/>
          <w:bCs/>
          <w:i/>
          <w:sz w:val="20"/>
        </w:rPr>
        <w:t xml:space="preserve">Table C.1.</w:t>
      </w:r>
      <w:r>
        <w:rPr>
          <w:rFonts w:ascii="Times New Roman" w:hAnsi="Times New Roman"/>
          <w:b w:val="0"/>
          <w:i/>
          <w:sz w:val="20"/>
        </w:rPr>
        <w:t xml:space="preserve"> </w:t>
      </w:r>
      <w:r>
        <w:rPr>
          <w:rFonts w:ascii="Times New Roman" w:hAnsi="Times New Roman"/>
          <w:b w:val="0"/>
          <w:i/>
          <w:sz w:val="20"/>
        </w:rPr>
        <w:t xml:space="preserve">Per-lead B3LYP/6-31G(d) optimisation + ωB97X-D3BJ/def2-TZVP single-point</w:t>
      </w:r>
      <w:r>
        <w:rPr>
          <w:rFonts w:ascii="Times New Roman" w:hAnsi="Times New Roman"/>
          <w:b w:val="0"/>
          <w:i/>
          <w:sz w:val="20"/>
        </w:rPr>
        <w:t xml:space="preserve"> </w:t>
      </w:r>
      <w:r>
        <w:rPr>
          <w:rFonts w:ascii="Times New Roman" w:hAnsi="Times New Roman"/>
          <w:b w:val="0"/>
          <w:i/>
          <w:iCs/>
          <w:sz w:val="20"/>
        </w:rPr>
        <w:t xml:space="preserve">structural</w:t>
      </w:r>
      <w:r>
        <w:rPr>
          <w:rFonts w:ascii="Times New Roman" w:hAnsi="Times New Roman"/>
          <w:b w:val="0"/>
          <w:i/>
          <w:sz w:val="20"/>
        </w:rPr>
        <w:t xml:space="preserve"> </w:t>
      </w:r>
      <w:r>
        <w:rPr>
          <w:rFonts w:ascii="Times New Roman" w:hAnsi="Times New Roman"/>
          <w:b w:val="0"/>
          <w:i/>
          <w:sz w:val="20"/>
        </w:rPr>
        <w:t xml:space="preserve">validation for the 12 chem-pass leads and the two anchors (RDX, TATB). Columns: lead ID; molecular formula; atom count; number of imaginary frequencies (0 = real local minimum); minimum real-mode wavenumber; zero-point vibrational energy. Per-lead numbers from</w:t>
      </w:r>
      <w:r>
        <w:rPr>
          <w:rFonts w:ascii="Times New Roman" w:hAnsi="Times New Roman"/>
          <w:b w:val="0"/>
          <w:i/>
          <w:sz w:val="20"/>
        </w:rPr>
        <w:t xml:space="preserve"> </w:t>
      </w:r>
      <w:r>
        <w:rPr>
          <w:rStyle w:val="VerbatimChar"/>
          <w:rFonts w:ascii="Times New Roman" w:hAnsi="Times New Roman"/>
          <w:b w:val="0"/>
          <w:i/>
          <w:sz w:val="20"/>
        </w:rPr>
        <w:t xml:space="preserve">m2_summary.json</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w:r>
        <w:rPr>
          <w:rStyle w:val="VerbatimChar"/>
          <w:rFonts w:ascii="Times New Roman" w:hAnsi="Times New Roman"/>
          <w:b w:val="0"/>
          <w:i/>
          <w:sz w:val="20"/>
        </w:rPr>
        <w:t xml:space="preserve">m2_lead_*.json</w:t>
      </w:r>
      <w:r>
        <w:rPr>
          <w:rFonts w:ascii="Times New Roman" w:hAnsi="Times New Roman"/>
          <w:b w:val="0"/>
          <w:i/>
          <w:sz w:val="20"/>
        </w:rPr>
        <w:t xml:space="preserve">. DFT densities, HOFs, and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predictions are in Table C.1b.</w:t>
      </w:r>
    </w:p>
    <w:tbl>
      <w:tblPr>
        <w:tblStyle w:val="Table"/>
        <w:tblW w:type="pct" w:w="5000"/>
        <w:jc w:val="center"/>
        <w:tblLook w:firstRow="1" w:lastRow="0" w:firstColumn="0" w:lastColumn="0" w:noHBand="0" w:noVBand="0" w:val="0020"/>
        <w:tblCaption w:val="Table C.1. Per-lead B3LYP/6-31G(d) optimisation + ωB97X-D3BJ/def2-TZVP single-point structural validation for the 12 chem-pass leads and the two anchors (RDX, TATB). Columns: lead ID; molecular formula; atom count; number of imaginary frequencies (0 = real local minimum); minimum real-mode wavenumber; zero-point vibrational energy. Per-lead numbers from m2_summary.json and m2_lead_*.json. DFT densities, HOFs, and h50 predictions are in Table C.1b."/>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205.5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9</w:t>
            </w:r>
            <w:r>
              <w:rPr>
                <w:rFonts w:ascii="Times New Roman" w:hAnsi="Times New Roman"/>
                <w:sz w:val="19"/>
              </w:rPr>
              <w:t xml:space="preserve">O</w:t>
            </w:r>
            <w:r>
              <w:rPr>
                <w:rFonts w:ascii="Times New Roman" w:hAnsi="Times New Roman"/>
                <w:sz w:val="19"/>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396.4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4</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303.0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6</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419.1</w:t>
            </w:r>
          </w:p>
        </w:tc>
      </w:tr>
    </w:tbl>
    <w:p>
      <w:pPr>
        <w:pStyle w:val="Subtitle"/>
        <w:spacing w:before="0" w:after="160"/>
        <w:jc w:val="center"/>
        <w:keepNext w:val="0"/>
        <w:keepLines/>
        <w:widowControl w:val="1"/>
      </w:pPr>
      <w:r>
        <w:rPr>
          <w:rFonts w:ascii="Times New Roman" w:hAnsi="Times New Roman"/>
          <w:b w:val="0"/>
          <w:bCs/>
          <w:i/>
          <w:sz w:val="20"/>
        </w:rPr>
        <w:t xml:space="preserve">Note on L3/L16.</w:t>
      </w:r>
      <w:r>
        <w:rPr>
          <w:rFonts w:ascii="Times New Roman" w:hAnsi="Times New Roman"/>
          <w:b w:val="0"/>
          <w:i/>
          <w:sz w:val="20"/>
        </w:rPr>
        <w:t xml:space="preserve"> </w:t>
      </w:r>
      <w:r>
        <w:rPr>
          <w:rFonts w:ascii="Times New Roman" w:hAnsi="Times New Roman"/>
          <w:b w:val="0"/>
          <w:i/>
          <w:sz w:val="20"/>
        </w:rP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Subtitle"/>
        <w:spacing w:before="0" w:after="40"/>
        <w:jc w:val="center"/>
        <w:keepNext/>
        <w:keepLines/>
        <w:widowControl w:val="1"/>
      </w:pPr>
      <w:r>
        <w:rPr>
          <w:rFonts w:ascii="Times New Roman" w:hAnsi="Times New Roman"/>
          <w:b/>
          <w:bCs/>
          <w:i w:val="0"/>
          <w:sz w:val="24"/>
        </w:rPr>
        <w:t xml:space="preserve">Note on L9/L20.</w:t>
      </w:r>
      <w:r>
        <w:rPr>
          <w:rFonts w:ascii="Times New Roman" w:hAnsi="Times New Roman"/>
          <w:b/>
          <w:i w:val="0"/>
          <w:sz w:val="24"/>
        </w:rPr>
        <w:t xml:space="preserve"> </w:t>
      </w:r>
      <w:r>
        <w:rPr>
          <w:rFonts w:ascii="Times New Roman" w:hAnsi="Times New Roman"/>
          <w:b/>
          <w:i w:val="0"/>
          <w:sz w:val="24"/>
        </w:rPr>
        <w:t xml:space="preserve">ν_min = 0.0 cm</w:t>
      </w:r>
      <w:r>
        <w:rPr>
          <w:rFonts w:ascii="Times New Roman" w:hAnsi="Times New Roman"/>
          <w:b/>
          <w:i w:val="0"/>
          <w:sz w:val="24"/>
          <w:vertAlign w:val="superscript"/>
        </w:rPr>
        <w:t xml:space="preserve">−1</w:t>
      </w:r>
      <w:r>
        <w:rPr>
          <w:rFonts w:ascii="Times New Roman" w:hAnsi="Times New Roman"/>
          <w:b/>
          <w:i w:val="0"/>
          <w:sz w:val="24"/>
        </w:rPr>
        <w:t xml:space="preserve"> </w:t>
      </w:r>
      <w:r>
        <w:rPr>
          <w:rFonts w:ascii="Times New Roman" w:hAnsi="Times New Roman"/>
          <w:b/>
          <w:i w:val="0"/>
          <w:sz w:val="24"/>
        </w:rPr>
        <w:t xml:space="preserve">reflects a near-zero torsional frequency (soft dihedral mode within numerical precision of the geometry optimizer) rather than an imaginary mode or saddle point; n_imag = 0 confirms these are real local minima.</w:t>
      </w:r>
    </w:p>
    <w:p>
      <w:pPr>
        <w:pStyle w:val="Subtitle"/>
        <w:spacing w:before="0" w:after="160"/>
        <w:jc w:val="center"/>
        <w:keepNext w:val="0"/>
        <w:keepLines/>
        <w:widowControl w:val="1"/>
      </w:pPr>
      <w:r>
        <w:rPr>
          <w:rFonts w:ascii="Times New Roman" w:hAnsi="Times New Roman"/>
          <w:b w:val="0"/>
          <w:bCs/>
          <w:i/>
          <w:sz w:val="20"/>
        </w:rPr>
        <w:t xml:space="preserve">Table C.1b.</w:t>
      </w:r>
      <w:r>
        <w:rPr>
          <w:rFonts w:ascii="Times New Roman" w:hAnsi="Times New Roman"/>
          <w:b w:val="0"/>
          <w:i/>
          <w:sz w:val="20"/>
        </w:rPr>
        <w:t xml:space="preserve"> </w:t>
      </w:r>
      <w:r>
        <w:rPr>
          <w:rFonts w:ascii="Times New Roman" w:hAnsi="Times New Roman"/>
          <w:b w:val="0"/>
          <w:i/>
          <w:sz w:val="20"/>
        </w:rPr>
        <w:t xml:space="preserve">DFT-derived</w:t>
      </w:r>
      <w:r>
        <w:rPr>
          <w:rFonts w:ascii="Times New Roman" w:hAnsi="Times New Roman"/>
          <w:b w:val="0"/>
          <w:i/>
          <w:sz w:val="20"/>
        </w:rPr>
        <w:t xml:space="preserve"> </w:t>
      </w:r>
      <w:r>
        <w:rPr>
          <w:rFonts w:ascii="Times New Roman" w:hAnsi="Times New Roman"/>
          <w:b w:val="0"/>
          <w:i/>
          <w:iCs/>
          <w:sz w:val="20"/>
        </w:rPr>
        <w:t xml:space="preserve">properties</w:t>
      </w:r>
      <w:r>
        <w:rPr>
          <w:rFonts w:ascii="Times New Roman" w:hAnsi="Times New Roman"/>
          <w:b w:val="0"/>
          <w:i/>
          <w:sz w:val="20"/>
        </w:rPr>
        <w:t xml:space="preserve"> </w:t>
      </w:r>
      <w:r>
        <w:rPr>
          <w:rFonts w:ascii="Times New Roman" w:hAnsi="Times New Roman"/>
          <w:b w:val="0"/>
          <w:i/>
          <w:sz w:val="20"/>
        </w:rPr>
        <w:t xml:space="preserve">for the 12 chem-pass leads and the two RDX/TATB anchors under the 6-anchor calibration. ρ</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1.392·ρ</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− 0.415; HOF</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HOF</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− 206.7 kJ/mol (6-anchor RDX/TATB/HMX/PETN/FOX-7/NTO fit; LOO RMS ±0.078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 ρ and ±64.6 kJ/mol on HOF). h</w:t>
      </w:r>
      <w:r>
        <w:rPr>
          <w:rFonts w:ascii="Times New Roman" w:hAnsi="Times New Roman"/>
          <w:b w:val="0"/>
          <w:i/>
          <w:sz w:val="20"/>
          <w:vertAlign w:val="subscript"/>
        </w:rPr>
        <w:t xml:space="preserve">50,model</w:t>
      </w:r>
      <w:r>
        <w:rPr>
          <w:rFonts w:ascii="Times New Roman" w:hAnsi="Times New Roman"/>
          <w:b w:val="0"/>
          <w:i/>
          <w:sz w:val="20"/>
        </w:rPr>
        <w:t xml:space="preserve"> </w:t>
      </w:r>
      <w:r>
        <w:rPr>
          <w:rFonts w:ascii="Times New Roman" w:hAnsi="Times New Roman"/>
          <w:b w:val="0"/>
          <w:i/>
          <w:sz w:val="20"/>
        </w:rPr>
        <w:t xml:space="preserve">from the h50 score-model head (Huang and Massa</w:t>
      </w:r>
      <w:r>
        <w:rPr>
          <w:rFonts w:ascii="Times New Roman" w:hAnsi="Times New Roman"/>
          <w:b w:val="0"/>
          <w:i/>
          <w:sz w:val="20"/>
        </w:rPr>
        <w:t xml:space="preserve"> </w:t>
      </w:r>
      <w:hyperlink w:anchor="ref-huang2021applying">
        <w:r>
          <w:rPr>
            <w:rStyle w:val="Hyperlink"/>
          </w:rPr>
          <w:t xml:space="preserve">[42]</w:t>
        </w:r>
      </w:hyperlink>
      <w:r>
        <w:rPr>
          <w:rFonts w:ascii="Times New Roman" w:hAnsi="Times New Roman"/>
          <w:b w:val="0"/>
          <w:i/>
          <w:sz w:val="20"/>
        </w:rPr>
        <w:t xml:space="preserve">); h</w:t>
      </w:r>
      <w:r>
        <w:rPr>
          <w:rFonts w:ascii="Times New Roman" w:hAnsi="Times New Roman"/>
          <w:b w:val="0"/>
          <w:i/>
          <w:sz w:val="20"/>
          <w:vertAlign w:val="subscript"/>
        </w:rPr>
        <w:t xml:space="preserve">50,BDE</w:t>
      </w:r>
      <w:r>
        <w:rPr>
          <w:rFonts w:ascii="Times New Roman" w:hAnsi="Times New Roman"/>
          <w:b w:val="0"/>
          <w:i/>
          <w:sz w:val="20"/>
        </w:rPr>
        <w:t xml:space="preserve"> </w:t>
      </w:r>
      <w:r>
        <w:rPr>
          <w:rFonts w:ascii="Times New Roman" w:hAnsi="Times New Roman"/>
          <w:b w:val="0"/>
          <w:i/>
          <w:sz w:val="20"/>
        </w:rPr>
        <w:t xml:space="preserve">via Politzer–Murray 2014 chemotype-class linear fit h</w:t>
      </w:r>
      <w:r>
        <w:rPr>
          <w:rFonts w:ascii="Times New Roman" w:hAnsi="Times New Roman"/>
          <w:b w:val="0"/>
          <w:i/>
          <w:sz w:val="20"/>
          <w:vertAlign w:val="subscript"/>
        </w:rPr>
        <w:t xml:space="preserve">50</w:t>
      </w:r>
      <w:r>
        <w:rPr>
          <w:rFonts w:ascii="Times New Roman" w:hAnsi="Times New Roman"/>
          <w:b w:val="0"/>
          <w:i/>
          <w:sz w:val="20"/>
        </w:rPr>
        <w:t xml:space="preserve">=1.93·BDE−52.4 (BDE class typicals: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70, R</w:t>
      </w:r>
      <w:r>
        <w:rPr>
          <w:rFonts w:ascii="Times New Roman" w:hAnsi="Times New Roman"/>
          <w:b w:val="0"/>
          <w:i/>
          <w:sz w:val="20"/>
          <w:vertAlign w:val="subscript"/>
        </w:rPr>
        <w:t xml:space="preserve">2</w:t>
      </w:r>
      <w:r>
        <w:rPr>
          <w:rFonts w:ascii="Times New Roman" w:hAnsi="Times New Roman"/>
          <w:b w:val="0"/>
          <w:i/>
          <w:sz w:val="20"/>
        </w:rPr>
        <w:t xml:space="preserv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47, R-CH-NO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55, R-O-NO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40 kcal/mol). Anchor sanity check: RDX h</w:t>
      </w:r>
      <w:r>
        <w:rPr>
          <w:rFonts w:ascii="Times New Roman" w:hAnsi="Times New Roman"/>
          <w:b w:val="0"/>
          <w:i/>
          <w:sz w:val="20"/>
          <w:vertAlign w:val="subscript"/>
        </w:rPr>
        <w:t xml:space="preserve">50,model</w:t>
      </w:r>
      <w:r>
        <w:rPr>
          <w:rFonts w:ascii="Times New Roman" w:hAnsi="Times New Roman"/>
          <w:b w:val="0"/>
          <w:i/>
          <w:sz w:val="20"/>
        </w:rPr>
        <w:t xml:space="preserve">=26.3 cm vs literature 25–30; TATB 89.2 vs literature 140–490 (both routes underpredict TATB; H-bond cushioning is not in the BDE-only class scheme).</w:t>
      </w:r>
    </w:p>
    <w:tbl>
      <w:tblPr>
        <w:tblStyle w:val="Table"/>
        <w:tblW w:type="pct" w:w="5000"/>
        <w:jc w:val="center"/>
        <w:tblLook w:firstRow="1" w:lastRow="0" w:firstColumn="0" w:lastColumn="0" w:noHBand="0" w:noVBand="0" w:val="0020"/>
        <w:tblCaption w:val="Table C.1b. DFT-derived properties for the 12 chem-pass leads and the two RDX/TATB anchors under the 6-anchor calibration. ρcal = 1.392·ρDFT − 0.415; HOFcal = HOFDFT − 206.7 kJ/mol (6-anchor RDX/TATB/HMX/PETN/FOX-7/NTO fit; LOO RMS ±0.078 g/cm3 on ρ and ±64.6 kJ/mol on HOF). h50,model from the h50 score-model head (Huang and Massa [42]); h50,BDE via Politzer–Murray 2014 chemotype-class linear fit h50=1.93·BDE−52.4 (BDE class typicals: Ar–NO2 70, R2N–NO2 47, R-CH-NO2 55, R-O-NO2 40 kcal/mol). Anchor sanity check: RDX h50,model=26.3 cm vs literature 25–30; TATB 89.2 vs literature 140–490 (both routes underpredict TATB; H-bond cushioning is not in the BDE-only class schem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50,model</w:t>
            </w:r>
            <w:r>
              <w:rPr>
                <w:rFonts w:ascii="Times New Roman" w:hAnsi="Times New Roman"/>
                <w:b/>
                <w:sz w:val="18"/>
              </w:rPr>
              <w:t xml:space="preserve"> </w:t>
            </w:r>
            <w:r>
              <w:rPr>
                <w:rFonts w:ascii="Times New Roman" w:hAnsi="Times New Roman"/>
                <w:b/>
                <w:sz w:val="18"/>
              </w:rPr>
              <w:t xml:space="preserve">(cm)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bl>
    <w:p>
      <w:pPr>
        <w:pStyle w:val="Subtitle"/>
        <w:spacing w:before="0" w:after="160"/>
        <w:jc w:val="center"/>
        <w:keepNext w:val="0"/>
        <w:keepLines/>
        <w:widowControl w:val="1"/>
      </w:pPr>
      <w:r>
        <w:rPr>
          <w:rFonts w:ascii="Times New Roman" w:hAnsi="Times New Roman"/>
          <w:b w:val="0"/>
          <w:bCs/>
          <w:i/>
          <w:sz w:val="20"/>
        </w:rPr>
        <w:t xml:space="preserve">L1 discrepancy.</w:t>
      </w:r>
      <w:r>
        <w:rPr>
          <w:rFonts w:ascii="Times New Roman" w:hAnsi="Times New Roman"/>
          <w:b w:val="0"/>
          <w:i/>
          <w:sz w:val="20"/>
        </w:rPr>
        <w:t xml:space="preserve"> </w:t>
      </w:r>
      <w:r>
        <w:rPr>
          <w:rFonts w:ascii="Times New Roman" w:hAnsi="Times New Roman"/>
          <w:b w:val="0"/>
          <w:i/>
          <w:sz w:val="20"/>
        </w:rPr>
        <w:t xml:space="preserve">The score model predicts h</w:t>
      </w:r>
      <w:r>
        <w:rPr>
          <w:rFonts w:ascii="Times New Roman" w:hAnsi="Times New Roman"/>
          <w:b w:val="0"/>
          <w:i/>
          <w:sz w:val="20"/>
          <w:vertAlign w:val="subscript"/>
        </w:rPr>
        <w:t xml:space="preserve">50,model</w:t>
      </w:r>
      <w:r>
        <w:rPr>
          <w:rFonts w:ascii="Times New Roman" w:hAnsi="Times New Roman"/>
          <w:b w:val="0"/>
          <w:i/>
          <w:sz w:val="20"/>
        </w:rPr>
        <w:t xml:space="preserve">=30.3 cm (more sensitive) while the BDE estimate gives h</w:t>
      </w:r>
      <w:r>
        <w:rPr>
          <w:rFonts w:ascii="Times New Roman" w:hAnsi="Times New Roman"/>
          <w:b w:val="0"/>
          <w:i/>
          <w:sz w:val="20"/>
          <w:vertAlign w:val="subscript"/>
        </w:rPr>
        <w:t xml:space="preserve">50,BDE</w:t>
      </w:r>
      <w:r>
        <w:rPr>
          <w:rFonts w:ascii="Times New Roman" w:hAnsi="Times New Roman"/>
          <w:b w:val="0"/>
          <w:i/>
          <w:sz w:val="20"/>
        </w:rPr>
        <w:t xml:space="preserve">=82.7 cm (less sensitive), a factor of 2.7. The two methods disagree on L1 because the model was calibrated on a drug-domain distribution (few isoxazole-class nitro compounds in training), whereas the BDE formula classifies L1's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bonds using the aromatic-nitro class typical (BDE~70 kcal/mol). Neither route is authoritative for a novel chemotype; experimental impact-sensitivity testing is required.</w:t>
      </w:r>
    </w:p>
    <w:p>
      <w:pPr>
        <w:pStyle w:val="Subtitle"/>
        <w:spacing w:before="0" w:after="160"/>
        <w:jc w:val="center"/>
        <w:keepNext w:val="0"/>
        <w:keepLines/>
        <w:widowControl w:val="1"/>
      </w:pPr>
      <w:r>
        <w:rPr>
          <w:rFonts w:ascii="Times New Roman" w:hAnsi="Times New Roman"/>
          <w:b w:val="0"/>
          <w:bCs/>
          <w:i/>
          <w:sz w:val="20"/>
        </w:rPr>
        <w:t xml:space="preserve">Reference-class scaffolds.</w:t>
      </w:r>
      <w:r>
        <w:rPr>
          <w:rFonts w:ascii="Times New Roman" w:hAnsi="Times New Roman"/>
          <w:b w:val="0"/>
          <w:i/>
          <w:sz w:val="20"/>
        </w:rPr>
        <w:t xml:space="preserve"> </w:t>
      </w:r>
      <w:r>
        <w:rPr>
          <w:rFonts w:ascii="Times New Roman" w:hAnsi="Times New Roman"/>
          <w:b w:val="0"/>
          <w:i/>
          <w:sz w:val="20"/>
        </w:rPr>
        <w:t xml:space="preserve">Three reference-class compounds (R2, R3, R14) flagged by the strengthened SMARTS gate of §5.4 were optimised with the same protocol; they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chem-pass leads and are reported here for completeness:</w:t>
      </w:r>
    </w:p>
    <w:p>
      <w:pPr>
        <w:pStyle w:val="Subtitle"/>
        <w:spacing w:before="0" w:after="160"/>
        <w:jc w:val="center"/>
        <w:keepNext w:val="0"/>
        <w:keepLines/>
        <w:widowControl w:val="1"/>
      </w:pPr>
      <w:r>
        <w:rPr>
          <w:rFonts w:ascii="Times New Roman" w:hAnsi="Times New Roman"/>
          <w:b w:val="0"/>
          <w:bCs/>
          <w:i/>
          <w:sz w:val="20"/>
        </w:rPr>
        <w:t xml:space="preserve">Table C.1c.</w:t>
      </w:r>
      <w:r>
        <w:rPr>
          <w:rFonts w:ascii="Times New Roman" w:hAnsi="Times New Roman"/>
          <w:b w:val="0"/>
          <w:i/>
          <w:sz w:val="20"/>
        </w:rPr>
        <w:t xml:space="preserve"> </w:t>
      </w:r>
      <w:r>
        <w:rPr>
          <w:rFonts w:ascii="Times New Roman" w:hAnsi="Times New Roman"/>
          <w:b w:val="0"/>
          <w:i/>
          <w:sz w:val="20"/>
        </w:rPr>
        <w:t xml:space="preserve">Reference-class (chem-rejected) scaffolds optimised with the same B3LYP/6-31G(d) + ωB97X-D3BJ/def2-TZVP protocol. R2 is an N-nitroimine, R3 a polyazene chain, R14 an azo-amino-nitrate. DFT-derived properties for these compounds are in Table C.1d.</w:t>
      </w:r>
    </w:p>
    <w:tbl>
      <w:tblPr>
        <w:tblStyle w:val="Table"/>
        <w:tblW w:type="pct" w:w="5000"/>
        <w:jc w:val="center"/>
        <w:tblLook w:firstRow="1" w:lastRow="0" w:firstColumn="0" w:lastColumn="0" w:noHBand="0" w:noVBand="0" w:val="0020"/>
        <w:tblCaption w:val="Table C.1c. Reference-class (chem-rejected) scaffolds optimised with the same B3LYP/6-31G(d) + ωB97X-D3BJ/def2-TZVP protocol. R2 is an N-nitroimine, R3 a polyazene chain, R14 an azo-amino-nitrate. DFT-derived properties for these compounds are in Table C.1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234.3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348.6</w:t>
            </w:r>
          </w:p>
        </w:tc>
      </w:tr>
    </w:tbl>
    <w:p/>
    <w:p>
      <w:pPr>
        <w:pStyle w:val="Subtitle"/>
        <w:spacing w:before="0" w:after="160"/>
        <w:jc w:val="center"/>
        <w:keepNext w:val="0"/>
        <w:keepLines/>
        <w:widowControl w:val="1"/>
      </w:pPr>
      <w:r>
        <w:rPr>
          <w:rFonts w:ascii="Times New Roman" w:hAnsi="Times New Roman"/>
          <w:b w:val="0"/>
          <w:bCs/>
          <w:i/>
          <w:sz w:val="20"/>
        </w:rPr>
        <w:t xml:space="preserve">Table C.1d.</w:t>
      </w:r>
      <w:r>
        <w:rPr>
          <w:rFonts w:ascii="Times New Roman" w:hAnsi="Times New Roman"/>
          <w:b w:val="0"/>
          <w:i/>
          <w:sz w:val="20"/>
        </w:rPr>
        <w:t xml:space="preserve"> </w:t>
      </w:r>
      <w:r>
        <w:rPr>
          <w:rFonts w:ascii="Times New Roman" w:hAnsi="Times New Roman"/>
          <w:b w:val="0"/>
          <w:i/>
          <w:sz w:val="20"/>
        </w:rPr>
        <w:t xml:space="preserve">DFT-derived properties for the three reference-class scaffolds. Calibration as Table C.1b.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not reported because the score-model training set does not include reference-class chemotypes at sufficient density.</w:t>
      </w:r>
    </w:p>
    <w:tbl>
      <w:tblPr>
        <w:tblStyle w:val="Table"/>
        <w:tblW w:type="pct" w:w="5000"/>
        <w:jc w:val="center"/>
        <w:tblLook w:firstRow="1" w:lastRow="0" w:firstColumn="0" w:lastColumn="0" w:noHBand="0" w:noVBand="0" w:val="0020"/>
        <w:tblCaption w:val="Table C.1d. DFT-derived properties for the three reference-class scaffolds. Calibration as Table C.1b. h50 not reported because the score-model training set does not include reference-class chemotypes at sufficient den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+230.7</w:t>
            </w:r>
          </w:p>
        </w:tc>
      </w:tr>
    </w:tbl>
    <w:p>
      <w:pPr>
        <w:pStyle w:val="Subtitle"/>
        <w:spacing w:before="0" w:after="160"/>
        <w:jc w:val="center"/>
        <w:keepNext w:val="0"/>
        <w:keepLines/>
        <w:widowControl w:val="1"/>
      </w:pPr>
      <w:r>
        <w:rPr>
          <w:rFonts w:ascii="Times New Roman" w:hAnsi="Times New Roman"/>
          <w:b w:val="0"/>
          <w:bCs/>
          <w:i/>
          <w:sz w:val="20"/>
        </w:rPr>
        <w:t xml:space="preserve">Anchor calibration (6-anchor).</w:t>
      </w:r>
      <w:r>
        <w:rPr>
          <w:rFonts w:ascii="Times New Roman" w:hAnsi="Times New Roman"/>
          <w:b w:val="0"/>
          <w:i/>
          <w:sz w:val="20"/>
        </w:rPr>
        <w:t xml:space="preserve"> </w:t>
      </w:r>
      <w:r>
        <w:rPr>
          <w:rFonts w:ascii="Times New Roman" w:hAnsi="Times New Roman"/>
          <w:b w:val="0"/>
          <w:i/>
          <w:sz w:val="20"/>
        </w:rPr>
        <w:t xml:space="preserve">Experimental</w:t>
      </w:r>
      <w:r>
        <w:rPr>
          <w:rFonts w:ascii="Times New Roman" w:hAnsi="Times New Roman"/>
          <w:b w:val="0"/>
          <w:i/>
          <w:sz w:val="20"/>
        </w:rPr>
        <w:t xml:space="preserve"> </w:t>
      </w:r>
      <m:oMath>
        <m:r>
          <m:rPr>
            <m:sty m:val="p"/>
          </m:rPr>
          <m:t>(</m:t>
        </m:r>
        <m:r>
          <m:t>ρ</m:t>
        </m:r>
        <m:r>
          <m:rPr>
            <m:sty m:val="p"/>
          </m:rPr>
          <m:t>,</m:t>
        </m:r>
        <m:r>
          <m:rPr>
            <m:nor/>
            <m:sty m:val="p"/>
          </m:rPr>
          <m:t>HOF</m:t>
        </m:r>
        <m:r>
          <m:rPr>
            <m:sty m:val="p"/>
          </m:rPr>
          <m:t>)</m:t>
        </m:r>
      </m:oMath>
      <w:r>
        <w:rPr>
          <w:rFonts w:ascii="Times New Roman" w:hAnsi="Times New Roman"/>
          <w:b w:val="0"/>
          <w:i/>
          <w:sz w:val="20"/>
        </w:rPr>
        <w:t xml:space="preserve"> </w:t>
      </w:r>
      <w:r>
        <w:rPr>
          <w:rFonts w:ascii="Times New Roman" w:hAnsi="Times New Roman"/>
          <w:b w:val="0"/>
          <w:i/>
          <w:sz w:val="20"/>
        </w:rPr>
        <w:t xml:space="preserve">anchors: RDX</w:t>
      </w:r>
      <w:r>
        <w:rPr>
          <w:rFonts w:ascii="Times New Roman" w:hAnsi="Times New Roman"/>
          <w:b w:val="0"/>
          <w:i/>
          <w:sz w:val="20"/>
        </w:rPr>
        <w:t xml:space="preserve"> </w:t>
      </w:r>
      <m:oMath>
        <m:r>
          <m:rPr>
            <m:sty m:val="p"/>
          </m:rPr>
          <m:t>(</m:t>
        </m:r>
        <m:r>
          <m:t>1.82</m:t>
        </m:r>
        <m:r>
          <m:rPr>
            <m:sty m:val="p"/>
          </m:rPr>
          <m:t>,</m:t>
        </m:r>
        <m:r>
          <m:rPr>
            <m:sty m:val="p"/>
          </m:rPr>
          <m:t>+</m:t>
        </m:r>
        <m:r>
          <m:t>70</m:t>
        </m:r>
        <m:r>
          <m:rPr>
            <m:sty m:val="p"/>
          </m:rPr>
          <m:t>)</m:t>
        </m:r>
      </m:oMath>
      <w:r>
        <w:rPr>
          <w:rFonts w:ascii="Times New Roman" w:hAnsi="Times New Roman"/>
          <w:b w:val="0"/>
          <w:i/>
          <w:sz w:val="20"/>
        </w:rPr>
        <w:t xml:space="preserve">, TATB</w:t>
      </w:r>
      <w:r>
        <w:rPr>
          <w:rFonts w:ascii="Times New Roman" w:hAnsi="Times New Roman"/>
          <w:b w:val="0"/>
          <w:i/>
          <w:sz w:val="20"/>
        </w:rPr>
        <w:t xml:space="preserve"> </w:t>
      </w:r>
      <m:oMath>
        <m:r>
          <m:rPr>
            <m:sty m:val="p"/>
          </m:rPr>
          <m:t>(</m:t>
        </m:r>
        <m:r>
          <m:t>1.94</m:t>
        </m:r>
        <m:r>
          <m:rPr>
            <m:sty m:val="p"/>
          </m:rPr>
          <m:t>,</m:t>
        </m:r>
        <m:r>
          <m:rPr>
            <m:sty m:val="p"/>
          </m:rPr>
          <m:t>−</m:t>
        </m:r>
        <m:r>
          <m:t>141</m:t>
        </m:r>
        <m:r>
          <m:rPr>
            <m:sty m:val="p"/>
          </m:rPr>
          <m:t>)</m:t>
        </m:r>
      </m:oMath>
      <w:r>
        <w:rPr>
          <w:rFonts w:ascii="Times New Roman" w:hAnsi="Times New Roman"/>
          <w:b w:val="0"/>
          <w:i/>
          <w:sz w:val="20"/>
        </w:rPr>
        <w:t xml:space="preserve">, HMX</w:t>
      </w:r>
      <w:r>
        <w:rPr>
          <w:rFonts w:ascii="Times New Roman" w:hAnsi="Times New Roman"/>
          <w:b w:val="0"/>
          <w:i/>
          <w:sz w:val="20"/>
        </w:rPr>
        <w:t xml:space="preserve"> </w:t>
      </w:r>
      <m:oMath>
        <m:r>
          <m:rPr>
            <m:sty m:val="p"/>
          </m:rPr>
          <m:t>(</m:t>
        </m:r>
        <m:r>
          <m:t>1.91</m:t>
        </m:r>
        <m:r>
          <m:rPr>
            <m:sty m:val="p"/>
          </m:rPr>
          <m:t>,</m:t>
        </m:r>
        <m:r>
          <m:rPr>
            <m:sty m:val="p"/>
          </m:rPr>
          <m:t>+</m:t>
        </m:r>
        <m:r>
          <m:t>75</m:t>
        </m:r>
        <m:r>
          <m:rPr>
            <m:sty m:val="p"/>
          </m:rPr>
          <m:t>)</m:t>
        </m:r>
      </m:oMath>
      <w:r>
        <w:rPr>
          <w:rFonts w:ascii="Times New Roman" w:hAnsi="Times New Roman"/>
          <w:b w:val="0"/>
          <w:i/>
          <w:sz w:val="20"/>
        </w:rPr>
        <w:t xml:space="preserve">, PETN</w:t>
      </w:r>
      <w:r>
        <w:rPr>
          <w:rFonts w:ascii="Times New Roman" w:hAnsi="Times New Roman"/>
          <w:b w:val="0"/>
          <w:i/>
          <w:sz w:val="20"/>
        </w:rPr>
        <w:t xml:space="preserve"> </w:t>
      </w:r>
      <m:oMath>
        <m:r>
          <m:rPr>
            <m:sty m:val="p"/>
          </m:rPr>
          <m:t>(</m:t>
        </m:r>
        <m:r>
          <m:t>1.77</m:t>
        </m:r>
        <m:r>
          <m:rPr>
            <m:sty m:val="p"/>
          </m:rPr>
          <m:t>,</m:t>
        </m:r>
        <m:r>
          <m:rPr>
            <m:sty m:val="p"/>
          </m:rPr>
          <m:t>−</m:t>
        </m:r>
        <m:r>
          <m:t>538</m:t>
        </m:r>
        <m:r>
          <m:rPr>
            <m:sty m:val="p"/>
          </m:rPr>
          <m:t>)</m:t>
        </m:r>
      </m:oMath>
      <w:r>
        <w:rPr>
          <w:rFonts w:ascii="Times New Roman" w:hAnsi="Times New Roman"/>
          <w:b w:val="0"/>
          <w:i/>
          <w:sz w:val="20"/>
        </w:rPr>
        <w:t xml:space="preserve">, FOX-7</w:t>
      </w:r>
      <w:r>
        <w:rPr>
          <w:rFonts w:ascii="Times New Roman" w:hAnsi="Times New Roman"/>
          <w:b w:val="0"/>
          <w:i/>
          <w:sz w:val="20"/>
        </w:rPr>
        <w:t xml:space="preserve"> </w:t>
      </w:r>
      <m:oMath>
        <m:r>
          <m:rPr>
            <m:sty m:val="p"/>
          </m:rPr>
          <m:t>(</m:t>
        </m:r>
        <m:r>
          <m:t>1.89</m:t>
        </m:r>
        <m:r>
          <m:rPr>
            <m:sty m:val="p"/>
          </m:rPr>
          <m:t>,</m:t>
        </m:r>
        <m:r>
          <m:rPr>
            <m:sty m:val="p"/>
          </m:rPr>
          <m:t>−</m:t>
        </m:r>
        <m:r>
          <m:t>134</m:t>
        </m:r>
        <m:r>
          <m:rPr>
            <m:sty m:val="p"/>
          </m:rPr>
          <m:t>)</m:t>
        </m:r>
      </m:oMath>
      <w:r>
        <w:rPr>
          <w:rFonts w:ascii="Times New Roman" w:hAnsi="Times New Roman"/>
          <w:b w:val="0"/>
          <w:i/>
          <w:sz w:val="20"/>
        </w:rPr>
        <w:t xml:space="preserve">, NTO</w:t>
      </w:r>
      <w:r>
        <w:rPr>
          <w:rFonts w:ascii="Times New Roman" w:hAnsi="Times New Roman"/>
          <w:b w:val="0"/>
          <w:i/>
          <w:sz w:val="20"/>
        </w:rPr>
        <w:t xml:space="preserve"> </w:t>
      </w:r>
      <m:oMath>
        <m:r>
          <m:rPr>
            <m:sty m:val="p"/>
          </m:rPr>
          <m:t>(</m:t>
        </m:r>
        <m:r>
          <m:t>1.93</m:t>
        </m:r>
        <m:r>
          <m:rPr>
            <m:sty m:val="p"/>
          </m:rPr>
          <m:t>,</m:t>
        </m:r>
        <m:r>
          <m:rPr>
            <m:sty m:val="p"/>
          </m:rPr>
          <m:t>−</m:t>
        </m:r>
        <m:r>
          <m:t>129</m:t>
        </m:r>
        <m:r>
          <m:rPr>
            <m:sty m:val="p"/>
          </m:rPr>
          <m:t>)</m:t>
        </m:r>
      </m:oMath>
      <w:r>
        <w:rPr>
          <w:rFonts w:ascii="Times New Roman" w:hAnsi="Times New Roman"/>
          <w:b w:val="0"/>
          <w:i/>
          <w:sz w:val="20"/>
        </w:rPr>
        <w:t xml:space="preserve">, in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kJ/mol respectively. Raw</w:t>
      </w:r>
      <w:r>
        <w:rPr>
          <w:rFonts w:ascii="Times New Roman" w:hAnsi="Times New Roman"/>
          <w:b w:val="0"/>
          <w:i/>
          <w:sz w:val="20"/>
        </w:rPr>
        <w:t xml:space="preserve"> </w:t>
      </w:r>
      <m:oMath>
        <m:r>
          <m:t>ω</m:t>
        </m:r>
      </m:oMath>
      <w:r>
        <w:rPr>
          <w:rFonts w:ascii="Times New Roman" w:hAnsi="Times New Roman"/>
          <w:b w:val="0"/>
          <w:i/>
          <w:sz w:val="20"/>
        </w:rPr>
        <w:t xml:space="preserve">B97X-D3BJ DFT outputs are tabulated in Table C.1b. The 6-anchor regression gives</w:t>
      </w:r>
      <w:r>
        <w:rPr>
          <w:rFonts w:ascii="Times New Roman" w:hAnsi="Times New Roman"/>
          <w:b w:val="0"/>
          <w:i/>
          <w:sz w:val="20"/>
        </w:rP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HOF</w:t>
      </w:r>
      <m:oMath>
        <m:sSub>
          <m:e>
            <m:r>
              <m:t>​</m:t>
            </m:r>
          </m:e>
          <m:sub>
            <m:r>
              <m:rPr>
                <m:nor/>
                <m:sty m:val="p"/>
              </m:rPr>
              <m:t>DFT</m:t>
            </m:r>
          </m:sub>
        </m:sSub>
        <m:r>
          <m:rPr>
            <m:sty m:val="p"/>
          </m:rPr>
          <m:t>−</m:t>
        </m:r>
        <m:r>
          <m:t>206.7</m:t>
        </m:r>
      </m:oMath>
      <w:r>
        <w:rPr>
          <w:rFonts w:ascii="Times New Roman" w:hAnsi="Times New Roman"/>
          <w:b w:val="0"/>
          <w:i/>
          <w:sz w:val="20"/>
        </w:rPr>
        <w:t xml:space="preserve"> kJ/mol, with LOO RMS</w:t>
      </w:r>
      <w:r>
        <w:rPr>
          <w:rFonts w:ascii="Times New Roman" w:hAnsi="Times New Roman"/>
          <w:b w:val="0"/>
          <w:i/>
          <w:sz w:val="20"/>
        </w:rPr>
        <w:t xml:space="preserve">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(per-anchor residuals in Appendix C.4). The 12 chem-pass leads calibrate to</w:t>
      </w:r>
      <w:r>
        <w:rPr>
          <w:rFonts w:ascii="Times New Roman" w:hAnsi="Times New Roman"/>
          <w:b w:val="0"/>
          <w:i/>
          <w:sz w:val="20"/>
        </w:rP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rPr>
          <w:rFonts w:ascii="Times New Roman" w:hAnsi="Times New Roman"/>
          <w:b w:val="0"/>
          <w:i/>
          <w:sz w:val="20"/>
        </w:rPr>
        <w:t xml:space="preserve"> kJ/mol. Using the 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the K-J formula recomputes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for all 12 leads on the calibrated branch:</w:t>
      </w:r>
    </w:p>
    <w:p>
      <w:pPr>
        <w:pStyle w:val="Subtitle"/>
        <w:spacing w:before="0" w:after="160"/>
        <w:jc w:val="center"/>
        <w:keepNext w:val="0"/>
        <w:keepLines/>
        <w:widowControl w:val="1"/>
      </w:pPr>
      <w:r>
        <w:rPr>
          <w:rFonts w:ascii="Times New Roman" w:hAnsi="Times New Roman"/>
          <w:b w:val="0"/>
          <w:bCs/>
          <w:i/>
          <w:sz w:val="20"/>
        </w:rPr>
        <w:t xml:space="preserve">Table C.2.</w:t>
      </w:r>
      <w:r>
        <w:rPr>
          <w:rFonts w:ascii="Times New Roman" w:hAnsi="Times New Roman"/>
          <w:b w:val="0"/>
          <w:i/>
          <w:sz w:val="20"/>
        </w:rPr>
        <w:t xml:space="preserve"> </w:t>
      </w:r>
      <w:r>
        <w:rPr>
          <w:rFonts w:ascii="Times New Roman" w:hAnsi="Times New Roman"/>
          <w:b w:val="0"/>
          <w:i/>
          <w:sz w:val="20"/>
        </w:rPr>
        <w:t xml:space="preserve">Kamlet–Jacobs detonation velocity and pressure recomputed from the 6-anchor-calibrated DFT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(per</w:t>
      </w:r>
      <w:r>
        <w:rPr>
          <w:rFonts w:ascii="Times New Roman" w:hAnsi="Times New Roman"/>
          <w:b w:val="0"/>
          <w:i/>
          <w:sz w:val="20"/>
        </w:rPr>
        <w:t xml:space="preserve"> </w:t>
      </w:r>
      <w:r>
        <w:rPr>
          <w:rStyle w:val="VerbatimChar"/>
          <w:rFonts w:ascii="Times New Roman" w:hAnsi="Times New Roman"/>
          <w:b w:val="0"/>
          <w:i/>
          <w:sz w:val="20"/>
        </w:rPr>
        <w:t xml:space="preserve">kj_6anchor_recompute.json</w:t>
      </w:r>
      <w:r>
        <w:rPr>
          <w:rFonts w:ascii="Times New Roman" w:hAnsi="Times New Roman"/>
          <w:b w:val="0"/>
          <w:i/>
          <w:sz w:val="20"/>
        </w:rPr>
        <w:t xml:space="preserve">), compared to the 3D-CNN surrogate prediction. The raw-DFT K-J values are listed in the third column for transparency. Residual is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minus 3D-CNN</w:t>
      </w:r>
      <w:r>
        <w:rPr>
          <w:rFonts w:ascii="Times New Roman" w:hAnsi="Times New Roman"/>
          <w:b w:val="0"/>
          <w:i/>
          <w:sz w:val="20"/>
        </w:rPr>
        <w:t xml:space="preserve"> </w:t>
      </w:r>
      <m:oMath>
        <m:r>
          <m:t>D</m:t>
        </m:r>
      </m:oMath>
      <w:r>
        <w:rPr>
          <w:rFonts w:ascii="Times New Roman" w:hAnsi="Times New Roman"/>
          <w:b w:val="0"/>
          <w:i/>
          <w:sz w:val="20"/>
        </w:rPr>
        <w:t xml:space="preserve">. All 12 chem-pass leads are defined on the K-J branch. Anchor rows show the experimental</w:t>
      </w:r>
      <w:r>
        <w:rPr>
          <w:rFonts w:ascii="Times New Roman" w:hAnsi="Times New Roman"/>
          <w:b w:val="0"/>
          <w:i/>
          <w:sz w:val="20"/>
        </w:rPr>
        <w:t xml:space="preserve"> </w:t>
      </w:r>
      <m:oMath>
        <m:r>
          <m:t>D</m:t>
        </m:r>
      </m:oMath>
      <w:r>
        <w:rPr>
          <w:rFonts w:ascii="Times New Roman" w:hAnsi="Times New Roman"/>
          <w:b w:val="0"/>
          <w:i/>
          <w:sz w:val="20"/>
        </w:rPr>
        <w:t xml:space="preserve">, the K-J recompute under the 6-anchor calibration, and the K-J</w:t>
      </w:r>
      <m:oMath>
        <m:sSub>
          <m:e>
            <m:r>
              <m:t>​</m:t>
            </m:r>
          </m:e>
          <m:sub>
            <m:r>
              <m:rPr>
                <m:nor/>
                <m:sty m:val="p"/>
              </m:rPr>
              <m:t>cal</m:t>
            </m:r>
          </m:sub>
        </m:sSub>
      </m:oMath>
      <w:r>
        <w:rPr>
          <w:rFonts w:ascii="Times New Roman" w:hAnsi="Times New Roman"/>
          <w:b w:val="0"/>
          <w:i/>
          <w:sz w:val="20"/>
        </w:rPr>
        <w:t xml:space="preserve">−exp residual that defines the K-J under-prediction band against which the lead residuals are read.</w:t>
      </w:r>
    </w:p>
    <w:tbl>
      <w:tblPr>
        <w:tblStyle w:val="Table"/>
        <w:tblW w:type="pct" w:w="5000"/>
        <w:jc w:val="center"/>
        <w:tblLook w:firstRow="1" w:lastRow="0" w:firstColumn="0" w:lastColumn="0" w:noHBand="0" w:noVBand="0" w:val="0020"/>
        <w:tblCaption w:val="Table C.2. Kamlet–Jacobs detonation velocity and pressure recomputed from the 6-anchor-calibrated DFT \rho and HOF (per kj_6anchor_recompute.json), compared to the 3D-CNN surrogate prediction. The raw-DFT K-J values are listed in the third column for transparency. Residual is K-J_{\text{cal}} minus 3D-CNN D. All 12 chem-pass leads are defined on the K-J branch. Anchor rows show the experimental D, the K-J recompute under the 6-anchor calibration, and the K-J_{\text{cal}}−exp residual that defines the K-J under-prediction band against which the lead residuals are rea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Lead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3D-CNN</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ρ</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raw DFT</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6-anchor cal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residual (cal − 3D-CNN)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 trinitro-isoxazole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D=9.56, ρ=2.00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D=7.85, P=27.3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D=8.25, P=32.9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 oxime-nitrate-imidazoline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D=8.96,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D=6.81, P=19.9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−1.18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 oxadiazinone-N-nitramine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 5-ring tetrazoline-N-nitramine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D=8.98,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D=5.56, P=13.2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D=6.71, P=20.9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−2.27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 acyl oxime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D=7.99, P=29.6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 hydrazinyl tetranitramine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D=9.27,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D=6.44, P=17.6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D=7.33, P=24.6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 acyl-nitramide nitrate-imine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D=9.30, ρ=1.90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D=6.97, P=20.5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D=7.88, P=28.5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 oxadiazoline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D=9.05,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D=6.39, P=17.0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D=7.36, P=24.5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 oxadiazinone-N-nitramine (alt SMILES)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 vinyl azo-amino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D=9.00, ρ=1.89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D=6.21, P=16.0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D=7.09, P=22.6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 acyl C-OH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D=9.14,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r>
              <w:rPr>
                <w:rFonts w:ascii="Times New Roman" w:hAnsi="Times New Roman"/>
                <w:sz w:val="19"/>
              </w:rPr>
              <w:t xml:space="preserve"> </w:t>
            </w:r>
            <m:oMath>
              <m:r>
                <m:t>α</m:t>
              </m:r>
            </m:oMath>
            <w:r>
              <w:rPr>
                <w:rFonts w:ascii="Times New Roman" w:hAnsi="Times New Roman"/>
                <w:sz w:val="19"/>
              </w:rPr>
              <w:t xml:space="preserve">-NO</w:t>
            </w:r>
            <w:r>
              <w:rPr>
                <w:rFonts w:ascii="Times New Roman" w:hAnsi="Times New Roman"/>
                <w:sz w:val="19"/>
                <w:vertAlign w:val="subscript"/>
              </w:rPr>
              <w:t xml:space="preserve">2</w:t>
            </w:r>
            <w:r>
              <w:rPr>
                <w:rFonts w:ascii="Times New Roman" w:hAnsi="Times New Roman"/>
                <w:sz w:val="19"/>
              </w:rPr>
              <w:t xml:space="preserve"> </w:t>
            </w:r>
            <w:r>
              <w:rPr>
                <w:rFonts w:ascii="Times New Roman" w:hAnsi="Times New Roman"/>
                <w:sz w:val="19"/>
              </w:rPr>
              <w:t xml:space="preserve">acyl-N-nitramine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D=9.12, ρ=1.91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D=6.40, P=17.7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D=7.41,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RDX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D=8.75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D=7.43, P=25.0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−1.32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TATB</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D=6.93, P=22.0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−0.97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HMX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D=7.52, P=26.2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−1.58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PETN</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D=8.30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D=8.24, P=30.6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−0.06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FOX-7</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D=8.87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 km/s (vs exp)</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NTO</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D=7.93 (exp)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D=7.49, P=25.6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km/s (vs exp)</w:t>
            </w:r>
          </w:p>
        </w:tc>
      </w:tr>
    </w:tbl>
    <w:p>
      <w:pPr>
        <w:pStyle w:val="Subtitle"/>
        <w:spacing w:before="0" w:after="160"/>
        <w:jc w:val="center"/>
        <w:keepNext w:val="0"/>
        <w:keepLines/>
        <w:widowControl w:val="1"/>
      </w:pPr>
      <w:r>
        <w:rPr>
          <w:rFonts w:ascii="Times New Roman" w:hAnsi="Times New Roman"/>
          <w:b w:val="0"/>
          <w:bCs/>
          <w:i/>
          <w:sz w:val="20"/>
        </w:rPr>
        <w:t xml:space="preserve">Reading Table C.2.</w:t>
      </w:r>
      <w:r>
        <w:rPr>
          <w:rFonts w:ascii="Times New Roman" w:hAnsi="Times New Roman"/>
          <w:b w:val="0"/>
          <w:i/>
          <w:sz w:val="20"/>
        </w:rPr>
        <w:t xml:space="preserve"> </w:t>
      </w:r>
      <w:r>
        <w:rPr>
          <w:rFonts w:ascii="Times New Roman" w:hAnsi="Times New Roman"/>
          <w:b w:val="0"/>
          <w:i/>
          <w:sz w:val="20"/>
        </w:rPr>
        <w:t xml:space="preserve">The six anchor rows define the K-J under-prediction band on the same recipe: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lands</w:t>
      </w:r>
      <w:r>
        <w:rPr>
          <w:rFonts w:ascii="Times New Roman" w:hAnsi="Times New Roman"/>
          <w:b w:val="0"/>
          <w:i/>
          <w:sz w:val="20"/>
        </w:rPr>
        <w:t xml:space="preserve"> </w:t>
      </w:r>
      <m:oMath>
        <m:r>
          <m:t>0.06</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t>1.58</m:t>
        </m:r>
      </m:oMath>
      <w:r>
        <w:rPr>
          <w:rFonts w:ascii="Times New Roman" w:hAnsi="Times New Roman"/>
          <w:b w:val="0"/>
          <w:i/>
          <w:sz w:val="20"/>
        </w:rPr>
        <w:t xml:space="preserve"> km/s below experiment, with a mean of</w:t>
      </w:r>
      <w:r>
        <w:rPr>
          <w:rFonts w:ascii="Times New Roman" w:hAnsi="Times New Roman"/>
          <w:b w:val="0"/>
          <w:i/>
          <w:sz w:val="20"/>
        </w:rPr>
        <w:t xml:space="preserve"> </w:t>
      </w:r>
      <m:oMath>
        <m:r>
          <m:rPr>
            <m:sty m:val="p"/>
          </m:rPr>
          <m:t>−</m:t>
        </m:r>
        <m:r>
          <m:t>0.92</m:t>
        </m:r>
      </m:oMath>
      <w:r>
        <w:rPr>
          <w:rFonts w:ascii="Times New Roman" w:hAnsi="Times New Roman"/>
          <w:b w:val="0"/>
          <w:i/>
          <w:sz w:val="20"/>
        </w:rPr>
        <w:t xml:space="preserve"> km/s. Lead residuals against the 3D-CNN surrogate (</w:t>
      </w:r>
      <m:oMath>
        <m:r>
          <m:rPr>
            <m:sty m:val="p"/>
          </m:rPr>
          <m:t>−</m:t>
        </m:r>
        <m:r>
          <m:t>1.18</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rPr>
            <m:sty m:val="p"/>
          </m:rPr>
          <m:t>−</m:t>
        </m:r>
        <m:r>
          <m:t>2.27</m:t>
        </m:r>
      </m:oMath>
      <w:r>
        <w:rPr>
          <w:rFonts w:ascii="Times New Roman" w:hAnsi="Times New Roman"/>
          <w:b w:val="0"/>
          <w:i/>
          <w:sz w:val="20"/>
        </w:rPr>
        <w:t xml:space="preserve"> km/s, mean</w:t>
      </w:r>
      <w:r>
        <w:rPr>
          <w:rFonts w:ascii="Times New Roman" w:hAnsi="Times New Roman"/>
          <w:b w:val="0"/>
          <w:i/>
          <w:sz w:val="20"/>
        </w:rPr>
        <w:t xml:space="preserve"> </w:t>
      </w:r>
      <m:oMath>
        <m:r>
          <m:rPr>
            <m:sty m:val="p"/>
          </m:rPr>
          <m:t>−</m:t>
        </m:r>
        <m:r>
          <m:t>1.66</m:t>
        </m:r>
      </m:oMath>
      <w:r>
        <w:rPr>
          <w:rFonts w:ascii="Times New Roman" w:hAnsi="Times New Roman"/>
          <w:b w:val="0"/>
          <w:i/>
          <w:sz w:val="20"/>
        </w:rPr>
        <w:t xml:space="preserve"> km/s) sit comfortably inside this anchor-defined band, and the</w:t>
      </w:r>
      <w:r>
        <w:rPr>
          <w:rFonts w:ascii="Times New Roman" w:hAnsi="Times New Roman"/>
          <w:b w:val="0"/>
          <w:i/>
          <w:sz w:val="20"/>
        </w:rPr>
        <w:t xml:space="preserve"> </w:t>
      </w:r>
      <m:oMath>
        <m:r>
          <m:rPr>
            <m:sty m:val="p"/>
          </m:rPr>
          <m:t>−</m:t>
        </m:r>
        <m:r>
          <m:t>1.31</m:t>
        </m:r>
      </m:oMath>
      <w:r>
        <w:rPr>
          <w:rFonts w:ascii="Times New Roman" w:hAnsi="Times New Roman"/>
          <w:b w:val="0"/>
          <w:i/>
          <w:sz w:val="20"/>
        </w:rPr>
        <w:t xml:space="preserve"> km/s residual on L1 is one of the smallest in the lead set, consistent with L1's HMX-class regime placement.</w:t>
      </w:r>
    </w:p>
    <w:p>
      <w:pPr>
        <w:pStyle w:val="Subtitle"/>
        <w:spacing w:before="0" w:after="160"/>
        <w:jc w:val="center"/>
        <w:keepNext w:val="0"/>
        <w:keepLines/>
        <w:widowControl w:val="1"/>
      </w:pPr>
      <w:r>
        <w:rPr>
          <w:rFonts w:ascii="Times New Roman" w:hAnsi="Times New Roman"/>
          <w:b w:val="0"/>
          <w:bCs/>
          <w:i/>
          <w:sz w:val="20"/>
        </w:rPr>
        <w:t xml:space="preserve">C.5.1 E1 stability caveat: 1,2,3,5-oxatriazole stability literature.</w:t>
      </w:r>
      <w:r>
        <w:rPr>
          <w:rFonts w:ascii="Times New Roman" w:hAnsi="Times New Roman"/>
          <w:b w:val="0"/>
          <w:i/>
          <w:sz w:val="20"/>
        </w:rPr>
        <w:t xml:space="preserve"> </w:t>
      </w:r>
      <w:r>
        <w:rPr>
          <w:rFonts w:ascii="Times New Roman" w:hAnsi="Times New Roman"/>
          <w:b w:val="0"/>
          <w:i/>
          <w:sz w:val="20"/>
        </w:rP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kJ/mol depending on substituents, vs 250–290 kJ/mol 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rPr>
          <w:rFonts w:ascii="Times New Roman" w:hAnsi="Times New Roman"/>
          <w:b w:val="0"/>
          <w:i/>
          <w:sz w:val="20"/>
        </w:rPr>
        <w:t xml:space="preserve"> </w:t>
      </w:r>
      <m:oMath>
        <m:r>
          <m:t>ω</m:t>
        </m:r>
      </m:oMath>
      <w:r>
        <w:rPr>
          <w:rFonts w:ascii="Times New Roman" w:hAnsi="Times New Roman"/>
          <w:b w:val="0"/>
          <w:i/>
          <w:sz w:val="20"/>
        </w:rPr>
        <w:t xml:space="preserve">B97X-D3BJ level, plus DSC/TGA compatibility check) is required before E1 is promoted to synthesis priority. The Appendix C.10 GFN2-xTB BDE scan places E1's weakest cleavage at</w:t>
      </w:r>
      <w:r>
        <w:rPr>
          <w:rFonts w:ascii="Times New Roman" w:hAnsi="Times New Roman"/>
          <w:b w:val="0"/>
          <w:i/>
          <w:sz w:val="20"/>
        </w:rPr>
        <w:t xml:space="preserve"> </w:t>
      </w:r>
      <m:oMath>
        <m:r>
          <m:t>92.7</m:t>
        </m:r>
      </m:oMath>
      <w:r>
        <w:rPr>
          <w:rFonts w:ascii="Times New Roman" w:hAnsi="Times New Roman"/>
          <w:b w:val="0"/>
          <w:i/>
          <w:sz w:val="20"/>
        </w:rPr>
        <w:t xml:space="preserve"> kcal/mol 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and finds no ring N–O channel below</w:t>
      </w:r>
      <w:r>
        <w:rPr>
          <w:rFonts w:ascii="Times New Roman" w:hAnsi="Times New Roman"/>
          <w:b w:val="0"/>
          <w:i/>
          <w:sz w:val="20"/>
        </w:rPr>
        <w:t xml:space="preserve"> </w:t>
      </w:r>
      <m:oMath>
        <m:r>
          <m:t>180</m:t>
        </m:r>
      </m:oMath>
      <w:r>
        <w:rPr>
          <w:rFonts w:ascii="Times New Roman" w:hAnsi="Times New Roman"/>
          <w:b w:val="0"/>
          <w:i/>
          <w:sz w:val="20"/>
        </w:rPr>
        <w:t xml:space="preserve"> kcal/mol on a vertical cleavage from the parent geometry; the literature endocyclic-O–N value (130–155 kJ/mol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31–37 kcal/mol)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co-headline candidate, but a relaxed-pathway BDE recompute and DSC/TGA screen are prerequisites for synthesis priority.</w:t>
      </w:r>
    </w:p>
    <w:p>
      <w:pPr>
        <w:pStyle w:val="Subtitle"/>
        <w:spacing w:before="0" w:after="160"/>
        <w:jc w:val="center"/>
        <w:keepNext w:val="0"/>
        <w:keepLines/>
        <w:widowControl w:val="1"/>
      </w:pPr>
      <w:r>
        <w:rPr>
          <w:rFonts w:ascii="Times New Roman" w:hAnsi="Times New Roman"/>
          <w:b w:val="0"/>
          <w:bCs/>
          <w:i/>
          <w:sz w:val="20"/>
        </w:rPr>
        <w:t xml:space="preserve">C.6 K-J residual decomposition by ρ/HOF sensitivity.</w:t>
      </w:r>
      <w:r>
        <w:rPr>
          <w:rFonts w:ascii="Times New Roman" w:hAnsi="Times New Roman"/>
          <w:b w:val="0"/>
          <w:i/>
          <w:sz w:val="20"/>
        </w:rPr>
        <w:t xml:space="preserve"> </w:t>
      </w:r>
      <w:r>
        <w:rPr>
          <w:rFonts w:ascii="Times New Roman" w:hAnsi="Times New Roman"/>
          <w:b w:val="0"/>
          <w:i/>
          <w:sz w:val="20"/>
        </w:rPr>
        <w:t xml:space="preserve">Under the 6-anchor calibration L4's K-J</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w:t>
      </w:r>
      <w:r>
        <w:rPr>
          <w:rFonts w:ascii="Times New Roman" w:hAnsi="Times New Roman"/>
          <w:b w:val="0"/>
          <w:i/>
          <w:sz w:val="20"/>
        </w:rPr>
        <w:t xml:space="preserve"> </w:t>
      </w:r>
      <m:oMath>
        <m:r>
          <m:t>6.71</m:t>
        </m:r>
      </m:oMath>
      <w:r>
        <w:rPr>
          <w:rFonts w:ascii="Times New Roman" w:hAnsi="Times New Roman"/>
          <w:b w:val="0"/>
          <w:i/>
          <w:sz w:val="20"/>
        </w:rPr>
        <w:t xml:space="preserve"> km/s against a 3D-CNN prediction of</w:t>
      </w:r>
      <w:r>
        <w:rPr>
          <w:rFonts w:ascii="Times New Roman" w:hAnsi="Times New Roman"/>
          <w:b w:val="0"/>
          <w:i/>
          <w:sz w:val="20"/>
        </w:rPr>
        <w:t xml:space="preserve"> </w:t>
      </w:r>
      <m:oMath>
        <m:r>
          <m:t>8.98</m:t>
        </m:r>
      </m:oMath>
      <w:r>
        <w:rPr>
          <w:rFonts w:ascii="Times New Roman" w:hAnsi="Times New Roman"/>
          <w:b w:val="0"/>
          <w:i/>
          <w:sz w:val="20"/>
        </w:rPr>
        <w:t xml:space="preserve"> km/s, giving a residual of</w:t>
      </w:r>
      <w:r>
        <w:rPr>
          <w:rFonts w:ascii="Times New Roman" w:hAnsi="Times New Roman"/>
          <w:b w:val="0"/>
          <w:i/>
          <w:sz w:val="20"/>
        </w:rPr>
        <w:t xml:space="preserve"> </w:t>
      </w:r>
      <m:oMath>
        <m:sSub>
          <m:e>
            <m:r>
              <m:t>D</m:t>
            </m:r>
          </m:e>
          <m:sub>
            <m:r>
              <m:rPr>
                <m:nor/>
                <m:sty m:val="p"/>
              </m:rPr>
              <m:t>DFT-cal</m:t>
            </m:r>
          </m:sub>
        </m:sSub>
        <m:r>
          <m:rPr>
            <m:sty m:val="p"/>
          </m:rPr>
          <m:t>−</m:t>
        </m:r>
        <m:sSub>
          <m:e>
            <m:r>
              <m:t>D</m:t>
            </m:r>
          </m:e>
          <m:sub>
            <m:r>
              <m:rPr>
                <m:nor/>
                <m:sty m:val="p"/>
              </m:rPr>
              <m:t>3D-CNN</m:t>
            </m:r>
          </m:sub>
        </m:sSub>
        <m:r>
          <m:rPr>
            <m:sty m:val="p"/>
          </m:rPr>
          <m:t>=</m:t>
        </m:r>
        <m:r>
          <m:rPr>
            <m:sty m:val="p"/>
          </m:rPr>
          <m:t>−</m:t>
        </m:r>
        <m:r>
          <m:t>2.27</m:t>
        </m:r>
      </m:oMath>
      <w:r>
        <w:rPr>
          <w:rFonts w:ascii="Times New Roman" w:hAnsi="Times New Roman"/>
          <w:b w:val="0"/>
          <w:i/>
          <w:sz w:val="20"/>
        </w:rPr>
        <w:t xml:space="preserve"> km/s (Table C.2). We decompose this residual against the K-J sensitivity slopes at L4's base point and ask what input shift in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alone or HOF alone would be required to close it.</w:t>
      </w:r>
    </w:p>
    <w:p>
      <w:pPr>
        <w:pStyle w:val="Subtitle"/>
        <w:spacing w:before="0" w:after="160"/>
        <w:jc w:val="center"/>
        <w:keepNext w:val="0"/>
        <w:keepLines/>
        <w:widowControl w:val="1"/>
      </w:pPr>
      <w:r>
        <w:rPr>
          <w:rFonts w:ascii="Times New Roman" w:hAnsi="Times New Roman"/>
          <w:b w:val="0"/>
          <w:bCs/>
          <w:i/>
          <w:sz w:val="20"/>
        </w:rPr>
        <w:t xml:space="preserve">Table C.3.</w:t>
      </w:r>
      <w:r>
        <w:rPr>
          <w:rFonts w:ascii="Times New Roman" w:hAnsi="Times New Roman"/>
          <w:b w:val="0"/>
          <w:i/>
          <w:sz w:val="20"/>
        </w:rPr>
        <w:t xml:space="preserve"> </w:t>
      </w:r>
      <w:r>
        <w:rPr>
          <w:rFonts w:ascii="Times New Roman" w:hAnsi="Times New Roman"/>
          <w:b w:val="0"/>
          <w:i/>
          <w:sz w:val="20"/>
        </w:rPr>
        <w:t xml:space="preserve">K-J residual decomposition by</w:t>
      </w:r>
      <w:r>
        <w:rPr>
          <w:rFonts w:ascii="Times New Roman" w:hAnsi="Times New Roman"/>
          <w:b w:val="0"/>
          <w:i/>
          <w:sz w:val="20"/>
        </w:rPr>
        <w:t xml:space="preserve"> </w:t>
      </w:r>
      <m:oMath>
        <m:r>
          <m:t>ρ</m:t>
        </m:r>
      </m:oMath>
      <w:r>
        <w:rPr>
          <w:rFonts w:ascii="Times New Roman" w:hAnsi="Times New Roman"/>
          <w:b w:val="0"/>
          <w:i/>
          <w:sz w:val="20"/>
        </w:rPr>
        <w:t xml:space="preserve">/HOF sensitivity for L4 (3D-CNN</w:t>
      </w:r>
      <w:r>
        <w:rPr>
          <w:rFonts w:ascii="Times New Roman" w:hAnsi="Times New Roman"/>
          <w:b w:val="0"/>
          <w:i/>
          <w:sz w:val="20"/>
        </w:rPr>
        <w:t xml:space="preserve"> </w:t>
      </w:r>
      <m:oMath>
        <m:r>
          <m:t>D</m:t>
        </m:r>
      </m:oMath>
      <w:r>
        <w:rPr>
          <w:rFonts w:ascii="Times New Roman" w:hAnsi="Times New Roman"/>
          <w:b w:val="0"/>
          <w:i/>
          <w:sz w:val="20"/>
        </w:rPr>
        <w:t xml:space="preserve">=8.98 km/s, 6-anchor-calibrated K-J</w:t>
      </w:r>
      <w:r>
        <w:rPr>
          <w:rFonts w:ascii="Times New Roman" w:hAnsi="Times New Roman"/>
          <w:b w:val="0"/>
          <w:i/>
          <w:sz w:val="20"/>
        </w:rPr>
        <w:t xml:space="preserve"> </w:t>
      </w:r>
      <m:oMath>
        <m:r>
          <m:t>D</m:t>
        </m:r>
      </m:oMath>
      <w:r>
        <w:rPr>
          <w:rFonts w:ascii="Times New Roman" w:hAnsi="Times New Roman"/>
          <w:b w:val="0"/>
          <w:i/>
          <w:sz w:val="20"/>
        </w:rPr>
        <w:t xml:space="preserve">=6.71 km/s, residual = </w:t>
      </w:r>
      <m:oMath>
        <m:r>
          <m:rPr>
            <m:sty m:val="p"/>
          </m:rPr>
          <m:t>−</m:t>
        </m:r>
        <m:r>
          <m:t>2.27</m:t>
        </m:r>
      </m:oMath>
      <w:r>
        <w:rPr>
          <w:rFonts w:ascii="Times New Roman" w:hAnsi="Times New Roman"/>
          <w:b w:val="0"/>
          <w:i/>
          <w:sz w:val="20"/>
        </w:rPr>
        <w:t xml:space="preserve"> km/s). Both single-variable closures require physically or chemically implausible input shifts, so the residual is attributable primarily to the K-J formula's gas-product distribution assumption in the high-N CHNO regime, not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w:t>
      </w:r>
    </w:p>
    <w:tbl>
      <w:tblPr>
        <w:tblStyle w:val="Table"/>
        <w:tblW w:type="pct" w:w="5000"/>
        <w:jc w:val="center"/>
        <w:tblLook w:firstRow="1" w:lastRow="0" w:firstColumn="0" w:lastColumn="0" w:noHBand="0" w:noVBand="0" w:val="0020"/>
        <w:tblCaption w:val="Table C.3. K-J residual decomposition by \rho/HOF sensitivity for L4 (3D-CNN D=8.98 km/s, 6-anchor-calibrated K-J D=6.71 km/s, residual = -2.27 km/s). Both single-variable closures require physically or chemically implausible input shifts, so the residual is attributable primarily to the K-J formula's gas-product distribution assumption in the high-N CHNO regime, not to plausible \rho or HOF input error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Mechanism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Required correction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Implausibility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ρ alone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Δ</m:t>
              </m:r>
              <m:r>
                <m:t>ρ</m:t>
              </m:r>
              <m:r>
                <m:rPr>
                  <m:sty m:val="p"/>
                </m:rPr>
                <m:t>=</m:t>
              </m:r>
              <m:r>
                <m:rPr>
                  <m:sty m:val="p"/>
                </m:rPr>
                <m:t>−</m:t>
              </m:r>
              <m:r>
                <m:t>2.27</m:t>
              </m:r>
              <m:r>
                <m:rPr>
                  <m:sty m:val="p"/>
                </m:rPr>
                <m:t>/</m:t>
              </m:r>
              <m:r>
                <m:t>2.47</m:t>
              </m:r>
              <m:r>
                <m:rPr>
                  <m:sty m:val="p"/>
                </m:rPr>
                <m:t>=</m:t>
              </m:r>
              <m:r>
                <m:rPr>
                  <m:sty m:val="p"/>
                </m:rPr>
                <m:t>−</m:t>
              </m:r>
              <m:r>
                <m:t>0.92</m:t>
              </m:r>
            </m:oMath>
            <w:r>
              <w:rPr>
                <w:rFonts w:ascii="Times New Roman" w:hAnsi="Times New Roman"/>
                <w:sz w:val="19"/>
              </w:rPr>
              <w:t xml:space="preserve"> g/cm</w:t>
            </w:r>
            <w:r>
              <w:rPr>
                <w:rFonts w:ascii="Times New Roman" w:hAnsi="Times New Roman"/>
                <w:sz w:val="19"/>
                <w:vertAlign w:val="superscript"/>
              </w:rPr>
              <w:t xml:space="preserve">3</w:t>
            </w:r>
            <w:r>
              <w:rPr>
                <w:rFonts w:ascii="Times New Roman" w:hAnsi="Times New Roman"/>
                <w:sz w:val="19"/>
              </w:rPr>
              <w:t xml:space="preserve">; L4 calibrated</w:t>
            </w:r>
            <w:r>
              <w:rPr>
                <w:rFonts w:ascii="Times New Roman" w:hAnsi="Times New Roman"/>
                <w:sz w:val="19"/>
              </w:rPr>
              <w:t xml:space="preserve"> </w:t>
            </w:r>
            <m:oMath>
              <m:r>
                <m:t>ρ</m:t>
              </m:r>
            </m:oMath>
            <w:r>
              <w:rPr>
                <w:rFonts w:ascii="Times New Roman" w:hAnsi="Times New Roman"/>
                <w:sz w:val="19"/>
              </w:rPr>
              <w:t xml:space="preserve"> </w:t>
            </w:r>
            <w:r>
              <w:rPr>
                <w:rFonts w:ascii="Times New Roman" w:hAnsi="Times New Roman"/>
                <w:sz w:val="19"/>
              </w:rPr>
              <w:t xml:space="preserve">would have to drop from 1.94 to 1.02 g/cm</w:t>
            </w:r>
            <w:r>
              <w:rPr>
                <w:rFonts w:ascii="Times New Roman" w:hAnsi="Times New Roman"/>
                <w:sz w:val="19"/>
                <w:vertAlign w:val="super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Lighter than water; chemically implausible for any nitrogen-rich CHNO crystal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HOF alone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rPr>
                  <m:sty m:val="p"/>
                </m:rPr>
                <m:t>Δ</m:t>
              </m:r>
            </m:oMath>
            <w:r>
              <w:rPr>
                <w:rFonts w:ascii="Times New Roman" w:hAnsi="Times New Roman"/>
                <w:sz w:val="19"/>
              </w:rPr>
              <w:t xml:space="preserve">HOF</w:t>
            </w:r>
            <w:r>
              <w:rPr>
                <w:rFonts w:ascii="Times New Roman" w:hAnsi="Times New Roman"/>
                <w:sz w:val="19"/>
              </w:rPr>
              <w:t xml:space="preserve"> </w:t>
            </w:r>
            <m:oMath>
              <m:r>
                <m:rPr>
                  <m:sty m:val="p"/>
                </m:rPr>
                <m:t>=</m:t>
              </m:r>
              <m:r>
                <m:rPr>
                  <m:sty m:val="p"/>
                </m:rPr>
                <m:t>−</m:t>
              </m:r>
              <m:r>
                <m:t>2.27</m:t>
              </m:r>
              <m:r>
                <m:rPr>
                  <m:sty m:val="p"/>
                </m:rPr>
                <m:t>/</m:t>
              </m:r>
              <m:r>
                <m:rPr>
                  <m:sty m:val="p"/>
                </m:rPr>
                <m:t>(</m:t>
              </m:r>
              <m:r>
                <m:rPr>
                  <m:sty m:val="p"/>
                </m:rPr>
                <m:t>−</m:t>
              </m:r>
              <m:r>
                <m:t>0.22</m:t>
              </m:r>
              <m:r>
                <m:rPr>
                  <m:sty m:val="p"/>
                </m:rPr>
                <m:t>/</m:t>
              </m:r>
              <m:r>
                <m:t>100</m:t>
              </m:r>
              <m:r>
                <m:rPr>
                  <m:sty m:val="p"/>
                </m:rPr>
                <m:t>)</m:t>
              </m:r>
              <m:r>
                <m:rPr>
                  <m:sty m:val="p"/>
                </m:rPr>
                <m:t>=</m:t>
              </m:r>
              <m:r>
                <m:rPr>
                  <m:sty m:val="p"/>
                </m:rPr>
                <m:t>+</m:t>
              </m:r>
              <m:r>
                <m:t>1032</m:t>
              </m:r>
            </m:oMath>
            <w:r>
              <w:rPr>
                <w:rFonts w:ascii="Times New Roman" w:hAnsi="Times New Roman"/>
                <w:sz w:val="19"/>
              </w:rPr>
              <w:t xml:space="preserve"> kJ/mol; L4 calibrated HOF would have to rise from +292 to +1324 kJ/mol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Far above CL-20's HOF (~+460 kJ/mol); physically extreme for a 13-atom CHNO neutral</w:t>
            </w:r>
          </w:p>
        </w:tc>
      </w:tr>
    </w:tbl>
    <w:p>
      <w:pPr>
        <w:pStyle w:val="Subtitle"/>
        <w:spacing w:before="0" w:after="160"/>
        <w:jc w:val="center"/>
        <w:keepNext w:val="0"/>
        <w:keepLines/>
        <w:widowControl w:val="1"/>
      </w:pPr>
      <w:r>
        <w:rPr>
          <w:rFonts w:ascii="Times New Roman" w:hAnsi="Times New Roman"/>
          <w:b w:val="0"/>
          <w:i/>
          <w:sz w:val="20"/>
        </w:rPr>
        <w:t xml:space="preserve">K-J sensitivity slopes at the L4 base point:</w:t>
      </w:r>
      <w:r>
        <w:rPr>
          <w:rFonts w:ascii="Times New Roman" w:hAnsi="Times New Roman"/>
          <w:b w:val="0"/>
          <w:i/>
          <w:sz w:val="20"/>
        </w:rPr>
        <w:t xml:space="preserve"> </w:t>
      </w:r>
      <m:oMath>
        <m:r>
          <m:t>d</m:t>
        </m:r>
        <m:r>
          <m:t>D</m:t>
        </m:r>
        <m:r>
          <m:rPr>
            <m:sty m:val="p"/>
          </m:rPr>
          <m:t>/</m:t>
        </m:r>
        <m:r>
          <m:t>d</m:t>
        </m:r>
        <m:r>
          <m:t>ρ</m:t>
        </m:r>
        <m:r>
          <m:rPr>
            <m:sty m:val="p"/>
          </m:rPr>
          <m:t>≈</m:t>
        </m:r>
        <m:r>
          <m:rPr>
            <m:sty m:val="p"/>
          </m:rPr>
          <m:t>+</m:t>
        </m:r>
        <m:r>
          <m:t>2.47</m:t>
        </m:r>
      </m:oMath>
      <w:r>
        <w:rPr>
          <w:rFonts w:ascii="Times New Roman" w:hAnsi="Times New Roman"/>
          <w:b w:val="0"/>
          <w:i/>
          <w:sz w:val="20"/>
        </w:rPr>
        <w:t xml:space="preserve"> </w:t>
      </w:r>
      <w:r>
        <w:rPr>
          <w:rFonts w:ascii="Times New Roman" w:hAnsi="Times New Roman"/>
          <w:b w:val="0"/>
          <w:i/>
          <w:sz w:val="20"/>
        </w:rPr>
        <w:t xml:space="preserve">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t>0.22</m:t>
        </m:r>
      </m:oMath>
      <w:r>
        <w:rPr>
          <w:rFonts w:ascii="Times New Roman" w:hAnsi="Times New Roman"/>
          <w:b w:val="0"/>
          <w:i/>
          <w:sz w:val="20"/>
        </w:rPr>
        <w:t xml:space="preserve"> </w:t>
      </w:r>
      <w:r>
        <w:rPr>
          <w:rFonts w:ascii="Times New Roman" w:hAnsi="Times New Roman"/>
          <w:b w:val="0"/>
          <w:i/>
          <w:sz w:val="20"/>
        </w:rPr>
        <w:t xml:space="preserve">km/s per 100 kJ/mol. Both single-variable closures are implausible; the K-J residual at L4 is dominated by the gas-product distribution assumption rather than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with a secondary contribution from the 6-anchor calibration uncertainty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The assumed gas-product distribution (CO</w:t>
      </w:r>
      <w:r>
        <w:rPr>
          <w:rFonts w:ascii="Times New Roman" w:hAnsi="Times New Roman"/>
          <w:b w:val="0"/>
          <w:i/>
          <w:sz w:val="20"/>
          <w:vertAlign w:val="subscript"/>
        </w:rPr>
        <w:t xml:space="preserve">2</w:t>
      </w:r>
      <w:r>
        <w:rPr>
          <w:rFonts w:ascii="Times New Roman" w:hAnsi="Times New Roman"/>
          <w:b w:val="0"/>
          <w:i/>
          <w:sz w:val="20"/>
        </w:rPr>
        <w:t xml:space="preserve">, H</w:t>
      </w:r>
      <w:r>
        <w:rPr>
          <w:rFonts w:ascii="Times New Roman" w:hAnsi="Times New Roman"/>
          <w:b w:val="0"/>
          <w:i/>
          <w:sz w:val="20"/>
          <w:vertAlign w:val="subscript"/>
        </w:rPr>
        <w:t xml:space="preserve">2</w:t>
      </w:r>
      <w:r>
        <w:rPr>
          <w:rFonts w:ascii="Times New Roman" w:hAnsi="Times New Roman"/>
          <w:b w:val="0"/>
          <w:i/>
          <w:sz w:val="20"/>
        </w:rPr>
        <w:t xml:space="preserve">O, N</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Subtitle"/>
        <w:spacing w:before="0" w:after="160"/>
        <w:jc w:val="center"/>
        <w:keepNext w:val="0"/>
        <w:keepLines/>
        <w:widowControl w:val="1"/>
      </w:pPr>
      <w:r>
        <w:rPr>
          <w:rFonts w:ascii="Times New Roman" w:hAnsi="Times New Roman"/>
          <w:b w:val="0"/>
          <w:bCs/>
          <w:i/>
          <w:sz w:val="20"/>
        </w:rPr>
        <w:t xml:space="preserve">C.7 Population-level N-fraction stratification.</w:t>
      </w:r>
      <w:r>
        <w:rPr>
          <w:rFonts w:ascii="Times New Roman" w:hAnsi="Times New Roman"/>
          <w:b w:val="0"/>
          <w:i/>
          <w:sz w:val="20"/>
        </w:rPr>
        <w:t xml:space="preserve"> </w:t>
      </w:r>
      <w:r>
        <w:rPr>
          <w:rFonts w:ascii="Times New Roman" w:hAnsi="Times New Roman"/>
          <w:b w:val="0"/>
          <w:i/>
          <w:sz w:val="20"/>
        </w:rPr>
        <w:t xml:space="preserve">To confirm that the K-J residual's regime dependence is not specific to L4 but a population-wide signal, we re-ran the same K-J formula on every Tier-A row of the labelled master that carries simultaneous experimental ρ, HOF, and</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(n = 575) and stratified the residual</w:t>
      </w:r>
      <w:r>
        <w:rPr>
          <w:rFonts w:ascii="Times New Roman" w:hAnsi="Times New Roman"/>
          <w:b w:val="0"/>
          <w:i/>
          <w:sz w:val="20"/>
        </w:rPr>
        <w:t xml:space="preserve"> </w:t>
      </w:r>
      <m:oMath>
        <m:sSub>
          <m:e>
            <m:r>
              <m:t>D</m:t>
            </m:r>
          </m:e>
          <m:sub>
            <m:r>
              <m:rPr>
                <m:nor/>
                <m:sty m:val="p"/>
              </m:rPr>
              <m:t>K-J</m:t>
            </m:r>
          </m:sub>
        </m:sSub>
        <m:r>
          <m:rPr>
            <m:sty m:val="p"/>
          </m:rPr>
          <m:t>−</m:t>
        </m:r>
        <m:sSub>
          <m:e>
            <m:r>
              <m:t>D</m:t>
            </m:r>
          </m:e>
          <m:sub>
            <m:r>
              <m:rPr>
                <m:nor/>
                <m:sty m:val="p"/>
              </m:rPr>
              <m:t>exp</m:t>
            </m:r>
          </m:sub>
        </m:sSub>
      </m:oMath>
      <w:r>
        <w:rPr>
          <w:rFonts w:ascii="Times New Roman" w:hAnsi="Times New Roman"/>
          <w:b w:val="0"/>
          <w:i/>
          <w:sz w:val="20"/>
        </w:rPr>
        <w:t xml:space="preserve"> </w:t>
      </w:r>
      <w:r>
        <w:rPr>
          <w:rFonts w:ascii="Times New Roman" w:hAnsi="Times New Roman"/>
          <w:b w:val="0"/>
          <w:i/>
          <w:sz w:val="20"/>
        </w:rPr>
        <w:t xml:space="preserve">by atomic N-fraction</w:t>
      </w:r>
      <w:r>
        <w:rPr>
          <w:rFonts w:ascii="Times New Roman" w:hAnsi="Times New Roman"/>
          <w:b w:val="0"/>
          <w:i/>
          <w:sz w:val="20"/>
        </w:rP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Table C.4.</w:t>
      </w:r>
      <w:r>
        <w:rPr>
          <w:rFonts w:ascii="Times New Roman" w:hAnsi="Times New Roman"/>
          <w:b w:val="0"/>
          <w:i/>
          <w:sz w:val="20"/>
        </w:rPr>
        <w:t xml:space="preserve"> </w:t>
      </w:r>
      <w:r>
        <w:rPr>
          <w:rFonts w:ascii="Times New Roman" w:hAnsi="Times New Roman"/>
          <w:b w:val="0"/>
          <w:i/>
          <w:sz w:val="20"/>
        </w:rPr>
        <w:t xml:space="preserve">Population-level N-fraction stratification of the K-J residual on 575 Tier-A rows of the labelled master that carry simultaneous experimental</w:t>
      </w:r>
      <w:r>
        <w:rPr>
          <w:rFonts w:ascii="Times New Roman" w:hAnsi="Times New Roman"/>
          <w:b w:val="0"/>
          <w:i/>
          <w:sz w:val="20"/>
        </w:rPr>
        <w:t xml:space="preserve"> </w:t>
      </w:r>
      <m:oMath>
        <m:r>
          <m:t>ρ</m:t>
        </m:r>
      </m:oMath>
      <w:r>
        <w:rPr>
          <w:rFonts w:ascii="Times New Roman" w:hAnsi="Times New Roman"/>
          <w:b w:val="0"/>
          <w:i/>
          <w:sz w:val="20"/>
        </w:rPr>
        <w:t xml:space="preserve">, HOF, and</w:t>
      </w:r>
      <w:r>
        <w:rPr>
          <w:rFonts w:ascii="Times New Roman" w:hAnsi="Times New Roman"/>
          <w:b w:val="0"/>
          <w:i/>
          <w:sz w:val="20"/>
        </w:rPr>
        <w:t xml:space="preserve"> </w:t>
      </w:r>
      <m:oMath>
        <m:r>
          <m:t>D</m:t>
        </m:r>
      </m:oMath>
      <w:r>
        <w:rPr>
          <w:rFonts w:ascii="Times New Roman" w:hAnsi="Times New Roman"/>
          <w:b w:val="0"/>
          <w:i/>
          <w:sz w:val="20"/>
        </w:rPr>
        <w:t xml:space="preserve">. Columns: N-fraction bin; row count; mean experimental</w:t>
      </w:r>
      <w:r>
        <w:rPr>
          <w:rFonts w:ascii="Times New Roman" w:hAnsi="Times New Roman"/>
          <w:b w:val="0"/>
          <w:i/>
          <w:sz w:val="20"/>
        </w:rPr>
        <w:t xml:space="preserve"> </w:t>
      </w:r>
      <m:oMath>
        <m:r>
          <m:t>D</m:t>
        </m:r>
      </m:oMath>
      <w:r>
        <w:rPr>
          <w:rFonts w:ascii="Times New Roman" w:hAnsi="Times New Roman"/>
          <w:b w:val="0"/>
          <w:i/>
          <w:sz w:val="20"/>
        </w:rPr>
        <w:t xml:space="preserve">; mean K-J recomputed</w:t>
      </w:r>
      <w:r>
        <w:rPr>
          <w:rFonts w:ascii="Times New Roman" w:hAnsi="Times New Roman"/>
          <w:b w:val="0"/>
          <w:i/>
          <w:sz w:val="20"/>
        </w:rPr>
        <w:t xml:space="preserve"> </w:t>
      </w:r>
      <m:oMath>
        <m:r>
          <m:t>D</m:t>
        </m:r>
      </m:oMath>
      <w:r>
        <w:rPr>
          <w:rFonts w:ascii="Times New Roman" w:hAnsi="Times New Roman"/>
          <w:b w:val="0"/>
          <w:i/>
          <w:sz w:val="20"/>
        </w:rPr>
        <w:t xml:space="preserve">; mean residual (K-J minus experimental).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w:t>
      </w:r>
      <w:r>
        <w:rPr>
          <w:rFonts w:ascii="Times New Roman" w:hAnsi="Times New Roman"/>
          <w:b w:val="0"/>
          <w:i/>
          <w:sz w:val="20"/>
        </w:rPr>
        <w:t xml:space="preserve"> </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C.4. Population-level N-fraction stratification of the K-J residual on 575 Tier-A rows of the labelled master that carry simultaneous experimental \rho, HOF, and D. Columns: N-fraction bin; row count; mean experimental D; mean K-J recomputed D; mean residual (K-J minus experimental). Pearson r(f_N, \text{residual})=+0.43, p=4\times 10^{-2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N-fraction bin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n</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exp</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K-J</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 residual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[0.40–0.55)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[0.55–1.00]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7.66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+0.54</w:t>
            </w:r>
          </w:p>
        </w:tc>
      </w:tr>
    </w:tbl>
    <w:p>
      <w:pPr>
        <w:pStyle w:val="Subtitle"/>
        <w:spacing w:before="0" w:after="160"/>
        <w:jc w:val="center"/>
        <w:keepNext w:val="0"/>
        <w:keepLines/>
        <w:widowControl w:val="1"/>
      </w:pPr>
      <w:r>
        <w:rPr>
          <w:rFonts w:ascii="Times New Roman" w:hAnsi="Times New Roman"/>
          <w:b w:val="0"/>
          <w:i/>
          <w:sz w:val="20"/>
        </w:rPr>
        <w:t xml:space="preserve">The residual flips sign across the N-fraction range: K-J systematically under-predicts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by 3–3.6 km/s in the low-to-mid N-fraction regime and shifts toward over-prediction in the high-N regime.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 </w:t>
      </w:r>
      <w:r>
        <w:rPr>
          <w:rFonts w:ascii="Times New Roman" w:hAnsi="Times New Roman"/>
          <w:b w:val="0"/>
          <w:i/>
          <w:sz w:val="20"/>
        </w:rPr>
        <w:t xml:space="preserve">(</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r>
        <w:rPr>
          <w:rFonts w:ascii="Times New Roman" w:hAnsi="Times New Roman"/>
          <w:b w:val="0"/>
          <w:i/>
          <w:sz w:val="20"/>
        </w:rPr>
        <w:t xml:space="preserve"> </w:t>
      </w:r>
      <m:oMath>
        <m:r>
          <m:t>n</m:t>
        </m:r>
        <m:r>
          <m:rPr>
            <m:sty m:val="p"/>
          </m:rPr>
          <m:t>=</m:t>
        </m:r>
        <m:r>
          <m:t>575</m:t>
        </m:r>
      </m:oMath>
      <w:r>
        <w:rPr>
          <w:rFonts w:ascii="Times New Roman" w:hAnsi="Times New Roman"/>
          <w:b w:val="0"/>
          <w:i/>
          <w:sz w:val="20"/>
        </w:rPr>
        <w:t xml:space="preserve">). On absolute magnitude: this open-form K-J implementation uses</w:t>
      </w:r>
      <w:r>
        <w:rPr>
          <w:rFonts w:ascii="Times New Roman" w:hAnsi="Times New Roman"/>
          <w:b w:val="0"/>
          <w:i/>
          <w:sz w:val="20"/>
        </w:rPr>
        <w:t xml:space="preserve"> </w:t>
      </w:r>
      <m:oMath>
        <m:r>
          <m:t>Q</m:t>
        </m:r>
        <m:r>
          <m:rPr>
            <m:sty m:val="p"/>
          </m:rPr>
          <m:t>≈</m:t>
        </m:r>
        <m:r>
          <m:rPr>
            <m:sty m:val="p"/>
          </m:rPr>
          <m:t>Δ</m:t>
        </m:r>
        <m:sSub>
          <m:e>
            <m:r>
              <m:t>H</m:t>
            </m:r>
          </m:e>
          <m:sub>
            <m:r>
              <m:t>f</m:t>
            </m:r>
          </m:sub>
        </m:sSub>
        <m:r>
          <m:rPr>
            <m:sty m:val="p"/>
          </m:rPr>
          <m:t>/</m:t>
        </m:r>
        <m:sSub>
          <m:e>
            <m:r>
              <m:t>M</m:t>
            </m:r>
          </m:e>
          <m:sub>
            <m:r>
              <m:t>W</m:t>
            </m:r>
          </m:sub>
        </m:sSub>
      </m:oMath>
      <w:r>
        <w:rPr>
          <w:rFonts w:ascii="Times New Roman" w:hAnsi="Times New Roman"/>
          <w:b w:val="0"/>
          <w:i/>
          <w:sz w:val="20"/>
        </w:rPr>
        <w:t xml:space="preserve"> </w:t>
      </w:r>
      <w:r>
        <w:rPr>
          <w:rFonts w:ascii="Times New Roman" w:hAnsi="Times New Roman"/>
          <w:b w:val="0"/>
          <w:i/>
          <w:sz w:val="20"/>
        </w:rPr>
        <w:t xml:space="preserve">without subtracting product-side enthalpies, which inflates the absolute residual relative to the closed-form K-J variant in the per-lead table; the trend across N-fraction is the diagnostic signal, not the absolute residual values. The §5.3 attribution is consistent with the population-level monotone N-fraction trend. Note: the mean K-J residual in the [0.55–1.00] N-fraction bin of Table C.4 is positive (+0.54 km/s), indicating apparent K-J over-prediction at this extreme N-fraction; this sign flip is an artifact of the open-form Q approximation (Q ≈ ΔHf/MW without product-side subtraction) and does not apply to the closed-form K-J used per-lead in Table C.2.</w:t>
      </w:r>
    </w:p>
    <w:p>
      <w:pPr>
        <w:pStyle w:val="Subtitle"/>
        <w:spacing w:before="0" w:after="160"/>
        <w:jc w:val="center"/>
        <w:keepNext w:val="0"/>
        <w:keepLines/>
        <w:widowControl w:val="1"/>
      </w:pPr>
      <w:r>
        <w:rPr>
          <w:rFonts w:ascii="Times New Roman" w:hAnsi="Times New Roman"/>
          <w:b w:val="0"/>
          <w:bCs/>
          <w:i/>
          <w:sz w:val="20"/>
        </w:rPr>
        <w:t xml:space="preserve">C.8 Scaffold-similarity to labelled master.</w:t>
      </w:r>
      <w:r>
        <w:rPr>
          <w:rFonts w:ascii="Times New Roman" w:hAnsi="Times New Roman"/>
          <w:b w:val="0"/>
          <w:i/>
          <w:sz w:val="20"/>
        </w:rPr>
        <w:t xml:space="preserve"> </w:t>
      </w:r>
      <w:r>
        <w:rPr>
          <w:rFonts w:ascii="Times New Roman" w:hAnsi="Times New Roman"/>
          <w:b w:val="0"/>
          <w:i/>
          <w:sz w:val="20"/>
        </w:rPr>
        <w:t xml:space="preserve">Beyond Tanimoto on full-molecule fingerprints (§5.4), we report the GuacaMol-style "scaf" metric (mean and max nearest-neighbour Tanimoto on Bemis–Murcko scaffold fingerprints) against a 5 000-row sample of the labelled master:</w:t>
      </w:r>
    </w:p>
    <w:p>
      <w:pPr>
        <w:pStyle w:val="Subtitle"/>
        <w:spacing w:before="0" w:after="160"/>
        <w:jc w:val="center"/>
        <w:keepNext w:val="0"/>
        <w:keepLines/>
        <w:widowControl w:val="1"/>
      </w:pPr>
      <w:r>
        <w:rPr>
          <w:rFonts w:ascii="Times New Roman" w:hAnsi="Times New Roman"/>
          <w:b w:val="0"/>
          <w:bCs/>
          <w:i/>
          <w:sz w:val="20"/>
        </w:rPr>
        <w:t xml:space="preserve">Table C.5.</w:t>
      </w:r>
      <w:r>
        <w:rPr>
          <w:rFonts w:ascii="Times New Roman" w:hAnsi="Times New Roman"/>
          <w:b w:val="0"/>
          <w:i/>
          <w:sz w:val="20"/>
        </w:rPr>
        <w:t xml:space="preserve"> </w:t>
      </w:r>
      <w:r>
        <w:rPr>
          <w:rFonts w:ascii="Times New Roman" w:hAnsi="Times New Roman"/>
          <w:b w:val="0"/>
          <w:i/>
          <w:sz w:val="20"/>
        </w:rP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Table"/>
        <w:tblW w:type="pct" w:w="5000"/>
        <w:jc w:val="center"/>
        <w:tblLook w:firstRow="1" w:lastRow="0" w:firstColumn="0" w:lastColumn="0" w:noHBand="0" w:noVBand="0" w:val="0020"/>
        <w:tblCaption w:val="Table C.5. GuacaMol-style scaffold-Tanimoto metric (mean and max nearest-neighbour Tanimoto on Bemis–Murcko scaffold fingerprints) of each guidance condition's 10k pool against a 5 000-row sample of the labelled master, plus unique scaffold cou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unique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503</w:t>
            </w:r>
          </w:p>
        </w:tc>
      </w:tr>
    </w:tbl>
    <w:p>
      <w:pPr>
        <w:pStyle w:val="Subtitle"/>
        <w:spacing w:before="0" w:after="160"/>
        <w:jc w:val="center"/>
        <w:keepNext w:val="0"/>
        <w:keepLines/>
        <w:widowControl w:val="1"/>
      </w:pPr>
      <w:r>
        <w:rPr>
          <w:rFonts w:ascii="Times New Roman" w:hAnsi="Times New Roman"/>
          <w:b w:val="0"/>
          <w:i/>
          <w:sz w:val="20"/>
        </w:rPr>
        <w:t xml:space="preserve">Mean scaffold-NN Tanimoto of 0.37–0.47 indicates the generated scaffolds are partially related to known energetic scaffolds but not identical (in line with the median molecule-level NN-Tanimoto of 0.32 reported in §5.4). The max=1.00 reflects sanity-check rediscoveries (e.g., 1,2-isoxazole, 1,2,4-tetrazole, oxadiazole, 1,2,3,4-tetrazine). C2 (viab+sens+hazard) has the lowest scaffold-NN mean (0.372); C3 (hazard-only) has the highest scaffold count (503).</w:t>
      </w:r>
    </w:p>
    <w:p>
      <w:pPr>
        <w:pStyle w:val="Subtitle"/>
        <w:spacing w:before="0" w:after="160"/>
        <w:jc w:val="center"/>
        <w:keepNext w:val="0"/>
        <w:keepLines/>
        <w:widowControl w:val="1"/>
      </w:pPr>
      <w:r>
        <w:rPr>
          <w:rFonts w:ascii="Times New Roman" w:hAnsi="Times New Roman"/>
          <w:b w:val="0"/>
          <w:bCs/>
          <w:i/>
          <w:sz w:val="20"/>
        </w:rPr>
        <w:t xml:space="preserve">C.9 Bondi-vdW packing-factor bracket on L1 and E1 (T2 cross-check).</w:t>
      </w:r>
      <w:r>
        <w:rPr>
          <w:rFonts w:ascii="Times New Roman" w:hAnsi="Times New Roman"/>
          <w:b w:val="0"/>
          <w:i/>
          <w:sz w:val="20"/>
        </w:rPr>
        <w:t xml:space="preserve"> </w:t>
      </w:r>
      <w:r>
        <w:rPr>
          <w:rFonts w:ascii="Times New Roman" w:hAnsi="Times New Roman"/>
          <w:b w:val="0"/>
          <w:i/>
          <w:sz w:val="20"/>
        </w:rPr>
        <w:t xml:space="preserve">An independent Bondi-vdW packing-factor bracket on L1 and E1, varying pk</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{0.65, 0.69, 0.72} on the optimised B3LYP/6-31G(d) geometries, yields</w:t>
      </w:r>
      <w:r>
        <w:rPr>
          <w:rFonts w:ascii="Times New Roman" w:hAnsi="Times New Roman"/>
          <w:b w:val="0"/>
          <w:i/>
          <w:sz w:val="20"/>
        </w:rPr>
        <w:t xml:space="preserve"> </w:t>
      </w:r>
      <m:oMath>
        <m:r>
          <m:t>ρ</m:t>
        </m:r>
        <m:r>
          <m:rPr>
            <m:sty m:val="p"/>
          </m:rPr>
          <m:t>∈</m:t>
        </m:r>
        <m:r>
          <m:rPr>
            <m:sty m:val="p"/>
          </m:rPr>
          <m:t>[</m:t>
        </m:r>
        <m:r>
          <m:t>1.69</m:t>
        </m:r>
        <m:r>
          <m:rPr>
            <m:sty m:val="p"/>
          </m:rPr>
          <m:t>,</m:t>
        </m:r>
        <m:r>
          <m:t>1.87</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L1 and</w:t>
      </w:r>
      <w:r>
        <w:rPr>
          <w:rFonts w:ascii="Times New Roman" w:hAnsi="Times New Roman"/>
          <w:b w:val="0"/>
          <w:i/>
          <w:sz w:val="20"/>
        </w:rPr>
        <w:t xml:space="preserve"> </w:t>
      </w:r>
      <m:oMath>
        <m:r>
          <m:rPr>
            <m:sty m:val="p"/>
          </m:rPr>
          <m:t>[</m:t>
        </m:r>
        <m:r>
          <m:t>1.65</m:t>
        </m:r>
        <m:r>
          <m:rPr>
            <m:sty m:val="p"/>
          </m:rPr>
          <m:t>,</m:t>
        </m:r>
        <m:r>
          <m:t>1.83</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E1. Both ranges sit below the 6-anchor-calibrated values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2.09 and 2.04 respectively), with the centre value (pk = 0.69) at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 1.80 (L1) and 1.75 (E1). The 14% systematic offset between the pk = 0.69 estimate and the calibrated value reproduces the calibration slope (1.392) reported in §5.3 and confirms that the pure Bondi-vdW estimator is conservative; the 6-anchor empirical calibration is the source of the headline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values.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t2_density_bundle/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C.10 GFN2-xTB weakest-bond BDE on L1 and E1 (T1 cross-check).</w:t>
      </w:r>
      <w:r>
        <w:rPr>
          <w:rFonts w:ascii="Times New Roman" w:hAnsi="Times New Roman"/>
          <w:b w:val="0"/>
          <w:i/>
          <w:sz w:val="20"/>
        </w:rPr>
        <w:t xml:space="preserve"> </w:t>
      </w:r>
      <w:r>
        <w:rPr>
          <w:rFonts w:ascii="Times New Roman" w:hAnsi="Times New Roman"/>
          <w:b w:val="0"/>
          <w:i/>
          <w:sz w:val="20"/>
        </w:rPr>
        <w:t xml:space="preserve">A coordinate-preserving graph-split BDE scan at GFN2-xTB level (parent geometry retained, each fragment as a doublet radical with</w:t>
      </w:r>
      <w:r>
        <w:rPr>
          <w:rFonts w:ascii="Times New Roman" w:hAnsi="Times New Roman"/>
          <w:b w:val="0"/>
          <w:i/>
          <w:sz w:val="20"/>
        </w:rPr>
        <w:t xml:space="preserve"> </w:t>
      </w:r>
      <m:oMath>
        <m:r>
          <m:rPr>
            <m:sty m:val="p"/>
          </m:rPr>
          <m:t>U</m:t>
        </m:r>
        <m:r>
          <m:rPr>
            <m:sty m:val="p"/>
          </m:rPr>
          <m:t>H</m:t>
        </m:r>
        <m:r>
          <m:rPr>
            <m:sty m:val="p"/>
          </m:rPr>
          <m:t>F</m:t>
        </m:r>
        <m:r>
          <m:rPr>
            <m:sty m:val="p"/>
          </m:rPr>
          <m:t>=</m:t>
        </m:r>
        <m:r>
          <m:t>1</m:t>
        </m:r>
      </m:oMath>
      <w:r>
        <w:rPr>
          <w:rFonts w:ascii="Times New Roman" w:hAnsi="Times New Roman"/>
          <w:b w:val="0"/>
          <w:i/>
          <w:sz w:val="20"/>
        </w:rPr>
        <w:t xml:space="preserve"> </w:t>
      </w:r>
      <w:r>
        <w:rPr>
          <w:rFonts w:ascii="Times New Roman" w:hAnsi="Times New Roman"/>
          <w:b w:val="0"/>
          <w:i/>
          <w:sz w:val="20"/>
        </w:rPr>
        <w:t xml:space="preserve">and no implicit-H addition) places the weakest-bond cleavage of L1 (3,4,5-trinitro-1,2-isoxazole) at</w:t>
      </w:r>
      <w:r>
        <w:rPr>
          <w:rFonts w:ascii="Times New Roman" w:hAnsi="Times New Roman"/>
          <w:b w:val="0"/>
          <w:i/>
          <w:sz w:val="20"/>
        </w:rPr>
        <w:t xml:space="preserve"> </w:t>
      </w:r>
      <w:r>
        <w:rPr>
          <w:rFonts w:ascii="Times New Roman" w:hAnsi="Times New Roman"/>
          <w:b w:val="0"/>
          <w:bCs/>
          <w:i/>
          <w:sz w:val="20"/>
        </w:rPr>
        <w:t xml:space="preserve">86.0 kcal/mol</w:t>
      </w:r>
      <w:r>
        <w:rPr>
          <w:rFonts w:ascii="Times New Roman" w:hAnsi="Times New Roman"/>
          <w:b w:val="0"/>
          <w:i/>
          <w:sz w:val="20"/>
        </w:rPr>
        <w:t xml:space="preserve"> </w:t>
      </w:r>
      <w:r>
        <w:rPr>
          <w:rFonts w:ascii="Times New Roman" w:hAnsi="Times New Roman"/>
          <w:b w:val="0"/>
          <w:i/>
          <w:sz w:val="20"/>
        </w:rPr>
        <w:t xml:space="preserve">on a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(the dominant initiation channel), with two further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channels at 91.3 and 92.3 kcal/mol; ring N–O bonds are at 170–186 kcal/mol (the unrelaxed-fragment xTB scan over-binds slightly relative to a fully relaxed</w:t>
      </w:r>
      <w:r>
        <w:rPr>
          <w:rFonts w:ascii="Times New Roman" w:hAnsi="Times New Roman"/>
          <w:b w:val="0"/>
          <w:i/>
          <w:sz w:val="20"/>
        </w:rPr>
        <w:t xml:space="preserve"> </w:t>
      </w:r>
      <m:oMath>
        <m:r>
          <m:t>ω</m:t>
        </m:r>
      </m:oMath>
      <w:r>
        <w:rPr>
          <w:rFonts w:ascii="Times New Roman" w:hAnsi="Times New Roman"/>
          <w:b w:val="0"/>
          <w:i/>
          <w:sz w:val="20"/>
        </w:rPr>
        <w:t xml:space="preserve">B97X-D3BJ recompute, but the chemistry assignment and the weakest-bond ranking are correct). E1 (4-nitro-1,2,3,5-oxatriazole) reaches its weakest cleavage at</w:t>
      </w:r>
      <w:r>
        <w:rPr>
          <w:rFonts w:ascii="Times New Roman" w:hAnsi="Times New Roman"/>
          <w:b w:val="0"/>
          <w:i/>
          <w:sz w:val="20"/>
        </w:rPr>
        <w:t xml:space="preserve"> </w:t>
      </w:r>
      <w:r>
        <w:rPr>
          <w:rFonts w:ascii="Times New Roman" w:hAnsi="Times New Roman"/>
          <w:b w:val="0"/>
          <w:bCs/>
          <w:i/>
          <w:sz w:val="20"/>
        </w:rPr>
        <w:t xml:space="preserve">92.7 kcal/mol</w:t>
      </w:r>
      <w:r>
        <w:rPr>
          <w:rFonts w:ascii="Times New Roman" w:hAnsi="Times New Roman"/>
          <w:b w:val="0"/>
          <w:i/>
          <w:sz w:val="20"/>
        </w:rPr>
        <w:t xml:space="preserve"> </w:t>
      </w:r>
      <w:r>
        <w:rPr>
          <w:rFonts w:ascii="Times New Roman" w:hAnsi="Times New Roman"/>
          <w:b w:val="0"/>
          <w:i/>
          <w:sz w:val="20"/>
        </w:rPr>
        <w:t xml:space="preserve">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with no ring N–O channel below 180 kcal/mol. Relative to the Politzer–Murray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typical (</w:t>
      </w:r>
      <m:oMath>
        <m:r>
          <m:rPr>
            <m:sty m:val="p"/>
          </m:rPr>
          <m:t>∼</m:t>
        </m:r>
      </m:oMath>
      <w:r>
        <w:rPr>
          <w:rFonts w:ascii="Times New Roman" w:hAnsi="Times New Roman"/>
          <w:b w:val="0"/>
          <w:i/>
          <w:sz w:val="20"/>
        </w:rPr>
        <w:t xml:space="preserve">70 kcal/mol) the values are mildly over-estimated by the unrelaxed-fragment xTB protocol, but the qualitative picture matches expectations: nitro loss is the dominant decomposition initiator for both compounds, and neither shows a sub-80 kcal/mol channel that would predict primary-explosive sensitivity.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t1_bde_bundle/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C.11 Furazan-class anchor boundary (DNTF).</w:t>
      </w:r>
      <w:r>
        <w:rPr>
          <w:rFonts w:ascii="Times New Roman" w:hAnsi="Times New Roman"/>
          <w:b w:val="0"/>
          <w:i/>
          <w:sz w:val="20"/>
        </w:rPr>
        <w:t xml:space="preserve"> </w:t>
      </w:r>
      <w:r>
        <w:rPr>
          <w:rFonts w:ascii="Times New Roman" w:hAnsi="Times New Roman"/>
          <w:b w:val="0"/>
          <w:i/>
          <w:sz w:val="20"/>
        </w:rPr>
        <w:t xml:space="preserve">The 6-anchor panel excludes furazan-class members. DNTF (3,4-bis(4-nitrofurazan-3-yl)furazan; the best-characterised furazan-class energetic material,</w:t>
      </w:r>
      <w:r>
        <w:rPr>
          <w:rFonts w:ascii="Times New Roman" w:hAnsi="Times New Roman"/>
          <w:b w:val="0"/>
          <w:i/>
          <w:sz w:val="20"/>
        </w:rPr>
        <w:t xml:space="preserve"> </w:t>
      </w:r>
      <m:oMath>
        <m:sSub>
          <m:e>
            <m:r>
              <m:t>ρ</m:t>
            </m:r>
          </m:e>
          <m:sub>
            <m:r>
              <m:rPr>
                <m:nor/>
                <m:sty m:val="p"/>
              </m:rPr>
              <m:t>exp</m:t>
            </m:r>
          </m:sub>
        </m:sSub>
        <m:r>
          <m:rPr>
            <m:sty m:val="p"/>
          </m:rPr>
          <m:t>=</m:t>
        </m:r>
        <m:r>
          <m:t>1.937</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sSub>
          <m:e>
            <m:r>
              <m:t>D</m:t>
            </m:r>
          </m:e>
          <m:sub>
            <m:r>
              <m:rPr>
                <m:nor/>
                <m:sty m:val="p"/>
              </m:rPr>
              <m:t>exp</m:t>
            </m:r>
          </m:sub>
        </m:sSub>
        <m:r>
          <m:rPr>
            <m:sty m:val="p"/>
          </m:rPr>
          <m:t>=</m:t>
        </m:r>
        <m:r>
          <m:t>9.25</m:t>
        </m:r>
      </m:oMath>
      <w:r>
        <w:rPr>
          <w:rFonts w:ascii="Times New Roman" w:hAnsi="Times New Roman"/>
          <w:b w:val="0"/>
          <w:i/>
          <w:sz w:val="20"/>
        </w:rPr>
        <w:t xml:space="preserve"> km/s), computed on the same B3LYP/6-31G(d) +</w:t>
      </w:r>
      <w:r>
        <w:rPr>
          <w:rFonts w:ascii="Times New Roman" w:hAnsi="Times New Roman"/>
          <w:b w:val="0"/>
          <w:i/>
          <w:sz w:val="20"/>
        </w:rPr>
        <w:t xml:space="preserve"> </w:t>
      </w:r>
      <m:oMath>
        <m:r>
          <m:t>ω</m:t>
        </m:r>
      </m:oMath>
      <w:r>
        <w:rPr>
          <w:rFonts w:ascii="Times New Roman" w:hAnsi="Times New Roman"/>
          <w:b w:val="0"/>
          <w:i/>
          <w:sz w:val="20"/>
        </w:rPr>
        <w:t xml:space="preserve">B97X-D3BJ/def2-TZVP pipeline, is an outlier: the 6-anchor calibration yields a leave-one-out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0.122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sSub>
          <m:e>
            <m:r>
              <m:t>H</m:t>
            </m:r>
          </m:e>
          <m:sub>
            <m:r>
              <m:t>f</m:t>
            </m:r>
          </m:sub>
        </m:sSub>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67.9</m:t>
        </m:r>
      </m:oMath>
      <w:r>
        <w:rPr>
          <w:rFonts w:ascii="Times New Roman" w:hAnsi="Times New Roman"/>
          <w:b w:val="0"/>
          <w:i/>
          <w:sz w:val="20"/>
        </w:rPr>
        <w:t xml:space="preserve"> kJ/mol for DNTF (versus</w:t>
      </w:r>
      <w:r>
        <w:rPr>
          <w:rFonts w:ascii="Times New Roman" w:hAnsi="Times New Roman"/>
          <w:b w:val="0"/>
          <w:i/>
          <w:sz w:val="20"/>
        </w:rPr>
        <w:t xml:space="preserve"> </w:t>
      </w:r>
      <m:oMath>
        <m:r>
          <m:rPr>
            <m:sty m:val="p"/>
          </m:rPr>
          <m:t>±</m:t>
        </m:r>
        <m:r>
          <m:t>0.025</m:t>
        </m:r>
      </m:oMath>
      <w:r>
        <w:rPr>
          <w:rFonts w:ascii="Times New Roman" w:hAnsi="Times New Roman"/>
          <w:b w:val="0"/>
          <w:i/>
          <w:sz w:val="20"/>
        </w:rPr>
        <w:t xml:space="preserve">–</w:t>
      </w:r>
      <m:oMath>
        <m:r>
          <m:t>0.049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the six main-set anchors), and exceeds the 6-anchor LOO-RMS of</w:t>
      </w:r>
      <w:r>
        <w:rPr>
          <w:rFonts w:ascii="Times New Roman" w:hAnsi="Times New Roman"/>
          <w:b w:val="0"/>
          <w:i/>
          <w:sz w:val="20"/>
        </w:rPr>
        <w:t xml:space="preserve"> </w:t>
      </w:r>
      <m:oMath>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therefore bounds E1's applicability, and an oxatriazole-class anchor with experimental crystal density and detonation data remains scoped as future work before E1 can be promoted to fully co-headline status at the same confidence level as L1.</w:t>
      </w:r>
    </w:p>
    <w:p>
      <w:pPr>
        <w:pStyle w:val="Subtitle"/>
        <w:spacing w:before="0" w:after="160"/>
        <w:jc w:val="center"/>
        <w:keepNext w:val="0"/>
        <w:keepLines/>
        <w:widowControl w:val="1"/>
      </w:pPr>
      <w:r>
        <w:rPr>
          <w:rFonts w:ascii="Times New Roman" w:hAnsi="Times New Roman"/>
          <w:b w:val="0"/>
          <w:bCs/>
          <w:i/>
          <w:sz w:val="20"/>
        </w:rPr>
        <w:t xml:space="preserve">C.12 Stage-3 xTB triage recipe.</w:t>
      </w:r>
      <w:r>
        <w:rPr>
          <w:rFonts w:ascii="Times New Roman" w:hAnsi="Times New Roman"/>
          <w:b w:val="0"/>
          <w:i/>
          <w:sz w:val="20"/>
        </w:rPr>
        <w:t xml:space="preserve"> </w:t>
      </w:r>
      <w:r>
        <w:rPr>
          <w:rFonts w:ascii="Times New Roman" w:hAnsi="Times New Roman"/>
          <w:b w:val="0"/>
          <w:i/>
          <w:sz w:val="20"/>
        </w:rPr>
        <w:t xml:space="preserve">The Stage-3 xTB triage referenced in §5.3 follows the standard pre-experimental screening recipe for computational energetic-materials chemistry: starting from canonical SMILES we run an RDKit ETKDGv3 conformer search, MMFF94 minimisation, and then xTB</w:t>
      </w:r>
      <w:r>
        <w:rPr>
          <w:rFonts w:ascii="Times New Roman" w:hAnsi="Times New Roman"/>
          <w:b w:val="0"/>
          <w:i/>
          <w:sz w:val="20"/>
        </w:rPr>
        <w:t xml:space="preserve"> </w:t>
      </w:r>
      <w:hyperlink r:id="rId19">
        <w:r>
          <w:rPr>
            <w:rStyle w:val="Hyperlink"/>
          </w:rPr>
          <w:t xml:space="preserve">[xtb-6.6.1]</w:t>
        </w:r>
      </w:hyperlink>
      <w:r>
        <w:rPr>
          <w:rFonts w:ascii="Times New Roman" w:hAnsi="Times New Roman"/>
          <w:b w:val="0"/>
          <w:i/>
          <w:sz w:val="20"/>
        </w:rPr>
        <w:t xml:space="preserve"> </w:t>
      </w:r>
      <w:r>
        <w:rPr>
          <w:rFonts w:ascii="Times New Roman" w:hAnsi="Times New Roman"/>
          <w:b w:val="0"/>
          <w:i/>
          <w:sz w:val="20"/>
        </w:rPr>
        <w:t xml:space="preserve">at the GFN2-xTB level with</w:t>
      </w:r>
      <w:r>
        <w:rPr>
          <w:rFonts w:ascii="Times New Roman" w:hAnsi="Times New Roman"/>
          <w:b w:val="0"/>
          <w:i/>
          <w:sz w:val="20"/>
        </w:rPr>
        <w:t xml:space="preserve"> </w:t>
      </w:r>
      <w:r>
        <w:rPr>
          <w:rStyle w:val="VerbatimChar"/>
          <w:rFonts w:ascii="Times New Roman" w:hAnsi="Times New Roman"/>
          <w:b w:val="0"/>
          <w:i/>
          <w:sz w:val="20"/>
        </w:rPr>
        <w:t xml:space="preserve">--opt tight</w:t>
      </w:r>
      <w:r>
        <w:rPr>
          <w:rFonts w:ascii="Times New Roman" w:hAnsi="Times New Roman"/>
          <w:b w:val="0"/>
          <w:i/>
          <w:sz w:val="20"/>
        </w:rP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rPr>
          <w:rFonts w:ascii="Times New Roman" w:hAnsi="Times New Roman"/>
          <w:b w:val="0"/>
          <w:i/>
          <w:sz w:val="20"/>
        </w:rPr>
        <w:t xml:space="preserve"> </w:t>
      </w:r>
      <m:oMath>
        <m:r>
          <m:rPr>
            <m:sty m:val="p"/>
          </m:rPr>
          <m:t>∼</m:t>
        </m:r>
      </m:oMath>
      <w:r>
        <w:rPr>
          <w:rFonts w:ascii="Times New Roman" w:hAnsi="Times New Roman"/>
          <w:b w:val="0"/>
          <w:i/>
          <w:sz w:val="20"/>
        </w:rPr>
        <w:t xml:space="preserve">1.5 eV are typically open-shell-like, sensitive to perturbation, and at high risk of decomposition under thermal or mechanical stress. Sensitivity is ultimately a product of weakest-bond chemistry and crystal packing as much as electronic structure</w:t>
      </w:r>
      <w:r>
        <w:rPr>
          <w:rFonts w:ascii="Times New Roman" w:hAnsi="Times New Roman"/>
          <w:b w:val="0"/>
          <w:i/>
          <w:sz w:val="20"/>
        </w:rPr>
        <w:t xml:space="preserve"> </w:t>
      </w:r>
      <w:hyperlink w:anchor="ref-mathieu2017sensitivity">
        <w:r>
          <w:rPr>
            <w:rStyle w:val="Hyperlink"/>
          </w:rPr>
          <w:t xml:space="preserve">[36]</w:t>
        </w:r>
      </w:hyperlink>
      <w:r>
        <w:rPr>
          <w:rFonts w:ascii="Times New Roman" w:hAnsi="Times New Roman"/>
          <w:b w:val="0"/>
          <w:i/>
          <w:sz w:val="20"/>
        </w:rPr>
        <w:t xml:space="preserve">, so we treat the gap as a triage signal rather than a final verdict; molecules clearing the 1.5 eV gate are promoted to Stage 4 DFT, and motif-level shock and friction risks are caught by the parallel SMARTS gate (Stage 1, §4.10). Recipe and motivation: the pipeline is the standard pre-experimental screen for computational energetic-materials chemistry, the same B3LYP/6-31G(d) geometry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6-anchor calibration (RDX, TATB, HMX, PETN, FOX-7, NTO)</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Kamlet–Jacobs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used by Stage 4 (full functional/basis justification, thermal-correction handling, and calibration uncertainty bounds in C.1–C.4 above).</w:t>
      </w:r>
    </w:p>
    <w:p>
      <w:pPr>
        <w:pStyle w:val="Subtitle"/>
        <w:spacing w:before="0" w:after="160"/>
        <w:jc w:val="center"/>
        <w:keepNext w:val="0"/>
        <w:keepLines/>
        <w:widowControl w:val="1"/>
      </w:pPr>
      <w:r>
        <w:rPr>
          <w:rFonts w:ascii="Times New Roman" w:hAnsi="Times New Roman"/>
          <w:b w:val="0"/>
          <w:bCs/>
          <w:i/>
          <w:sz w:val="20"/>
        </w:rPr>
        <w:t xml:space="preserve">C.13 Independent CJ cross-check.</w:t>
      </w:r>
      <w:r>
        <w:rPr>
          <w:rFonts w:ascii="Times New Roman" w:hAnsi="Times New Roman"/>
          <w:b w:val="0"/>
          <w:i/>
          <w:sz w:val="20"/>
        </w:rPr>
        <w:t xml:space="preserve"> </w:t>
      </w:r>
      <w:r>
        <w:rPr>
          <w:rFonts w:ascii="Times New Roman" w:hAnsi="Times New Roman"/>
          <w:b w:val="0"/>
          <w:i/>
          <w:sz w:val="20"/>
        </w:rPr>
        <w:t xml:space="preserve">A thermochemical-equilibrium Cantera ideal-gas Chapman–Jouguet recompute is provided as an independent relative-ranking sanity check on the §5.3 K-J results. The Cantera ideal-gas equation of state is</w:t>
      </w:r>
      <w:r>
        <w:rPr>
          <w:rFonts w:ascii="Times New Roman" w:hAnsi="Times New Roman"/>
          <w:b w:val="0"/>
          <w:i/>
          <w:sz w:val="20"/>
        </w:rPr>
        <w:t xml:space="preserve"> </w:t>
      </w:r>
      <m:oMath>
        <m:r>
          <m:rPr>
            <m:sty m:val="p"/>
          </m:rPr>
          <m:t>∼</m:t>
        </m:r>
      </m:oMath>
      <w:r>
        <w:rPr>
          <w:rFonts w:ascii="Times New Roman" w:hAnsi="Times New Roman"/>
          <w:b w:val="0"/>
          <w:i/>
          <w:sz w:val="20"/>
        </w:rPr>
        <w:t xml:space="preserve">3.5</w:t>
      </w:r>
      <m:oMath>
        <m:r>
          <m:rPr>
            <m:sty m:val="p"/>
          </m:rPr>
          <m:t>×</m:t>
        </m:r>
      </m:oMath>
      <w:r>
        <w:rPr>
          <w:rFonts w:ascii="Times New Roman" w:hAnsi="Times New Roman"/>
          <w:b w:val="0"/>
          <w:i/>
          <w:sz w:val="20"/>
        </w:rPr>
        <w:t xml:space="preserve"> </w:t>
      </w:r>
      <w:r>
        <w:rPr>
          <w:rFonts w:ascii="Times New Roman" w:hAnsi="Times New Roman"/>
          <w:b w:val="0"/>
          <w:i/>
          <w:sz w:val="20"/>
        </w:rPr>
        <w:t xml:space="preserve">too low in absolute terms (RDX predicts</w:t>
      </w:r>
      <w:r>
        <w:rPr>
          <w:rFonts w:ascii="Times New Roman" w:hAnsi="Times New Roman"/>
          <w:b w:val="0"/>
          <w:i/>
          <w:sz w:val="20"/>
        </w:rPr>
        <w:t xml:space="preserve"> </w:t>
      </w:r>
      <m:oMath>
        <m:r>
          <m:t>2.50</m:t>
        </m:r>
      </m:oMath>
      <w:r>
        <w:rPr>
          <w:rFonts w:ascii="Times New Roman" w:hAnsi="Times New Roman"/>
          <w:b w:val="0"/>
          <w:i/>
          <w:sz w:val="20"/>
        </w:rPr>
        <w:t xml:space="preserve"> km/s vs experimental</w:t>
      </w:r>
      <w:r>
        <w:rPr>
          <w:rFonts w:ascii="Times New Roman" w:hAnsi="Times New Roman"/>
          <w:b w:val="0"/>
          <w:i/>
          <w:sz w:val="20"/>
        </w:rPr>
        <w:t xml:space="preserve"> </w:t>
      </w:r>
      <m:oMath>
        <m:r>
          <m:t>8.75</m:t>
        </m:r>
      </m:oMath>
      <w:r>
        <w:rPr>
          <w:rFonts w:ascii="Times New Roman" w:hAnsi="Times New Roman"/>
          <w:b w:val="0"/>
          <w:i/>
          <w:sz w:val="20"/>
        </w:rPr>
        <w:t xml:space="preserve"> km/s),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rFonts w:ascii="Times New Roman" w:hAnsi="Times New Roman"/>
          <w:b w:val="0"/>
          <w:i/>
          <w:sz w:val="20"/>
          <w:vertAlign w:val="subscript"/>
        </w:rPr>
        <w:t xml:space="preserve">2</w:t>
      </w:r>
      <w:r>
        <w:rPr>
          <w:rFonts w:ascii="Times New Roman" w:hAnsi="Times New Roman"/>
          <w:b w:val="0"/>
          <w:i/>
          <w:sz w:val="20"/>
        </w:rPr>
        <w:t xml:space="preserve">/H</w:t>
      </w:r>
      <w:r>
        <w:rPr>
          <w:rFonts w:ascii="Times New Roman" w:hAnsi="Times New Roman"/>
          <w:b w:val="0"/>
          <w:i/>
          <w:sz w:val="20"/>
          <w:vertAlign w:val="subscript"/>
        </w:rPr>
        <w:t xml:space="preserve">2</w:t>
      </w:r>
      <w:r>
        <w:rPr>
          <w:rFonts w:ascii="Times New Roman" w:hAnsi="Times New Roman"/>
          <w:b w:val="0"/>
          <w:i/>
          <w:sz w:val="20"/>
        </w:rPr>
        <w:t xml:space="preserve">O-dominant CHNO product distribution; cross-family ranking with N</w:t>
      </w:r>
      <w:r>
        <w:rPr>
          <w:rFonts w:ascii="Times New Roman" w:hAnsi="Times New Roman"/>
          <w:b w:val="0"/>
          <w:i/>
          <w:sz w:val="20"/>
          <w:vertAlign w:val="subscript"/>
        </w:rPr>
        <w:t xml:space="preserve">2</w:t>
      </w:r>
      <w:r>
        <w:rPr>
          <w:rFonts w:ascii="Times New Roman" w:hAnsi="Times New Roman"/>
          <w:b w:val="0"/>
          <w:i/>
          <w:sz w:val="20"/>
        </w:rPr>
        <w:t xml:space="preserve">-dominant tetrazoline-class compounds would require a covolume EOS recompute), providing a qualitative consistency check that the headline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claim for L1 is reasonable. Absolute paper-grade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out of scope here (see §6 Limitations). A sensitivity decomposition (per-lead slopes</w:t>
      </w:r>
      <w:r>
        <w:rPr>
          <w:rFonts w:ascii="Times New Roman" w:hAnsi="Times New Roman"/>
          <w:b w:val="0"/>
          <w:i/>
          <w:sz w:val="20"/>
        </w:rPr>
        <w:t xml:space="preserve"> </w:t>
      </w:r>
      <m:oMath>
        <m:r>
          <m:t>d</m:t>
        </m:r>
        <m:r>
          <m:t>D</m:t>
        </m:r>
        <m:r>
          <m:rPr>
            <m:sty m:val="p"/>
          </m:rPr>
          <m:t>/</m:t>
        </m:r>
        <m:r>
          <m:t>d</m:t>
        </m:r>
        <m:r>
          <m:t>ρ</m:t>
        </m:r>
        <m:r>
          <m:rPr>
            <m:sty m:val="p"/>
          </m:rPr>
          <m:t>∈</m:t>
        </m:r>
        <m:r>
          <m:rPr>
            <m:sty m:val="p"/>
          </m:rPr>
          <m:t>[</m:t>
        </m:r>
        <m:r>
          <m:t>2.5</m:t>
        </m:r>
        <m:r>
          <m:rPr>
            <m:sty m:val="p"/>
          </m:rPr>
          <m:t>,</m:t>
        </m:r>
        <m:r>
          <m:t>3.0</m:t>
        </m:r>
        <m:r>
          <m:rPr>
            <m:sty m:val="p"/>
          </m:rPr>
          <m:t>]</m:t>
        </m:r>
      </m:oMath>
      <w:r>
        <w:rPr>
          <w:rFonts w:ascii="Times New Roman" w:hAnsi="Times New Roman"/>
          <w:b w:val="0"/>
          <w:i/>
          <w:sz w:val="20"/>
        </w:rPr>
        <w:t xml:space="preserve"> 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rPr>
          <w:rFonts w:ascii="Times New Roman" w:hAnsi="Times New Roman"/>
          <w:b w:val="0"/>
          <w:i/>
          <w:sz w:val="20"/>
        </w:rPr>
        <w:t xml:space="preserve"> km/s per 100 kJ/mol; see Table 3) confirms that residual K-J vs 3D-CNN deviations on the other leads cannot be attributed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the dominant residual source remains the K-J formula's fixed gas-product-distribution assumption in the high-N CHNO regime. A composite-method HOF benchmark (G4 or CBS-QB3 atomization energies at</w:t>
      </w:r>
      <w:r>
        <w:rPr>
          <w:rFonts w:ascii="Times New Roman" w:hAnsi="Times New Roman"/>
          <w:b w:val="0"/>
          <w:i/>
          <w:sz w:val="20"/>
        </w:rPr>
        <w:t xml:space="preserve"> </w:t>
      </w:r>
      <m:oMath>
        <m:r>
          <m:rPr>
            <m:sty m:val="p"/>
          </m:rPr>
          <m:t>∼</m:t>
        </m:r>
      </m:oMath>
      <w:r>
        <w:rPr>
          <w:rFonts w:ascii="Times New Roman" w:hAnsi="Times New Roman"/>
          <w:b w:val="0"/>
          <w:i/>
          <w:sz w:val="20"/>
        </w:rPr>
        <w:t xml:space="preserve">6–24 hr CPU per molecule) would tighten the absolute energetics for the top leads but does not change the relative ranking.</w:t>
      </w:r>
    </w:p>
    <w:bookmarkEnd w:id="20"/>
    <w:bookmarkStart w:id="34" w:name="Xa4532ab44f8731e5d9ddae9565c93e8c6327743"/>
    <w:p>
      <w:pPr>
        <w:pStyle w:val="Subtitle"/>
        <w:spacing w:before="0" w:after="40"/>
        <w:jc w:val="center"/>
        <w:keepNext/>
        <w:keepLines/>
        <w:widowControl w:val="1"/>
      </w:pPr>
      <w:r>
        <w:rPr>
          <w:rFonts w:ascii="Times New Roman" w:hAnsi="Times New Roman"/>
          <w:b/>
          <w:i w:val="0"/>
          <w:sz w:val="24"/>
        </w:rPr>
        <w:t xml:space="preserve">D. Reproducibility details and superseded ablations</w:t>
      </w:r>
    </w:p>
    <w:p>
      <w:pPr>
        <w:pStyle w:val="Subtitle"/>
        <w:spacing w:before="0" w:after="160"/>
        <w:jc w:val="center"/>
        <w:keepNext w:val="0"/>
        <w:keepLines/>
        <w:widowControl w:val="1"/>
      </w:pPr>
      <w:r>
        <w:rPr>
          <w:rFonts w:ascii="Times New Roman" w:hAnsi="Times New Roman"/>
          <w:b w:val="0"/>
          <w:i/>
          <w:sz w:val="20"/>
        </w:rPr>
        <w:t xml:space="preserve">This appendix collects implementation-specific names, version codes, hardware configurations, hyperparameter ablations, and superseded results that are not required for the body claims but are needed for full reproducibility.</w:t>
      </w:r>
    </w:p>
    <w:p>
      <w:pPr>
        <w:pStyle w:val="Subtitle"/>
        <w:spacing w:before="0" w:after="40"/>
        <w:jc w:val="center"/>
        <w:keepNext/>
        <w:keepLines/>
        <w:widowControl w:val="1"/>
      </w:pPr>
      <w:r>
        <w:rPr>
          <w:rFonts w:ascii="Times New Roman" w:hAnsi="Times New Roman"/>
          <w:b/>
          <w:bCs/>
          <w:i w:val="0"/>
          <w:sz w:val="24"/>
        </w:rPr>
        <w:t xml:space="preserve">D.1 Score-model variants.</w:t>
      </w:r>
      <w:r>
        <w:rPr>
          <w:rFonts w:ascii="Times New Roman" w:hAnsi="Times New Roman"/>
          <w:b/>
          <w:i w:val="0"/>
          <w:sz w:val="24"/>
        </w:rPr>
        <w:t xml:space="preserve"> </w:t>
      </w:r>
      <w:r>
        <w:rPr>
          <w:rFonts w:ascii="Times New Roman" w:hAnsi="Times New Roman"/>
          <w:b/>
          <w:i w:val="0"/>
          <w:sz w:val="24"/>
        </w:rPr>
        <w:t xml:space="preserve">Two score-model checkpoints are released on Zenodo: the production 6-head hazard-aware model (</w:t>
      </w:r>
      <w:r>
        <w:rPr>
          <w:rStyle w:val="VerbatimChar"/>
          <w:rFonts w:ascii="Times New Roman" w:hAnsi="Times New Roman"/>
          <w:b/>
          <w:i w:val="0"/>
          <w:sz w:val="24"/>
        </w:rPr>
        <w:t xml:space="preserve">score_model_v3f</w:t>
      </w:r>
      <w:r>
        <w:rPr>
          <w:rFonts w:ascii="Times New Roman" w:hAnsi="Times New Roman"/>
          <w:b/>
          <w:i w:val="0"/>
          <w:sz w:val="24"/>
        </w:rPr>
        <w:t xml:space="preserve"> </w:t>
      </w:r>
      <w:r>
        <w:rPr>
          <w:rFonts w:ascii="Times New Roman" w:hAnsi="Times New Roman"/>
          <w:b/>
          <w:i w:val="0"/>
          <w:sz w:val="24"/>
        </w:rPr>
        <w:t xml:space="preserve">in the archive; matches §4.7 + Table B.5) and its 5-head predecessor (</w:t>
      </w:r>
      <w:r>
        <w:rPr>
          <w:rStyle w:val="VerbatimChar"/>
          <w:rFonts w:ascii="Times New Roman" w:hAnsi="Times New Roman"/>
          <w:b/>
          <w:i w:val="0"/>
          <w:sz w:val="24"/>
        </w:rPr>
        <w:t xml:space="preserve">score_model_v3e</w:t>
      </w:r>
      <w:r>
        <w:rPr>
          <w:rFonts w:ascii="Times New Roman" w:hAnsi="Times New Roman"/>
          <w:b/>
          <w:i w:val="0"/>
          <w:sz w:val="24"/>
        </w:rPr>
        <w:t xml:space="preserve">); body-text numbers use the 6-head production checkpoint with the hand-coded SMARTS backend (</w:t>
      </w:r>
      <w:r>
        <w:rPr>
          <w:rStyle w:val="VerbatimChar"/>
          <w:rFonts w:ascii="Times New Roman" w:hAnsi="Times New Roman"/>
          <w:b/>
          <w:i w:val="0"/>
          <w:sz w:val="24"/>
        </w:rPr>
        <w:t xml:space="preserve">chem_redflags.py</w:t>
      </w:r>
      <w:r>
        <w:rPr>
          <w:rFonts w:ascii="Times New Roman" w:hAnsi="Times New Roman"/>
          <w:b/>
          <w:i w:val="0"/>
          <w:sz w:val="24"/>
        </w:rPr>
        <w:t xml:space="preserve">).</w:t>
      </w:r>
    </w:p>
    <w:p>
      <w:pPr>
        <w:pStyle w:val="Subtitle"/>
        <w:spacing w:before="0" w:after="40"/>
        <w:jc w:val="center"/>
        <w:keepNext/>
        <w:keepLines/>
        <w:widowControl w:val="1"/>
      </w:pPr>
      <w:r>
        <w:rPr>
          <w:rFonts w:ascii="Times New Roman" w:hAnsi="Times New Roman"/>
          <w:b/>
          <w:bCs/>
          <w:i w:val="0"/>
          <w:sz w:val="24"/>
        </w:rPr>
        <w:t xml:space="preserve">D.2 Compute budget.</w:t>
      </w:r>
      <w:r>
        <w:rPr>
          <w:rFonts w:ascii="Times New Roman" w:hAnsi="Times New Roman"/>
          <w:b/>
          <w:i w:val="0"/>
          <w:sz w:val="24"/>
        </w:rPr>
        <w:t xml:space="preserve"> </w:t>
      </w:r>
      <w:r>
        <w:rPr>
          <w:rFonts w:ascii="Times New Roman" w:hAnsi="Times New Roman"/>
          <w:b/>
          <w:i w:val="0"/>
          <w:sz w:val="24"/>
        </w:rPr>
        <w:t xml:space="preserve">Single-seed pool=40 000 head-to-head: ~8 min on a single consumer GPU; 4-condition × 3-seed pool=10 000: ~25 min. Full DFT audit (15–25-atom CHNO molecules): ~1 GPU-hour per molecule. Full DGLD pipeline (corpus to merged top-100): ~2 GPU-hours.</w:t>
      </w:r>
    </w:p>
    <w:p>
      <w:pPr>
        <w:pStyle w:val="Subtitle"/>
        <w:spacing w:before="0" w:after="160"/>
        <w:jc w:val="center"/>
        <w:keepNext w:val="0"/>
        <w:keepLines/>
        <w:widowControl w:val="1"/>
      </w:pPr>
      <w:r>
        <w:rPr>
          <w:rFonts w:ascii="Times New Roman" w:hAnsi="Times New Roman"/>
          <w:b w:val="0"/>
          <w:bCs/>
          <w:i/>
          <w:sz w:val="20"/>
        </w:rPr>
        <w:t xml:space="preserve">D.3 Hyperparameter values.</w:t>
      </w:r>
      <w:r>
        <w:rPr>
          <w:rFonts w:ascii="Times New Roman" w:hAnsi="Times New Roman"/>
          <w:b w:val="0"/>
          <w:i/>
          <w:sz w:val="20"/>
        </w:rPr>
        <w:t xml:space="preserve"> </w:t>
      </w:r>
      <w:r>
        <w:rPr>
          <w:rFonts w:ascii="Times New Roman" w:hAnsi="Times New Roman"/>
          <w:b w:val="0"/>
          <w:i/>
          <w:sz w:val="20"/>
        </w:rPr>
        <w:t xml:space="preserve">cfg-dropout 0.10, property-dropout 0.30, oversample factor 5</w:t>
      </w:r>
      <m:oMath>
        <m:r>
          <m:rPr>
            <m:sty m:val="p"/>
          </m:rPr>
          <m:t>×</m:t>
        </m:r>
      </m:oMath>
      <w:r>
        <w:rPr>
          <w:rFonts w:ascii="Times New Roman" w:hAnsi="Times New Roman"/>
          <w:b w:val="0"/>
          <w:i/>
          <w:sz w:val="20"/>
        </w:rPr>
        <w:t xml:space="preserve">–10</w:t>
      </w:r>
      <m:oMath>
        <m:r>
          <m:rPr>
            <m:sty m:val="p"/>
          </m:rPr>
          <m:t>×</m:t>
        </m:r>
      </m:oMath>
      <w:r>
        <w:rPr>
          <w:rFonts w:ascii="Times New Roman" w:hAnsi="Times New Roman"/>
          <w:b w:val="0"/>
          <w:i/>
          <w:sz w:val="20"/>
        </w:rPr>
        <w:t xml:space="preserve"> </w:t>
      </w:r>
      <w:r>
        <w:rPr>
          <w:rFonts w:ascii="Times New Roman" w:hAnsi="Times New Roman"/>
          <w:b w:val="0"/>
          <w:i/>
          <w:sz w:val="20"/>
        </w:rPr>
        <w:t xml:space="preserve">above the 90th percentile (high tail), Tanimoto window (0.20, 0.55), CFG scale</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DDIM steps</w:t>
      </w:r>
      <w:r>
        <w:rPr>
          <w:rFonts w:ascii="Times New Roman" w:hAnsi="Times New Roman"/>
          <w:b w:val="0"/>
          <w:i/>
          <w:sz w:val="20"/>
        </w:rPr>
        <w:t xml:space="preserve"> </w:t>
      </w:r>
      <m:oMath>
        <m:r>
          <m:t>n</m:t>
        </m:r>
        <m:r>
          <m:rPr>
            <m:sty m:val="p"/>
          </m:rPr>
          <m:t>=</m:t>
        </m:r>
        <m:r>
          <m:t>40</m:t>
        </m:r>
      </m:oMath>
      <w:r>
        <w:rPr>
          <w:rFonts w:ascii="Times New Roman" w:hAnsi="Times New Roman"/>
          <w:b w:val="0"/>
          <w:i/>
          <w:sz w:val="20"/>
        </w:rPr>
        <w:t xml:space="preserve">. Per-component values are in Appendix B.</w:t>
      </w:r>
    </w:p>
    <w:p>
      <w:pPr>
        <w:pStyle w:val="Subtitle"/>
        <w:spacing w:before="0" w:after="40"/>
        <w:jc w:val="center"/>
        <w:keepNext/>
        <w:keepLines/>
        <w:widowControl w:val="1"/>
      </w:pPr>
      <w:r>
        <w:rPr>
          <w:rFonts w:ascii="Times New Roman" w:hAnsi="Times New Roman"/>
          <w:b/>
          <w:bCs/>
          <w:i w:val="0"/>
          <w:sz w:val="24"/>
        </w:rPr>
        <w:t xml:space="preserve">D.4 High-tail oversampling ablation.</w:t>
      </w:r>
      <w:r>
        <w:rPr>
          <w:rFonts w:ascii="Times New Roman" w:hAnsi="Times New Roman"/>
          <w:b/>
          <w:i w:val="0"/>
          <w:sz w:val="24"/>
        </w:rPr>
        <w:t xml:space="preserve"> </w:t>
      </w:r>
      <w:r>
        <w:rPr>
          <w:rFonts w:ascii="Times New Roman" w:hAnsi="Times New Roman"/>
          <w:b/>
          <w:i w:val="0"/>
          <w:sz w:val="24"/>
        </w:rPr>
        <w:t xml:space="preserve">Reverting the asymmetric oversampling of §3.3 produces leads with a 0.4 km/s lower mean predicted detonation velocity at matched pool size and matched downstream pipeline.</w:t>
      </w:r>
    </w:p>
    <w:p>
      <w:pPr>
        <w:pStyle w:val="Subtitle"/>
        <w:spacing w:before="0" w:after="160"/>
        <w:jc w:val="center"/>
        <w:keepNext w:val="0"/>
        <w:keepLines/>
        <w:widowControl w:val="1"/>
      </w:pPr>
      <w:r>
        <w:rPr>
          <w:rFonts w:ascii="Times New Roman" w:hAnsi="Times New Roman"/>
          <w:b w:val="0"/>
          <w:bCs/>
          <w:i/>
          <w:sz w:val="20"/>
        </w:rPr>
        <w:t xml:space="preserve">D.5 Diagnostic protocol.</w:t>
      </w:r>
      <w:r>
        <w:rPr>
          <w:rFonts w:ascii="Times New Roman" w:hAnsi="Times New Roman"/>
          <w:b w:val="0"/>
          <w:i/>
          <w:sz w:val="20"/>
        </w:rPr>
        <w:t xml:space="preserve"> </w:t>
      </w:r>
      <w:r>
        <w:rPr>
          <w:rFonts w:ascii="Times New Roman" w:hAnsi="Times New Roman"/>
          <w:b w:val="0"/>
          <w:i/>
          <w:sz w:val="20"/>
        </w:rPr>
        <w:t xml:space="preserve">The guidance patching of §4.9 was diagnosed via per-step gradient-norm logging, score-model output sensitivity to perturbed</w:t>
      </w:r>
      <w:r>
        <w:rPr>
          <w:rFonts w:ascii="Times New Roman" w:hAnsi="Times New Roman"/>
          <w:b w:val="0"/>
          <w:i/>
          <w:sz w:val="20"/>
        </w:rPr>
        <w:t xml:space="preserve"> </w:t>
      </w:r>
      <m:oMath>
        <m:r>
          <m:t>z</m:t>
        </m:r>
      </m:oMath>
      <w:r>
        <w:rPr>
          <w:rFonts w:ascii="Times New Roman" w:hAnsi="Times New Roman"/>
          <w:b w:val="0"/>
          <w:i/>
          <w:sz w:val="20"/>
        </w:rPr>
        <w:t xml:space="preserve">, final-</w:t>
      </w:r>
      <m:oMath>
        <m:r>
          <m:t>z</m:t>
        </m:r>
      </m:oMath>
      <w:r>
        <w:rPr>
          <w:rFonts w:ascii="Times New Roman" w:hAnsi="Times New Roman"/>
          <w:b w:val="0"/>
          <w:i/>
          <w:sz w:val="20"/>
        </w:rPr>
        <w:t xml:space="preserve"> </w:t>
      </w:r>
      <w:r>
        <w:rPr>
          <w:rFonts w:ascii="Times New Roman" w:hAnsi="Times New Roman"/>
          <w:b w:val="0"/>
          <w:i/>
          <w:sz w:val="20"/>
        </w:rPr>
        <w:t xml:space="preserve">cosine similarity across conditions, and decoder argmax-basin width. The protocol is released as</w:t>
      </w:r>
      <w:r>
        <w:rPr>
          <w:rFonts w:ascii="Times New Roman" w:hAnsi="Times New Roman"/>
          <w:b w:val="0"/>
          <w:i/>
          <w:sz w:val="20"/>
        </w:rPr>
        <w:t xml:space="preserve"> </w:t>
      </w:r>
      <w:r>
        <w:rPr>
          <w:rStyle w:val="VerbatimChar"/>
          <w:rFonts w:ascii="Times New Roman" w:hAnsi="Times New Roman"/>
          <w:b w:val="0"/>
          <w:i/>
          <w:sz w:val="20"/>
        </w:rPr>
        <w:t xml:space="preserve">diag_guidance.py</w:t>
      </w:r>
      <w:r>
        <w:rPr>
          <w:rFonts w:ascii="Times New Roman" w:hAnsi="Times New Roman"/>
          <w:b w:val="0"/>
          <w:i/>
          <w:sz w:val="20"/>
        </w:rPr>
        <w:t xml:space="preserve">.</w:t>
      </w:r>
    </w:p>
    <w:p>
      <w:pPr>
        <w:pStyle w:val="Subtitle"/>
        <w:spacing w:before="0" w:after="40"/>
        <w:jc w:val="center"/>
        <w:keepNext/>
        <w:keepLines/>
        <w:widowControl w:val="1"/>
      </w:pPr>
      <w:r>
        <w:rPr>
          <w:rFonts w:ascii="Times New Roman" w:hAnsi="Times New Roman"/>
          <w:b/>
          <w:bCs/>
          <w:i w:val="0"/>
          <w:sz w:val="24"/>
        </w:rPr>
        <w:t xml:space="preserve">D.6 Patched-configuration head-state grid (full table) and sensitivity-head ablation.</w:t>
      </w:r>
      <w:r>
        <w:rPr>
          <w:rFonts w:ascii="Times New Roman" w:hAnsi="Times New Roman"/>
          <w:b/>
          <w:i w:val="0"/>
          <w:sz w:val="24"/>
        </w:rPr>
        <w:t xml:space="preserve"> </w:t>
      </w:r>
      <w:r>
        <w:rPr>
          <w:rFonts w:ascii="Times New Roman" w:hAnsi="Times New Roman"/>
          <w:b/>
          <w:i w:val="0"/>
          <w:sz w:val="24"/>
        </w:rPr>
        <w:t xml:space="preserve">§5.3 reports the headline finding (12 cells collapsing to 4 distinct outputs); the full md5 cluster table is:</w:t>
      </w:r>
    </w:p>
    <w:p>
      <w:pPr>
        <w:pStyle w:val="Subtitle"/>
        <w:spacing w:before="0" w:after="160"/>
        <w:jc w:val="center"/>
        <w:keepNext w:val="0"/>
        <w:keepLines/>
        <w:widowControl w:val="1"/>
      </w:pPr>
      <w:r>
        <w:rPr>
          <w:rFonts w:ascii="Times New Roman" w:hAnsi="Times New Roman"/>
          <w:b w:val="0"/>
          <w:bCs/>
          <w:i/>
          <w:sz w:val="20"/>
        </w:rPr>
        <w:t xml:space="preserve">Table D.1.</w:t>
      </w:r>
      <w:r>
        <w:rPr>
          <w:rFonts w:ascii="Times New Roman" w:hAnsi="Times New Roman"/>
          <w:b w:val="0"/>
          <w:i/>
          <w:sz w:val="20"/>
        </w:rPr>
        <w:t xml:space="preserve"> </w:t>
      </w:r>
      <w:r>
        <w:rPr>
          <w:rFonts w:ascii="Times New Roman" w:hAnsi="Times New Roman"/>
          <w:b w:val="0"/>
          <w:i/>
          <w:sz w:val="20"/>
        </w:rPr>
        <w:t xml:space="preserve">12-cell head-state grid over</w:t>
      </w:r>
      <w:r>
        <w:rPr>
          <w:rFonts w:ascii="Times New Roman" w:hAnsi="Times New Roman"/>
          <w:b w:val="0"/>
          <w:i/>
          <w:sz w:val="20"/>
        </w:rP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Table"/>
        <w:tblW w:type="pct" w:w="5000"/>
        <w:jc w:val="center"/>
        <w:tblLook w:firstRow="1" w:lastRow="0" w:firstColumn="0" w:lastColumn="0" w:noHBand="0" w:noVBand="0" w:val="0020"/>
        <w:tblCaption w:val="Table D.1. 12-cell head-state grid over s_{\text{viab}}\in\{0,1,5\} and s_{\text{hazard}}\in\{0,1,2,5\} at pool=20 000, single seed, patched sampler, collapsed by output md5. Cells cluster into exactly four distinct outputs by 2×2 head-on/off; within-cluster scale magnitude does not alter the output because the per-row clamp saturates as soon as a head is activ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Cluster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cells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output md5 prefix</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sv0_sh0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unguided /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f0438f…</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sv0_sh{1,2,5}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93da34…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sv{1,5}_sh0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c83f06…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sv{1,5}_sh{1,2,5} (6)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 + 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e26b43…</w:t>
            </w:r>
          </w:p>
        </w:tc>
      </w:tr>
    </w:tbl>
    <w:p>
      <w:pPr>
        <w:pStyle w:val="Subtitle"/>
        <w:spacing w:before="0" w:after="160"/>
        <w:jc w:val="center"/>
        <w:keepNext w:val="0"/>
        <w:keepLines/>
        <w:widowControl w:val="1"/>
      </w:pPr>
      <w:r>
        <w:rPr>
          <w:rFonts w:ascii="Times New Roman" w:hAnsi="Times New Roman"/>
          <w:b w:val="0"/>
          <w:i/>
          <w:sz w:val="20"/>
        </w:rPr>
        <w:t xml:space="preserve">Within each cluster, per-head scale magnitude does not alter the output: the gradient-norm clamp saturates as soon as a head is active, so all non-zero scales in a cluster are equivalent. Fine analogue scale control requires tightening the clamp (see Appendix B.3).</w:t>
      </w:r>
    </w:p>
    <w:p>
      <w:pPr>
        <w:pStyle w:val="Subtitle"/>
        <w:spacing w:before="0" w:after="160"/>
        <w:jc w:val="center"/>
        <w:keepNext w:val="0"/>
        <w:keepLines/>
        <w:widowControl w:val="1"/>
      </w:pPr>
      <w:r>
        <w:rPr>
          <w:rFonts w:ascii="Times New Roman" w:hAnsi="Times New Roman"/>
          <w:b w:val="0"/>
          <w:i/>
          <w:sz w:val="20"/>
        </w:rPr>
        <w:t xml:space="preserve">Heuristic vs literature-grounded sensitivity head. Three-way ablation (each condition: 2 pools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1500 = 3000 samples, identical CFG, identical Pareto reranker, single seed) substituting the literature-grounded sensitivity head (Appendix B.2):</w:t>
      </w:r>
    </w:p>
    <w:p>
      <w:pPr>
        <w:pStyle w:val="Subtitle"/>
        <w:spacing w:before="0" w:after="40"/>
        <w:jc w:val="center"/>
        <w:keepNext/>
        <w:keepLines/>
        <w:widowControl w:val="1"/>
      </w:pPr>
      <w:r>
        <w:rPr>
          <w:rFonts w:ascii="Times New Roman" w:hAnsi="Times New Roman"/>
          <w:b/>
          <w:bCs/>
          <w:i w:val="0"/>
          <w:sz w:val="24"/>
        </w:rPr>
        <w:t xml:space="preserve">Table D.2.</w:t>
      </w:r>
      <w:r>
        <w:rPr>
          <w:rFonts w:ascii="Times New Roman" w:hAnsi="Times New Roman"/>
          <w:b/>
          <w:i w:val="0"/>
          <w:sz w:val="24"/>
        </w:rPr>
        <w:t xml:space="preserve"> </w:t>
      </w:r>
      <w:r>
        <w:rPr>
          <w:rFonts w:ascii="Times New Roman" w:hAnsi="Times New Roman"/>
          <w:b/>
          <w:i w:val="0"/>
          <w:sz w:val="24"/>
        </w:rPr>
        <w:t xml:space="preserve">Heuristic vs literature-grounded sensitivity-head ablation at pool=3 000 single seed: unguided baseline;</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heuristic-trained head;</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literature-grounded h</w:t>
      </w:r>
      <w:r>
        <w:rPr>
          <w:rFonts w:ascii="Times New Roman" w:hAnsi="Times New Roman"/>
          <w:b/>
          <w:i w:val="0"/>
          <w:sz w:val="24"/>
          <w:vertAlign w:val="subscript"/>
        </w:rPr>
        <w:t xml:space="preserve">50</w:t>
      </w:r>
      <w:r>
        <w:rPr>
          <w:rFonts w:ascii="Times New Roman" w:hAnsi="Times New Roman"/>
          <w:b/>
          <w:i w:val="0"/>
          <w:sz w:val="24"/>
        </w:rPr>
        <w:t xml:space="preserve">-trained head. The literature-grounded head reduces top-5 mean sensitivity by</w:t>
      </w:r>
      <w:r>
        <w:rPr>
          <w:rFonts w:ascii="Times New Roman" w:hAnsi="Times New Roman"/>
          <w:b/>
          <w:i w:val="0"/>
          <w:sz w:val="24"/>
        </w:rPr>
        <w:t xml:space="preserve"> </w:t>
      </w:r>
      <m:oMath>
        <m:r>
          <m:rPr>
            <m:sty m:val="p"/>
          </m:rPr>
          <m:t>∼</m:t>
        </m:r>
        <m:r>
          <m:t>8</m:t>
        </m:r>
        <m:r>
          <m:rPr>
            <m:sty m:val="p"/>
          </m:rPr>
          <m:t>×</m:t>
        </m:r>
      </m:oMath>
      <w:r>
        <w:rPr>
          <w:rFonts w:ascii="Times New Roman" w:hAnsi="Times New Roman"/>
          <w:b/>
          <w:i w:val="0"/>
          <w:sz w:val="24"/>
        </w:rPr>
        <w:t xml:space="preserve"> </w:t>
      </w:r>
      <w:r>
        <w:rPr>
          <w:rFonts w:ascii="Times New Roman" w:hAnsi="Times New Roman"/>
          <w:b/>
          <w:i w:val="0"/>
          <w:sz w:val="24"/>
        </w:rPr>
        <w:t xml:space="preserve">at the cost of</w:t>
      </w:r>
      <w:r>
        <w:rPr>
          <w:rFonts w:ascii="Times New Roman" w:hAnsi="Times New Roman"/>
          <w:b/>
          <w:i w:val="0"/>
          <w:sz w:val="24"/>
        </w:rPr>
        <w:t xml:space="preserve"> </w:t>
      </w:r>
      <m:oMath>
        <m:r>
          <m:rPr>
            <m:sty m:val="p"/>
          </m:rPr>
          <m:t>∼</m:t>
        </m:r>
      </m:oMath>
      <w:r>
        <w:rPr>
          <w:rFonts w:ascii="Times New Roman" w:hAnsi="Times New Roman"/>
          <w:b/>
          <w:i w:val="0"/>
          <w:sz w:val="24"/>
        </w:rPr>
        <w:t xml:space="preserve">0.4 km/s on top-1</w:t>
      </w:r>
      <w:r>
        <w:rPr>
          <w:rFonts w:ascii="Times New Roman" w:hAnsi="Times New Roman"/>
          <w:b/>
          <w:i w:val="0"/>
          <w:sz w:val="24"/>
        </w:rPr>
        <w:t xml:space="preserve"> </w:t>
      </w:r>
      <m:oMath>
        <m:r>
          <m:t>D</m:t>
        </m:r>
      </m:oMath>
      <w:r>
        <w:rPr>
          <w:rFonts w:ascii="Times New Roman" w:hAnsi="Times New Roman"/>
          <w:b/>
          <w:i w:val="0"/>
          <w:sz w:val="24"/>
        </w:rPr>
        <w:t xml:space="preserve">.</w:t>
      </w:r>
    </w:p>
    <w:tbl>
      <w:tblPr>
        <w:tblStyle w:val="Table"/>
        <w:tblW w:type="pct" w:w="5000"/>
        <w:jc w:val="center"/>
        <w:tblLook w:firstRow="1" w:lastRow="0" w:firstColumn="0" w:lastColumn="0" w:noHBand="0" w:noVBand="0" w:val="0020"/>
        <w:tblCaption w:val="Table D.2. Heuristic vs literature-grounded sensitivity-head ablation at pool=3 000 single seed: unguided baseline; s_{\text{sens}}=0.3 with the heuristic-trained head; s_{\text{sens}}=0.3 with the literature-grounded h50-trained head. The literature-grounded head reduces top-5 mean sensitivity by \sim 8\times at the cost of \sim0.4 km/s on top-1 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w:t>
            </w:r>
            <w:r>
              <w:rPr>
                <w:rFonts w:ascii="Times New Roman" w:hAnsi="Times New Roman"/>
                <w:b/>
                <w:sz w:val="19"/>
              </w:rPr>
              <w:t xml:space="preserve"> </w:t>
            </w:r>
            <m:oMath>
              <m:r>
                <m:t>D</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unguided (no score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 heuristic sensitivity head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 literature-grounded sensitivity head (h</w:t>
            </w:r>
            <w:r>
              <w:rPr>
                <w:rFonts w:ascii="Times New Roman" w:hAnsi="Times New Roman"/>
                <w:sz w:val="19"/>
                <w:vertAlign w:val="subscript"/>
              </w:rPr>
              <w:t xml:space="preserve">50</w:t>
            </w: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8.75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8.63</w:t>
            </w:r>
          </w:p>
        </w:tc>
      </w:tr>
    </w:tbl>
    <w:p>
      <w:pPr>
        <w:pStyle w:val="Subtitle"/>
        <w:spacing w:before="0" w:after="40"/>
        <w:jc w:val="center"/>
        <w:keepNext/>
        <w:keepLines/>
        <w:widowControl w:val="1"/>
      </w:pPr>
      <w:r>
        <w:rPr>
          <w:rFonts w:ascii="Times New Roman" w:hAnsi="Times New Roman"/>
          <w:b/>
          <w:i w:val="0"/>
          <w:sz w:val="24"/>
        </w:rPr>
        <w:t xml:space="preserve">The literature-grounded h50 head reduces top-5 mean sensitivity by ~8× at the cost of ~0.4 km/s on top-1 D; preferred when candidate stability is the priority over peak performance.</w:t>
      </w:r>
    </w:p>
    <w:p>
      <w:pPr>
        <w:pStyle w:val="Subtitle"/>
        <w:spacing w:before="0" w:after="160"/>
        <w:jc w:val="center"/>
        <w:keepNext w:val="0"/>
        <w:keepLines/>
        <w:widowControl w:val="1"/>
      </w:pPr>
      <w:r>
        <w:rPr>
          <w:rFonts w:ascii="Times New Roman" w:hAnsi="Times New Roman"/>
          <w:b w:val="0"/>
          <w:bCs/>
          <w:i/>
          <w:sz w:val="20"/>
        </w:rPr>
        <w:t xml:space="preserve">D.7 Strengthened SMARTS catalog: per-class breakdown.</w:t>
      </w:r>
      <w:r>
        <w:rPr>
          <w:rFonts w:ascii="Times New Roman" w:hAnsi="Times New Roman"/>
          <w:b w:val="0"/>
          <w:i/>
          <w:sz w:val="20"/>
        </w:rPr>
        <w:t xml:space="preserve"> </w:t>
      </w:r>
      <w:r>
        <w:rPr>
          <w:rFonts w:ascii="Times New Roman" w:hAnsi="Times New Roman"/>
          <w:b w:val="0"/>
          <w:i/>
          <w:sz w:val="20"/>
        </w:rPr>
        <w:t xml:space="preserve">Two motif classes well-known to the energetic-materials community as shock-sensitive or thermally unstable were added to the SMARTS catalog (§5.4): N-nitroimines (R−N=N−NO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at non-aromatic nitrogens) and open-chain polyazene / azo-nitro motifs. Strict reject SMARTS (</w:t>
      </w:r>
      <w:r>
        <w:rPr>
          <w:rStyle w:val="VerbatimChar"/>
          <w:rFonts w:ascii="Times New Roman" w:hAnsi="Times New Roman"/>
          <w:b w:val="0"/>
          <w:i/>
          <w:sz w:val="20"/>
        </w:rPr>
        <w:t xml:space="preserve">n_nitroimine</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azo_nitro_terminal</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azo_amino_nitro</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tetraazene_open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open_chain_4N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n_n_c_n_n_chain</w:t>
      </w:r>
      <w:r>
        <w:rPr>
          <w:rFonts w:ascii="Times New Roman" w:hAnsi="Times New Roman"/>
          <w:b w:val="0"/>
          <w:i/>
          <w:sz w:val="20"/>
        </w:rPr>
        <w:t xml:space="preserve">) reapplied post-hoc to the merged top-100:</w:t>
      </w:r>
    </w:p>
    <w:p>
      <w:pPr>
        <w:pStyle w:val="Subtitle"/>
        <w:spacing w:before="0" w:after="40"/>
        <w:jc w:val="center"/>
        <w:keepNext/>
        <w:keepLines/>
        <w:widowControl w:val="1"/>
      </w:pPr>
      <w:r>
        <w:rPr>
          <w:rFonts w:ascii="Times New Roman" w:hAnsi="Times New Roman"/>
          <w:b/>
          <w:bCs/>
          <w:i w:val="0"/>
          <w:sz w:val="24"/>
        </w:rPr>
        <w:t xml:space="preserve">Table D.3.</w:t>
      </w:r>
      <w:r>
        <w:rPr>
          <w:rFonts w:ascii="Times New Roman" w:hAnsi="Times New Roman"/>
          <w:b/>
          <w:i w:val="0"/>
          <w:sz w:val="24"/>
        </w:rPr>
        <w:t xml:space="preserve"> </w:t>
      </w:r>
      <w:r>
        <w:rPr>
          <w:rFonts w:ascii="Times New Roman" w:hAnsi="Times New Roman"/>
          <w:b/>
          <w:i w:val="0"/>
          <w:sz w:val="24"/>
        </w:rPr>
        <w:t xml:space="preserve">Per-class breakdown of the 23/100 strengthened-SMARTS rejects on the merged top-100. The new motif rules (N-nitroimine; terminal azo−NO</w:t>
      </w:r>
      <w:r>
        <w:rPr>
          <w:rFonts w:ascii="Times New Roman" w:hAnsi="Times New Roman"/>
          <w:b/>
          <w:i w:val="0"/>
          <w:sz w:val="24"/>
          <w:vertAlign w:val="subscript"/>
        </w:rPr>
        <w:t xml:space="preserve">2</w:t>
      </w:r>
      <w:r>
        <w:rPr>
          <w:rFonts w:ascii="Times New Roman" w:hAnsi="Times New Roman"/>
          <w:b/>
          <w:i w:val="0"/>
          <w:sz w:val="24"/>
        </w:rPr>
        <w:t xml:space="preserve">; azo−amino−NO</w:t>
      </w:r>
      <w:r>
        <w:rPr>
          <w:rFonts w:ascii="Times New Roman" w:hAnsi="Times New Roman"/>
          <w:b/>
          <w:i w:val="0"/>
          <w:sz w:val="24"/>
          <w:vertAlign w:val="subscript"/>
        </w:rPr>
        <w:t xml:space="preserve">2</w:t>
      </w:r>
      <w:r>
        <w:rPr>
          <w:rFonts w:ascii="Times New Roman" w:hAnsi="Times New Roman"/>
          <w:b/>
          <w:i w:val="0"/>
          <w:sz w:val="24"/>
        </w:rPr>
        <w:t xml:space="preserve">; cumulated cyclopropene residual) collectively flag 23 candidates; the rank-1 trinitro-isoxazole survives all rules.</w:t>
      </w:r>
    </w:p>
    <w:tbl>
      <w:tblPr>
        <w:tblStyle w:val="Table"/>
        <w:tblW w:type="pct" w:w="5000"/>
        <w:jc w:val="center"/>
        <w:tblLook w:firstRow="1" w:lastRow="0" w:firstColumn="0" w:lastColumn="0" w:noHBand="0" w:noVBand="0" w:val="0020"/>
        <w:tblCaption w:val="Table D.3. Per-class breakdown of the 23/100 strengthened-SMARTS rejects on the merged top-100. The new motif rules (N-nitroimine; terminal azo−NO2; azo−amino−NO2; cumulated cyclopropene residual) collectively flag 23 candidates; the rank-1 trinitro-isoxazole survives all ru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Reject class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N-nitroimine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terminal azo−NO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azo−amino−NO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cumulated cyclopropene (residual)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Total rejected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100</w:t>
            </w:r>
          </w:p>
        </w:tc>
      </w:tr>
    </w:tbl>
    <w:p>
      <w:pPr>
        <w:pStyle w:val="Subtitle"/>
        <w:spacing w:before="0" w:after="40"/>
        <w:jc w:val="center"/>
        <w:keepNext/>
        <w:keepLines/>
        <w:widowControl w:val="1"/>
      </w:pPr>
      <w:r>
        <w:rPr>
          <w:rFonts w:ascii="Times New Roman" w:hAnsi="Times New Roman"/>
          <w:b/>
          <w:i w:val="0"/>
          <w:sz w:val="24"/>
        </w:rPr>
        <w:t xml:space="preserve">The strengthened filter retains 77/100 candidates; the rank-1 trinitro-isoxazole survives. Crossing with the xTB HOMO-LUMO ≥ 1.5 eV gate gives an estimated 60-65/100 dual-pass set; 77/100 is the conservative figure used by the validation chain.</w:t>
      </w:r>
    </w:p>
    <w:bookmarkStart w:id="21" w:name="d.8-cfg-scale-ablation"/>
    <w:p>
      <w:pPr>
        <w:pStyle w:val="Subtitle"/>
        <w:spacing w:before="0" w:after="40"/>
        <w:jc w:val="center"/>
        <w:keepNext/>
        <w:keepLines/>
        <w:widowControl w:val="1"/>
      </w:pPr>
      <w:r>
        <w:rPr>
          <w:rFonts w:ascii="Times New Roman" w:hAnsi="Times New Roman"/>
          <w:b/>
          <w:i w:val="0"/>
          <w:sz w:val="24"/>
        </w:rPr>
        <w:t xml:space="preserve">D.8 CFG-scale ablation</w:t>
      </w:r>
    </w:p>
    <w:p>
      <w:pPr>
        <w:pStyle w:val="Subtitle"/>
        <w:spacing w:before="0" w:after="160"/>
        <w:jc w:val="center"/>
        <w:keepNext w:val="0"/>
        <w:keepLines/>
        <w:widowControl w:val="1"/>
      </w:pPr>
      <w:r>
        <w:rPr>
          <w:rFonts w:ascii="Times New Roman" w:hAnsi="Times New Roman"/>
          <w:b w:val="0"/>
          <w:i/>
          <w:sz w:val="20"/>
        </w:rPr>
        <w:t xml:space="preserve">Three runs at</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r>
          <m:t>9</m:t>
        </m:r>
        <m:r>
          <m:rPr>
            <m:sty m:val="p"/>
          </m:rPr>
          <m:t>}</m:t>
        </m:r>
      </m:oMath>
      <w:r>
        <w:rPr>
          <w:rFonts w:ascii="Times New Roman" w:hAnsi="Times New Roman"/>
          <w:b w:val="0"/>
          <w:i/>
          <w:sz w:val="20"/>
        </w:rPr>
        <w:t xml:space="preserve"> </w:t>
      </w:r>
      <w:r>
        <w:rPr>
          <w:rFonts w:ascii="Times New Roman" w:hAnsi="Times New Roman"/>
          <w:b w:val="0"/>
          <w:i/>
          <w:sz w:val="20"/>
        </w:rPr>
        <w:t xml:space="preserve">with pool=8 000 each. Increasing</w:t>
      </w:r>
      <w:r>
        <w:rPr>
          <w:rFonts w:ascii="Times New Roman" w:hAnsi="Times New Roman"/>
          <w:b w:val="0"/>
          <w:i/>
          <w:sz w:val="20"/>
        </w:rPr>
        <w:t xml:space="preserve"> </w:t>
      </w:r>
      <m:oMath>
        <m:r>
          <m:t>w</m:t>
        </m:r>
      </m:oMath>
      <w:r>
        <w:rPr>
          <w:rFonts w:ascii="Times New Roman" w:hAnsi="Times New Roman"/>
          <w:b w:val="0"/>
          <w:i/>
          <w:sz w:val="20"/>
        </w:rPr>
        <w:t xml:space="preserve"> </w:t>
      </w:r>
      <w:r>
        <w:rPr>
          <w:rFonts w:ascii="Times New Roman" w:hAnsi="Times New Roman"/>
          <w:b w:val="0"/>
          <w:i/>
          <w:sz w:val="20"/>
        </w:rPr>
        <w:t xml:space="preserve">sharpens the predicted-property distribution but reduces filter pass-through.</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is the empirical optimum: 983 final candidates and a top score of 0.70.</w:t>
      </w:r>
      <w:r>
        <w:rPr>
          <w:rFonts w:ascii="Times New Roman" w:hAnsi="Times New Roman"/>
          <w:b w:val="0"/>
          <w:i/>
          <w:sz w:val="20"/>
        </w:rPr>
        <w:t xml:space="preserve"> </w:t>
      </w:r>
      <m:oMath>
        <m:r>
          <m:t>w</m:t>
        </m:r>
        <m:r>
          <m:rPr>
            <m:sty m:val="p"/>
          </m:rPr>
          <m:t>=</m:t>
        </m:r>
        <m:r>
          <m:t>9</m:t>
        </m:r>
      </m:oMath>
      <w:r>
        <w:rPr>
          <w:rFonts w:ascii="Times New Roman" w:hAnsi="Times New Roman"/>
          <w:b w:val="0"/>
          <w:i/>
          <w:sz w:val="20"/>
        </w:rPr>
        <w:t xml:space="preserve"> </w:t>
      </w:r>
      <w:r>
        <w:rPr>
          <w:rFonts w:ascii="Times New Roman" w:hAnsi="Times New Roman"/>
          <w:b w:val="0"/>
          <w:i/>
          <w:sz w:val="20"/>
        </w:rPr>
        <w:t xml:space="preserve">drops to 427 surviving candidates with a slightly worse top score.</w:t>
      </w:r>
      <w:r>
        <w:rPr>
          <w:rFonts w:ascii="Times New Roman" w:hAnsi="Times New Roman"/>
          <w:b w:val="0"/>
          <w:i/>
          <w:sz w:val="20"/>
        </w:rPr>
        <w:t xml:space="preserve"> </w:t>
      </w:r>
      <m:oMath>
        <m:r>
          <m:t>w</m:t>
        </m:r>
        <m:r>
          <m:rPr>
            <m:sty m:val="p"/>
          </m:rPr>
          <m:t>=</m:t>
        </m:r>
        <m:r>
          <m:t>5</m:t>
        </m:r>
      </m:oMath>
      <w:r>
        <w:rPr>
          <w:rFonts w:ascii="Times New Roman" w:hAnsi="Times New Roman"/>
          <w:b w:val="0"/>
          <w:i/>
          <w:sz w:val="20"/>
        </w:rPr>
        <w:t xml:space="preserve"> </w:t>
      </w:r>
      <w:r>
        <w:rPr>
          <w:rFonts w:ascii="Times New Roman" w:hAnsi="Times New Roman"/>
          <w:b w:val="0"/>
          <w:i/>
          <w:sz w:val="20"/>
        </w:rPr>
        <w:t xml:space="preserve">over-explores: 528 final candidates, top score 0.92 (Figure 16).</w:t>
      </w:r>
    </w:p>
    <w:p>
      <w:pPr>
        <w:pStyle w:val="Subtitle"/>
        <w:spacing w:before="0" w:after="160"/>
        <w:jc w:val="center"/>
        <w:keepNext w:val="0"/>
        <w:keepLines/>
        <w:widowControl w:val="1"/>
      </w:pPr>
      <w:r>
        <w:rPr>
          <w:rFonts w:ascii="Times New Roman" w:hAnsi="Times New Roman"/>
          <w:b w:val="0"/>
          <w:i/>
          <w:sz w:val="20"/>
        </w:rPr>
        <w:t xml:space="preserve">The v4b production-architecture sweep (50 samples per target, three quantile bands per property; full table in</w:t>
      </w:r>
      <w:r>
        <w:rPr>
          <w:rFonts w:ascii="Times New Roman" w:hAnsi="Times New Roman"/>
          <w:b w:val="0"/>
          <w:i/>
          <w:sz w:val="20"/>
        </w:rPr>
        <w:t xml:space="preserve"> </w:t>
      </w:r>
      <w:r>
        <w:rPr>
          <w:rStyle w:val="VerbatimChar"/>
          <w:rFonts w:ascii="Times New Roman" w:hAnsi="Times New Roman"/>
          <w:b w:val="0"/>
          <w:i/>
          <w:sz w:val="20"/>
        </w:rPr>
        <w:t xml:space="preserve">experiments/diffusion_subset_cond_expanded_v4b_20260426T000541Z/cfg_sweep.md</w:t>
      </w:r>
      <w:r>
        <w:rPr>
          <w:rFonts w:ascii="Times New Roman" w:hAnsi="Times New Roman"/>
          <w:b w:val="0"/>
          <w:i/>
          <w:sz w:val="20"/>
        </w:rPr>
        <w:t xml:space="preserve">) confirms that</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gives the best mean per-property quantile match. Representative q90 (high-extreme) rows below illustrate the trade-off: density and detonation-velocity quantile error fall monotonically with increasing</w:t>
      </w:r>
      <w:r>
        <w:rPr>
          <w:rFonts w:ascii="Times New Roman" w:hAnsi="Times New Roman"/>
          <w:b w:val="0"/>
          <w:i/>
          <w:sz w:val="20"/>
        </w:rPr>
        <w:t xml:space="preserve"> </w:t>
      </w:r>
      <m:oMath>
        <m:r>
          <m:t>w</m:t>
        </m:r>
      </m:oMath>
      <w:r>
        <w:rPr>
          <w:rFonts w:ascii="Times New Roman" w:hAnsi="Times New Roman"/>
          <w:b w:val="0"/>
          <w:i/>
          <w:sz w:val="20"/>
        </w:rPr>
        <w:t xml:space="preserve">; HOF and detonation-pressure quantile errors are bowl-shaped, optimal near</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Target quantile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g=2.0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g=5.0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g=7.0 rel-err%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heat_of_formation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detonation_velocity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+7.86)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detonation_pressure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r>
    </w:tbl>
    <w:bookmarkEnd w:id="21"/>
    <w:bookmarkStart w:id="22" w:name="Xacf7f0073d817eb36c4a5c31559a0717b95a1ff"/>
    <w:p>
      <w:pPr>
        <w:pStyle w:val="Subtitle"/>
        <w:spacing w:before="0" w:after="40"/>
        <w:jc w:val="center"/>
        <w:keepNext/>
        <w:keepLines/>
        <w:widowControl w:val="1"/>
      </w:pPr>
      <w:r>
        <w:rPr>
          <w:rFonts w:ascii="Times New Roman" w:hAnsi="Times New Roman"/>
          <w:b/>
          <w:i w:val="0"/>
          <w:sz w:val="24"/>
        </w:rPr>
        <w:t xml:space="preserve">D.9 Hard-negative viability-head augmentation ablation</w:t>
      </w:r>
    </w:p>
    <w:p>
      <w:pPr>
        <w:pStyle w:val="Subtitle"/>
        <w:spacing w:before="0" w:after="40"/>
        <w:jc w:val="center"/>
        <w:keepNext/>
        <w:keepLines/>
        <w:widowControl w:val="1"/>
      </w:pPr>
      <w:r>
        <w:rPr>
          <w:rFonts w:ascii="Times New Roman" w:hAnsi="Times New Roman"/>
          <w:b/>
          <w:i w:val="0"/>
          <w:sz w:val="24"/>
        </w:rPr>
        <w:t xml:space="preserve">We trained two variants of the multi-head model on identical noised-latent inputs to compare hard-negative-augmentation budgets:</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Budget-137</w:t>
      </w:r>
      <w:r>
        <w:rPr>
          <w:rFonts w:ascii="Times New Roman" w:hAnsi="Times New Roman"/>
          <w:b/>
          <w:i w:val="0"/>
          <w:sz w:val="24"/>
        </w:rPr>
        <w:t xml:space="preserve">: training labels =</w:t>
      </w:r>
      <w:r>
        <w:rPr>
          <w:rFonts w:ascii="Times New Roman" w:hAnsi="Times New Roman"/>
          <w:b/>
          <w:i w:val="0"/>
          <w:sz w:val="24"/>
        </w:rP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rPr>
          <w:rFonts w:ascii="Times New Roman" w:hAnsi="Times New Roman"/>
          <w:b/>
          <w:i w:val="0"/>
          <w:sz w:val="24"/>
        </w:rPr>
        <w:t xml:space="preserve"> </w:t>
      </w:r>
      <w:r>
        <w:rPr>
          <w:rFonts w:ascii="Times New Roman" w:hAnsi="Times New Roman"/>
          <w:b/>
          <w:i w:val="0"/>
          <w:sz w:val="24"/>
        </w:rPr>
        <w:t xml:space="preserve">on the labelled corpus + 137 mined hard negatives encoded as viab=0.</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Budget-918 (production)</w:t>
      </w:r>
      <w:r>
        <w:rPr>
          <w:rFonts w:ascii="Times New Roman" w:hAnsi="Times New Roman"/>
          <w:b/>
          <w:i w:val="0"/>
          <w:sz w:val="24"/>
        </w:rPr>
        <w:t xml:space="preserve">: same recipe with 918 mined hard negatives (mined from all generation pools) and an additional aromatic-heterocycle boost</w:t>
      </w:r>
      <w:r>
        <w:rPr>
          <w:rFonts w:ascii="Times New Roman" w:hAnsi="Times New Roman"/>
          <w:b/>
          <w:i w:val="0"/>
          <w:sz w:val="24"/>
        </w:rPr>
        <w:t xml:space="preserve"> </w:t>
      </w:r>
      <m:oMath>
        <m:r>
          <m:rPr>
            <m:sty m:val="p"/>
          </m:rPr>
          <m:t>×</m:t>
        </m:r>
        <m:r>
          <m:t>1.20</m:t>
        </m:r>
      </m:oMath>
      <w:r>
        <w:rPr>
          <w:rFonts w:ascii="Times New Roman" w:hAnsi="Times New Roman"/>
          <w:b/>
          <w:i w:val="0"/>
          <w:sz w:val="24"/>
        </w:rPr>
        <w:t xml:space="preserve"> </w:t>
      </w:r>
      <w:r>
        <w:rPr>
          <w:rFonts w:ascii="Times New Roman" w:hAnsi="Times New Roman"/>
          <w:b/>
          <w:i w:val="0"/>
          <w:sz w:val="24"/>
        </w:rPr>
        <w:t xml:space="preserve">on the viability target.</w:t>
      </w:r>
    </w:p>
    <w:p>
      <w:pPr>
        <w:pStyle w:val="Subtitle"/>
        <w:spacing w:before="0" w:after="160"/>
        <w:jc w:val="center"/>
        <w:keepNext w:val="0"/>
        <w:keepLines/>
        <w:widowControl w:val="1"/>
      </w:pPr>
      <w:r>
        <w:rPr>
          <w:rFonts w:ascii="Times New Roman" w:hAnsi="Times New Roman"/>
          <w:b w:val="0"/>
          <w:i/>
          <w:sz w:val="20"/>
        </w:rPr>
        <w:t xml:space="preserve">On a held-out probe of seven anchor energetics (RDX, HMX, TNT, FOX-7, PETN, TATB) and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tiny dinitromethane), the budget-137 model gave anchors viability</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[0.93,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[0.20, 0.84], while the budget-918 checkpoint gave anchors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 0.84]. Both discriminate, but the budget-918 checkpoint demoted the worst-offender model-cheat (gem-tetranitro) by an additional 0.10 absolute. The lesson is that the score-model viability head's discriminative power scales directly with the number of</w:t>
      </w:r>
      <w:r>
        <w:rPr>
          <w:rFonts w:ascii="Times New Roman" w:hAnsi="Times New Roman"/>
          <w:b w:val="0"/>
          <w:i/>
          <w:sz w:val="20"/>
        </w:rPr>
        <w:t xml:space="preserve"> </w:t>
      </w:r>
      <w:r>
        <w:rPr>
          <w:rFonts w:ascii="Times New Roman" w:hAnsi="Times New Roman"/>
          <w:b w:val="0"/>
          <w:i/>
          <w:iCs/>
          <w:sz w:val="20"/>
        </w:rPr>
        <w:t xml:space="preserve">structurally diverse</w:t>
      </w:r>
      <w:r>
        <w:rPr>
          <w:rFonts w:ascii="Times New Roman" w:hAnsi="Times New Roman"/>
          <w:b w:val="0"/>
          <w:i/>
          <w:sz w:val="20"/>
        </w:rPr>
        <w:t xml:space="preserve"> </w:t>
      </w:r>
      <w:r>
        <w:rPr>
          <w:rFonts w:ascii="Times New Roman" w:hAnsi="Times New Roman"/>
          <w:b w:val="0"/>
          <w:i/>
          <w:sz w:val="20"/>
        </w:rPr>
        <w:t xml:space="preserve">hard negatives encoded as training latents; the standard ZINC drug-like negatives we used to train the SMILES-space classifier are not enough; they are too far from the encoder's posterior to teach a useful gradient.</w:t>
      </w:r>
    </w:p>
    <w:bookmarkEnd w:id="22"/>
    <w:bookmarkStart w:id="29" w:name="d.10-reproducibility-across-pool-sizes"/>
    <w:p>
      <w:pPr>
        <w:pStyle w:val="Subtitle"/>
        <w:spacing w:before="0" w:after="40"/>
        <w:jc w:val="center"/>
        <w:keepNext/>
        <w:keepLines/>
        <w:widowControl w:val="1"/>
      </w:pPr>
      <w:r>
        <w:rPr>
          <w:rFonts w:ascii="Times New Roman" w:hAnsi="Times New Roman"/>
          <w:b/>
          <w:i w:val="0"/>
          <w:sz w:val="24"/>
        </w:rPr>
        <w:t xml:space="preserve">D.10 Reproducibility across pool sizes</w:t>
      </w:r>
    </w:p>
    <w:p>
      <w:pPr>
        <w:pStyle w:val="Subtitle"/>
        <w:spacing w:before="0" w:after="160"/>
        <w:jc w:val="center"/>
        <w:keepNext w:val="0"/>
        <w:keepLines/>
        <w:widowControl w:val="1"/>
      </w:pPr>
      <w:r>
        <w:rPr>
          <w:rFonts w:ascii="Times New Roman" w:hAnsi="Times New Roman"/>
          <w:b w:val="0"/>
          <w:i/>
          <w:sz w:val="20"/>
        </w:rP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rPr>
          <w:rFonts w:ascii="Times New Roman" w:hAnsi="Times New Roman"/>
          <w:b w:val="0"/>
          <w:i/>
          <w:sz w:val="20"/>
        </w:rP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rPr>
          <w:rFonts w:ascii="Times New Roman" w:hAnsi="Times New Roman"/>
          <w:b w:val="0"/>
          <w:i/>
          <w:sz w:val="20"/>
        </w:rPr>
        <w:t xml:space="preserve"> </w:t>
      </w:r>
      <w:r>
        <w:rPr>
          <w:rFonts w:ascii="Times New Roman" w:hAnsi="Times New Roman"/>
          <w:b w:val="0"/>
          <w:i/>
          <w:sz w:val="20"/>
        </w:rPr>
        <w:t xml:space="preserve">km/s) that does not re-emerge at the larger sample size. The per-head guidance scale tunes the</w:t>
      </w:r>
      <w:r>
        <w:rPr>
          <w:rFonts w:ascii="Times New Roman" w:hAnsi="Times New Roman"/>
          <w:b w:val="0"/>
          <w:i/>
          <w:sz w:val="20"/>
        </w:rPr>
        <w:t xml:space="preserve"> </w:t>
      </w:r>
      <w:r>
        <w:rPr>
          <w:rFonts w:ascii="Times New Roman" w:hAnsi="Times New Roman"/>
          <w:b w:val="0"/>
          <w:i/>
          <w:iCs/>
          <w:sz w:val="20"/>
        </w:rPr>
        <w:t xml:space="preserve">distribution</w:t>
      </w:r>
      <w:r>
        <w:rPr>
          <w:rFonts w:ascii="Times New Roman" w:hAnsi="Times New Roman"/>
          <w:b w:val="0"/>
          <w:i/>
          <w:sz w:val="20"/>
        </w:rPr>
        <w:t xml:space="preserve"> </w:t>
      </w:r>
      <w:r>
        <w:rPr>
          <w:rFonts w:ascii="Times New Roman" w:hAnsi="Times New Roman"/>
          <w:b w:val="0"/>
          <w:i/>
          <w:sz w:val="20"/>
        </w:rPr>
        <w:t xml:space="preserve">of generated chemistry, but individual top-1 candidates are subject to the same combinatorial rarity that motivates the pool-size scaling of §4.12. The composite-score distribution over the top-200 of an unguided pool=40 000 run is shown in Fig 18. The recommended robust production recipe (moderate guidance, pool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40 000, Pareto reranker (scaffold-aware composite) as ranker, SA-gradient as a complementary run) is documented in §4.10.</w:t>
      </w:r>
    </w:p>
    <w:p>
      <w:pPr>
        <w:pStyle w:val="BodyText"/>
        <w:jc w:val="center"/>
        <w:keepNext/>
        <w:keepLines/>
        <w:widowControl w:val="1"/>
      </w:pPr>
      <w:r>
        <w:drawing>
          <wp:inline>
            <wp:extent cx="5943600" cy="3146886"/>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3"/>
                    <a:stretch>
                      <a:fillRect/>
                    </a:stretch>
                  </pic:blipFill>
                  <pic:spPr bwMode="auto">
                    <a:xfrm>
                      <a:off x="0" y="0"/>
                      <a:ext cx="5943600" cy="3146886"/>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18.</w:t>
      </w:r>
      <w:r>
        <w:rPr>
          <w:rFonts w:ascii="Times New Roman" w:hAnsi="Times New Roman"/>
          <w:b w:val="0"/>
          <w:i/>
          <w:sz w:val="20"/>
        </w:rPr>
        <w:t xml:space="preserve"> </w:t>
      </w:r>
      <w:r>
        <w:rPr>
          <w:rFonts w:ascii="Times New Roman" w:hAnsi="Times New Roman"/>
          <w:b w:val="0"/>
          <w:i/>
          <w:sz w:val="20"/>
        </w:rPr>
        <w:t xml:space="preserve">Distribution of composite scores over the top-200 of an unguided pool=40 000 run after the Pareto scaffold-aware ranker (range [0.564, 0.831]).</w:t>
      </w:r>
    </w:p>
    <w:p>
      <w:pPr>
        <w:pStyle w:val="Subtitle"/>
        <w:spacing w:before="0" w:after="160"/>
        <w:jc w:val="center"/>
        <w:keepNext w:val="0"/>
        <w:keepLines/>
        <w:widowControl w:val="1"/>
      </w:pPr>
      <w:r>
        <w:rPr>
          <w:rFonts w:ascii="Times New Roman" w:hAnsi="Times New Roman"/>
          <w:b w:val="0"/>
          <w:bCs/>
          <w:i/>
          <w:sz w:val="20"/>
        </w:rPr>
        <w:t xml:space="preserve">Pool-fusion provenance of the merged top-100.</w:t>
      </w:r>
      <w:r>
        <w:rPr>
          <w:rFonts w:ascii="Times New Roman" w:hAnsi="Times New Roman"/>
          <w:b w:val="0"/>
          <w:i/>
          <w:sz w:val="20"/>
        </w:rPr>
        <w:t xml:space="preserve"> </w:t>
      </w:r>
      <w:r>
        <w:rPr>
          <w:rFonts w:ascii="Times New Roman" w:hAnsi="Times New Roman"/>
          <w:b w:val="0"/>
          <w:i/>
          <w:sz w:val="20"/>
        </w:rPr>
        <w:t xml:space="preserve">Applying the §4.11 pool-fusion recipe to (i) the unguided pool=40 000 run, (ii) the unguided pool=80 000 run, (iii) a guided pool=40 000 run at</w:t>
      </w:r>
      <w:r>
        <w:rPr>
          <w:rFonts w:ascii="Times New Roman" w:hAnsi="Times New Roman"/>
          <w:b w:val="0"/>
          <w:i/>
          <w:sz w:val="20"/>
        </w:rP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rPr>
          <w:rFonts w:ascii="Times New Roman" w:hAnsi="Times New Roman"/>
          <w:b w:val="0"/>
          <w:i/>
          <w:sz w:val="20"/>
        </w:rPr>
        <w:t xml:space="preserve">, and (iv) a guided pool=20 000 run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w:t>
      </w:r>
      <w:r>
        <w:rPr>
          <w:rFonts w:ascii="Times New Roman" w:hAnsi="Times New Roman"/>
          <w:b w:val="0"/>
          <w:i/>
          <w:sz w:val="20"/>
        </w:rPr>
        <w:t xml:space="preserve">yields 331 unique candidates. The top-100 by composite has range [0.564, 0.831]. Source breakdown: 89 from (i), 5 from (ii), 3 from (iii), 3 from (iv) (Fig 26). The Pareto reranker (scaffold-aware composite) is the dominant ranker; the largest contributor is the smallest unguided pool, while classifier-guided runs supply scaffold diversity at the top end. The trinitro-isoxazole rank-1 itself comes from a guided run.</w:t>
      </w:r>
    </w:p>
    <w:p>
      <w:pPr>
        <w:pStyle w:val="BodyText"/>
        <w:jc w:val="center"/>
        <w:keepNext/>
        <w:keepLines/>
        <w:widowControl w:val="1"/>
      </w:pPr>
      <w:r>
        <w:drawing>
          <wp:inline>
            <wp:extent cx="5943600" cy="2831110"/>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6"/>
                    <a:stretch>
                      <a:fillRect/>
                    </a:stretch>
                  </pic:blipFill>
                  <pic:spPr bwMode="auto">
                    <a:xfrm>
                      <a:off x="0" y="0"/>
                      <a:ext cx="5943600" cy="2831110"/>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26.</w:t>
      </w:r>
      <w:r>
        <w:rPr>
          <w:rFonts w:ascii="Times New Roman" w:hAnsi="Times New Roman"/>
          <w:b w:val="0"/>
          <w:i/>
          <w:sz w:val="20"/>
        </w:rPr>
        <w:t xml:space="preserve"> </w:t>
      </w:r>
      <w:r>
        <w:rPr>
          <w:rFonts w:ascii="Times New Roman" w:hAnsi="Times New Roman"/>
          <w:b w:val="0"/>
          <w:i/>
          <w:sz w:val="20"/>
        </w:rPr>
        <w:t xml:space="preserve">Source-pool contributions to the merged top-100. The unguided pool=40 000 supplies 89 of the top-100; classifier-guided runs and the larger unguided pool contribute incremental scaffold diversity at the top.</w:t>
      </w:r>
    </w:p>
    <w:bookmarkEnd w:id="29"/>
    <w:bookmarkStart w:id="30" w:name="d.11-distribution-learning-metrics"/>
    <w:p>
      <w:pPr>
        <w:pStyle w:val="Subtitle"/>
        <w:spacing w:before="0" w:after="40"/>
        <w:jc w:val="center"/>
        <w:keepNext/>
        <w:keepLines/>
        <w:widowControl w:val="1"/>
      </w:pPr>
      <w:r>
        <w:rPr>
          <w:rFonts w:ascii="Times New Roman" w:hAnsi="Times New Roman"/>
          <w:b/>
          <w:i w:val="0"/>
          <w:sz w:val="24"/>
        </w:rPr>
        <w:t xml:space="preserve">D.11 Distribution-learning metrics</w:t>
      </w:r>
    </w:p>
    <w:p>
      <w:pPr>
        <w:pStyle w:val="Subtitle"/>
        <w:spacing w:before="0" w:after="160"/>
        <w:jc w:val="center"/>
        <w:keepNext w:val="0"/>
        <w:keepLines/>
        <w:widowControl w:val="1"/>
      </w:pPr>
      <w:r>
        <w:rPr>
          <w:rFonts w:ascii="Times New Roman" w:hAnsi="Times New Roman"/>
          <w:b w:val="0"/>
          <w:i/>
          <w:sz w:val="20"/>
        </w:rPr>
        <w:t xml:space="preserve">To address standard distribution-learning benchmarks expected by NMI reviewers, we report MOSES-style metrics</w:t>
      </w:r>
      <w:r>
        <w:rPr>
          <w:rFonts w:ascii="Times New Roman" w:hAnsi="Times New Roman"/>
          <w:b w:val="0"/>
          <w:i/>
          <w:sz w:val="20"/>
        </w:rPr>
        <w:t xml:space="preserve"> </w:t>
      </w:r>
      <w:hyperlink w:anchor="ref-polykovskiy2020moses">
        <w:r>
          <w:rPr>
            <w:rStyle w:val="Hyperlink"/>
          </w:rPr>
          <w:t xml:space="preserve">[49]</w:t>
        </w:r>
      </w:hyperlink>
      <w:r>
        <w:rPr>
          <w:rFonts w:ascii="Times New Roman" w:hAnsi="Times New Roman"/>
          <w:b w:val="0"/>
          <w:i/>
          <w:sz w:val="20"/>
        </w:rPr>
        <w:t xml:space="preserve"> </w:t>
      </w:r>
      <w:r>
        <w:rPr>
          <w:rFonts w:ascii="Times New Roman" w:hAnsi="Times New Roman"/>
          <w:b w:val="0"/>
          <w:i/>
          <w:sz w:val="20"/>
        </w:rPr>
        <w:t xml:space="preserve">on the four guidance conditions of §F.3 at pool=10 000 each (10k SMILES per condition):</w:t>
      </w:r>
    </w:p>
    <w:p>
      <w:pPr>
        <w:pStyle w:val="Subtitle"/>
        <w:spacing w:before="0" w:after="160"/>
        <w:jc w:val="center"/>
        <w:keepNext w:val="0"/>
        <w:keepLines/>
        <w:widowControl w:val="1"/>
      </w:pPr>
      <w:r>
        <w:rPr>
          <w:rFonts w:ascii="Times New Roman" w:hAnsi="Times New Roman"/>
          <w:b w:val="0"/>
          <w:bCs/>
          <w:i/>
          <w:sz w:val="20"/>
        </w:rPr>
        <w:t xml:space="preserve">Table D.4.</w:t>
      </w:r>
      <w:r>
        <w:rPr>
          <w:rFonts w:ascii="Times New Roman" w:hAnsi="Times New Roman"/>
          <w:b w:val="0"/>
          <w:i/>
          <w:sz w:val="20"/>
        </w:rPr>
        <w:t xml:space="preserve"> </w:t>
      </w:r>
      <w:r>
        <w:rPr>
          <w:rFonts w:ascii="Times New Roman" w:hAnsi="Times New Roman"/>
          <w:b w:val="0"/>
          <w:i/>
          <w:sz w:val="20"/>
        </w:rPr>
        <w:t xml:space="preserve">MOSES-style distribution-learning metrics on each of the four guidance conditions of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t>​</m:t>
        </m:r>
        <m:r>
          <m:rPr>
            <m:sty m:val="p"/>
          </m:rPr>
          <m:t>=</m:t>
        </m:r>
        <m:r>
          <m:t>​</m:t>
        </m:r>
        <m:r>
          <m:t>0.3</m:t>
        </m:r>
      </m:oMath>
      <w:r>
        <w:rPr>
          <w:rFonts w:ascii="Times New Roman" w:hAnsi="Times New Roman"/>
          <w:b w:val="0"/>
          <w:i/>
          <w:sz w:val="20"/>
        </w:rPr>
        <w:t xml:space="preserve">); C2 viab+sens+hazard (adds</w:t>
      </w:r>
      <w:r>
        <w:rPr>
          <w:rFonts w:ascii="Times New Roman" w:hAnsi="Times New Roman"/>
          <w:b w:val="0"/>
          <w:i/>
          <w:sz w:val="20"/>
        </w:rPr>
        <w:t xml:space="preserve"> </w:t>
      </w:r>
      <m:oMath>
        <m:sSub>
          <m:e>
            <m:r>
              <m:t>s</m:t>
            </m:r>
          </m:e>
          <m:sub>
            <m:r>
              <m:rPr>
                <m:nor/>
                <m:sty m:val="p"/>
              </m:rPr>
              <m:t>hazard</m:t>
            </m:r>
          </m:sub>
        </m:sSub>
        <m:r>
          <m:t>​</m:t>
        </m:r>
        <m:r>
          <m:rPr>
            <m:sty m:val="p"/>
          </m:rPr>
          <m:t>=</m:t>
        </m:r>
        <m:r>
          <m:t>​</m:t>
        </m:r>
        <m:r>
          <m:t>1.0</m:t>
        </m:r>
      </m:oMath>
      <w:r>
        <w:rPr>
          <w:rFonts w:ascii="Times New Roman" w:hAnsi="Times New Roman"/>
          <w:b w:val="0"/>
          <w:i/>
          <w:sz w:val="20"/>
        </w:rPr>
        <w:t xml:space="preserve">); C3 hazard-only (</w:t>
      </w:r>
      <m:oMath>
        <m:sSub>
          <m:e>
            <m:r>
              <m:t>s</m:t>
            </m:r>
          </m:e>
          <m:sub>
            <m:r>
              <m:rPr>
                <m:nor/>
                <m:sty m:val="p"/>
              </m:rPr>
              <m:t>hazard</m:t>
            </m:r>
          </m:sub>
        </m:sSub>
        <m:r>
          <m:t>​</m:t>
        </m:r>
        <m:r>
          <m:rPr>
            <m:sty m:val="p"/>
          </m:rPr>
          <m:t>=</m:t>
        </m:r>
        <m:r>
          <m:t>​</m:t>
        </m:r>
        <m:r>
          <m:t>2.0</m:t>
        </m:r>
      </m:oMath>
      <w:r>
        <w:rPr>
          <w:rFonts w:ascii="Times New Roman" w:hAnsi="Times New Roman"/>
          <w:b w:val="0"/>
          <w:i/>
          <w:sz w:val="20"/>
        </w:rPr>
        <w:t xml:space="preserve">, other heads off). Columns: RDKit validity rate; uniqueness fraction in the 10k pool; novelty against the labelled master corpus (LM, 65 980 rows); MOSES IntDiv1 internal-diversity score (1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w:t>
      </w:r>
    </w:p>
    <w:tbl>
      <w:tblPr>
        <w:tblStyle w:val="Table"/>
        <w:tblW w:type="pct" w:w="5000"/>
        <w:jc w:val="center"/>
        <w:tblLook w:firstRow="1" w:lastRow="0" w:firstColumn="0" w:lastColumn="0" w:noHBand="0" w:noVBand="0" w:val="0020"/>
        <w:tblCaption w:val="Table D.4. MOSES-style distribution-learning metrics on each of the four guidance conditions of §F.3 (pool = 10 000 SMILES per condition). Conditions C0–C3 are: C0 unguided (classifier-free guidance only); C1 viab+sens (s_{\text{viab}}\!=\!1.0, s_{\text{sens}}\!=\!0.3); C2 viab+sens+hazard (adds s_{\text{hazard}}\!=\!1.0); C3 hazard-only (s_{\text{hazard}}\!=\!2.0, other heads off). Columns: RDKit validity rate; uniqueness fraction in the 10k pool; novelty against the labelled master corpus (LM, 65 980 rows); MOSES IntDiv1 internal-diversity score (1 - 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BM 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PAINS-pass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energetic-SMARTS-pass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SNN to LM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0.306</w:t>
            </w:r>
          </w:p>
        </w:tc>
      </w:tr>
    </w:tbl>
    <w:p>
      <w:pPr>
        <w:pStyle w:val="Subtitle"/>
        <w:spacing w:before="0" w:after="160"/>
        <w:jc w:val="center"/>
        <w:keepNext w:val="0"/>
        <w:keepLines/>
        <w:widowControl w:val="1"/>
      </w:pPr>
      <w:r>
        <w:rPr>
          <w:rFonts w:ascii="Times New Roman" w:hAnsi="Times New Roman"/>
          <w:b w:val="0"/>
          <w:i/>
          <w:sz w:val="20"/>
        </w:rPr>
        <w:t xml:space="preserve">The MOSES small-multiples figure (validity, scaffold uniqueness, internal diversity, FCD) has been promoted into §5.5 as Fig 24.</w:t>
      </w:r>
    </w:p>
    <w:p>
      <w:pPr>
        <w:pStyle w:val="Subtitle"/>
        <w:spacing w:before="0" w:after="160"/>
        <w:jc w:val="center"/>
        <w:keepNext w:val="0"/>
        <w:keepLines/>
        <w:widowControl w:val="1"/>
      </w:pPr>
      <w:r>
        <w:rPr>
          <w:rFonts w:ascii="Times New Roman" w:hAnsi="Times New Roman"/>
          <w:b w:val="0"/>
          <w:bCs/>
          <w:i/>
          <w:sz w:val="20"/>
        </w:rPr>
        <w:t xml:space="preserve">Multi-seed validation (SA-axis sweep, 3 seeds each).</w:t>
      </w:r>
      <w:r>
        <w:rPr>
          <w:rFonts w:ascii="Times New Roman" w:hAnsi="Times New Roman"/>
          <w:b w:val="0"/>
          <w:i/>
          <w:sz w:val="20"/>
        </w:rPr>
        <w:t xml:space="preserve"> </w:t>
      </w:r>
      <w:r>
        <w:rPr>
          <w:rFonts w:ascii="Times New Roman" w:hAnsi="Times New Roman"/>
          <w:b w:val="0"/>
          <w:i/>
          <w:sz w:val="20"/>
        </w:rPr>
        <w:t xml:space="preserve">To bound seed variance on the MOSES metrics, we re-ran the MOSES evaluation on the four SA-axis conditions (C0 unguided; C1 viab-only; C2 viab+sens; C3 viab+sens+SA) across 3 independent seeds (10 000 SMILES per seed per condition). Table D.4b reports mean </w:t>
      </w:r>
      <m:oMath>
        <m:r>
          <m:rPr>
            <m:sty m:val="p"/>
          </m:rPr>
          <m:t>±</m:t>
        </m:r>
      </m:oMath>
      <w:r>
        <w:rPr>
          <w:rFonts w:ascii="Times New Roman" w:hAnsi="Times New Roman"/>
          <w:b w:val="0"/>
          <w:i/>
          <w:sz w:val="20"/>
        </w:rPr>
        <w:t xml:space="preserve"> std across seeds. The multi-seed evaluation confirms that validity is exactly 1.000 for every seed and condition (zero variance), novelty vs the labelled master is &gt;99.9 % for all seeds, and the uniqueness and diversity trends from Table D.4 are reproducible. Scaffold count drops substantially under stronger guidance (1262 scaffolds unguided vs 659 fully guided, a 48 % reduction), with low seed-to-seed variance (</w:t>
      </w:r>
      <m:oMath>
        <m:r>
          <m:rPr>
            <m:sty m:val="p"/>
          </m:rPr>
          <m:t>≤</m:t>
        </m:r>
      </m:oMath>
      <w:r>
        <w:rPr>
          <w:rFonts w:ascii="Times New Roman" w:hAnsi="Times New Roman"/>
          <w:b w:val="0"/>
          <w:i/>
          <w:sz w:val="20"/>
        </w:rPr>
        <w:t xml:space="preserve"> 23 scaffolds s.d.) confirming that the guidance-driven narrowing of chemical space is a stable, signal-level effect rather than a seed artifact.</w:t>
      </w:r>
    </w:p>
    <w:p>
      <w:pPr>
        <w:pStyle w:val="Subtitle"/>
        <w:spacing w:before="0" w:after="160"/>
        <w:jc w:val="center"/>
        <w:keepNext w:val="0"/>
        <w:keepLines/>
        <w:widowControl w:val="1"/>
      </w:pPr>
      <w:r>
        <w:rPr>
          <w:rFonts w:ascii="Times New Roman" w:hAnsi="Times New Roman"/>
          <w:b w:val="0"/>
          <w:bCs/>
          <w:i/>
          <w:sz w:val="20"/>
        </w:rPr>
        <w:t xml:space="preserve">Table D.4b.</w:t>
      </w:r>
      <w:r>
        <w:rPr>
          <w:rFonts w:ascii="Times New Roman" w:hAnsi="Times New Roman"/>
          <w:b w:val="0"/>
          <w:i/>
          <w:sz w:val="20"/>
        </w:rPr>
        <w:t xml:space="preserve"> </w:t>
      </w:r>
      <w:r>
        <w:rPr>
          <w:rFonts w:ascii="Times New Roman" w:hAnsi="Times New Roman"/>
          <w:b w:val="0"/>
          <w:i/>
          <w:sz w:val="20"/>
        </w:rPr>
        <w:t xml:space="preserve">Multi-seed MOSES-style metrics for the four SA-axis conditions (3 seeds each, 10 000 SMILES per seed). Validity is exactly 1.000 (zero variance) across all seeds and conditions. Values reported as mean </w:t>
      </w:r>
      <m:oMath>
        <m:r>
          <m:rPr>
            <m:sty m:val="p"/>
          </m:rPr>
          <m:t>±</m:t>
        </m:r>
      </m:oMath>
      <w:r>
        <w:rPr>
          <w:rFonts w:ascii="Times New Roman" w:hAnsi="Times New Roman"/>
          <w:b w:val="0"/>
          <w:i/>
          <w:sz w:val="20"/>
        </w:rPr>
        <w:t xml:space="preserve"> std. SA-axis conditions: C0 = unguided; C1 = viab-only (</w:t>
      </w:r>
      <m:oMath>
        <m:sSub>
          <m:e>
            <m:r>
              <m:t>s</m:t>
            </m:r>
          </m:e>
          <m:sub>
            <m:r>
              <m:rPr>
                <m:nor/>
                <m:sty m:val="p"/>
              </m:rPr>
              <m:t>viab</m:t>
            </m:r>
          </m:sub>
        </m:sSub>
        <m:r>
          <m:t>​</m:t>
        </m:r>
        <m:r>
          <m:rPr>
            <m:sty m:val="p"/>
          </m:rPr>
          <m:t>=</m:t>
        </m:r>
        <m:r>
          <m:t>​</m:t>
        </m:r>
        <m:r>
          <m:t>1.0</m:t>
        </m:r>
      </m:oMath>
      <w:r>
        <w:rPr>
          <w:rFonts w:ascii="Times New Roman" w:hAnsi="Times New Roman"/>
          <w:b w:val="0"/>
          <w:i/>
          <w:sz w:val="20"/>
        </w:rPr>
        <w:t xml:space="preserve">); C2 = viab+sens (</w:t>
      </w:r>
      <m:oMath>
        <m:r>
          <m:rPr>
            <m:sty m:val="p"/>
          </m:rPr>
          <m:t>+</m:t>
        </m:r>
        <m:sSub>
          <m:e>
            <m:r>
              <m:t>s</m:t>
            </m:r>
          </m:e>
          <m:sub>
            <m:r>
              <m:rPr>
                <m:nor/>
                <m:sty m:val="p"/>
              </m:rPr>
              <m:t>sens</m:t>
            </m:r>
          </m:sub>
        </m:sSub>
        <m:r>
          <m:t>​</m:t>
        </m:r>
        <m:r>
          <m:rPr>
            <m:sty m:val="p"/>
          </m:rPr>
          <m:t>=</m:t>
        </m:r>
        <m:r>
          <m:t>​</m:t>
        </m:r>
        <m:r>
          <m:t>0.3</m:t>
        </m:r>
      </m:oMath>
      <w:r>
        <w:rPr>
          <w:rFonts w:ascii="Times New Roman" w:hAnsi="Times New Roman"/>
          <w:b w:val="0"/>
          <w:i/>
          <w:sz w:val="20"/>
        </w:rPr>
        <w:t xml:space="preserve">); C3 = viab+sens+SA (</w:t>
      </w:r>
      <m:oMath>
        <m:r>
          <m:rPr>
            <m:sty m:val="p"/>
          </m:rPr>
          <m:t>+</m:t>
        </m:r>
        <m:sSub>
          <m:e>
            <m:r>
              <m:t>s</m:t>
            </m:r>
          </m:e>
          <m:sub>
            <m:r>
              <m:rPr>
                <m:nor/>
                <m:sty m:val="p"/>
              </m:rPr>
              <m:t>SA</m:t>
            </m:r>
          </m:sub>
        </m:sSub>
        <m:r>
          <m:t>​</m:t>
        </m:r>
        <m:r>
          <m:rPr>
            <m:sty m:val="p"/>
          </m:rPr>
          <m:t>=</m:t>
        </m:r>
        <m:r>
          <m:t>​</m:t>
        </m:r>
        <m:r>
          <m:t>0.15</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D.4b. Multi-seed MOSES-style metrics for the four SA-axis conditions (3 seeds each, 10 000 SMILES per seed). Validity is exactly 1.000 (zero variance) across all seeds and conditions. Values reported as mean \pm std. SA-axis conditions: C0 = unguided; C1 = viab-only (s_{\text{viab}}\!=\!1.0); C2 = viab+sens (+s_{\text{sens}}\!=\!0.3); C3 = viab+sens+SA (+s_{\text{SA}}\!=\!0.1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SNN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BM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C0 unguided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0.671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1262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C1 viab-only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C2 viab+sens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0.657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0.822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C3 viab+sens+SA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0.818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0.210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659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18</w:t>
            </w:r>
          </w:p>
        </w:tc>
      </w:tr>
    </w:tbl>
    <w:p>
      <w:pPr>
        <w:pStyle w:val="Subtitle"/>
        <w:spacing w:before="0" w:after="40"/>
        <w:jc w:val="center"/>
        <w:keepNext/>
        <w:keepLines/>
        <w:widowControl w:val="1"/>
      </w:pPr>
      <w:r>
        <w:rPr>
          <w:rFonts w:ascii="Times New Roman" w:hAnsi="Times New Roman"/>
          <w:b/>
          <w:i w:val="0"/>
          <w:sz w:val="24"/>
        </w:rPr>
        <w:t xml:space="preserve">Five readings of this table (Table D.4):</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Validity is 100 %</w:t>
      </w:r>
      <w:r>
        <w:rPr>
          <w:rFonts w:ascii="Times New Roman" w:hAnsi="Times New Roman"/>
          <w:b w:val="0"/>
          <w:i/>
          <w:sz w:val="20"/>
        </w:rPr>
        <w:t xml:space="preserve"> </w:t>
      </w:r>
      <w:r>
        <w:rPr>
          <w:rFonts w:ascii="Times New Roman" w:hAnsi="Times New Roman"/>
          <w:b w:val="0"/>
          <w:i/>
          <w:sz w:val="20"/>
        </w:rPr>
        <w:t xml:space="preserve">for all conditions: the LIMO non-autoregressive parallel decoder, fine-tuned on the 326 k energetic corpus, produces RDKit-parseable SMILES at convergence regardless of the latent perturbation. Validity is measured by calling</w:t>
      </w:r>
      <w:r>
        <w:rPr>
          <w:rFonts w:ascii="Times New Roman" w:hAnsi="Times New Roman"/>
          <w:b w:val="0"/>
          <w:i/>
          <w:sz w:val="20"/>
        </w:rPr>
        <w:t xml:space="preserve"> </w:t>
      </w:r>
      <w:r>
        <w:rPr>
          <w:rStyle w:val="VerbatimChar"/>
          <w:rFonts w:ascii="Times New Roman" w:hAnsi="Times New Roman"/>
          <w:b w:val="0"/>
          <w:i/>
          <w:sz w:val="20"/>
        </w:rPr>
        <w:t xml:space="preserve">RDKit.Chem.MolFromSmiles</w:t>
      </w:r>
      <w:r>
        <w:rPr>
          <w:rFonts w:ascii="Times New Roman" w:hAnsi="Times New Roman"/>
          <w:b w:val="0"/>
          <w:i/>
          <w:sz w:val="20"/>
        </w:rPr>
        <w:t xml:space="preserve"> </w:t>
      </w:r>
      <w:r>
        <w:rPr>
          <w:rFonts w:ascii="Times New Roman" w:hAnsi="Times New Roman"/>
          <w:b w:val="0"/>
          <w:i/>
          <w:sz w:val="20"/>
        </w:rPr>
        <w:t xml:space="preserve">on every decoder output; any output for which</w:t>
      </w:r>
      <w:r>
        <w:rPr>
          <w:rFonts w:ascii="Times New Roman" w:hAnsi="Times New Roman"/>
          <w:b w:val="0"/>
          <w:i/>
          <w:sz w:val="20"/>
        </w:rPr>
        <w:t xml:space="preserve"> </w:t>
      </w:r>
      <w:r>
        <w:rPr>
          <w:rStyle w:val="VerbatimChar"/>
          <w:rFonts w:ascii="Times New Roman" w:hAnsi="Times New Roman"/>
          <w:b w:val="0"/>
          <w:i/>
          <w:sz w:val="20"/>
        </w:rPr>
        <w:t xml:space="preserve">MolFromSmiles</w:t>
      </w:r>
      <w:r>
        <w:rPr>
          <w:rFonts w:ascii="Times New Roman" w:hAnsi="Times New Roman"/>
          <w:b w:val="0"/>
          <w:i/>
          <w:sz w:val="20"/>
        </w:rPr>
        <w:t xml:space="preserve"> </w:t>
      </w:r>
      <w:r>
        <w:rPr>
          <w:rFonts w:ascii="Times New Roman" w:hAnsi="Times New Roman"/>
          <w:b w:val="0"/>
          <w:i/>
          <w:sz w:val="20"/>
        </w:rPr>
        <w:t xml:space="preserve">returns</w:t>
      </w:r>
      <w:r>
        <w:rPr>
          <w:rFonts w:ascii="Times New Roman" w:hAnsi="Times New Roman"/>
          <w:b w:val="0"/>
          <w:i/>
          <w:sz w:val="20"/>
        </w:rPr>
        <w:t xml:space="preserve"> </w:t>
      </w:r>
      <w:r>
        <w:rPr>
          <w:rStyle w:val="VerbatimChar"/>
          <w:rFonts w:ascii="Times New Roman" w:hAnsi="Times New Roman"/>
          <w:b w:val="0"/>
          <w:i/>
          <w:sz w:val="20"/>
        </w:rPr>
        <w:t xml:space="preserve">None</w:t>
      </w:r>
      <w:r>
        <w:rPr>
          <w:rFonts w:ascii="Times New Roman" w:hAnsi="Times New Roman"/>
          <w:b w:val="0"/>
          <w:i/>
          <w:sz w:val="20"/>
        </w:rPr>
        <w:t xml:space="preserve"> </w:t>
      </w:r>
      <w:r>
        <w:rPr>
          <w:rFonts w:ascii="Times New Roman" w:hAnsi="Times New Roman"/>
          <w:b w:val="0"/>
          <w:i/>
          <w:sz w:val="20"/>
        </w:rPr>
        <w:t xml:space="preserve">is counted as invalid (validity = 0). All validity figures in Table D.4 and Table D.4b are computed on this basis. This is consistent with the SELFIES-as-decode-vocabulary guarantee but stronger because the LIMO decoder's argmax may produce SELFIES that round-trip to non-canonical or strained chemistry; here it does not.</w:t>
      </w:r>
    </w:p>
    <w:p>
      <w:pPr>
        <w:pStyle w:val="Subtitle"/>
        <w:numPr>
          <w:ilvl w:val="0"/>
          <w:numId w:val="1003"/>
        </w:numPr>
        <w:spacing w:before="0" w:after="40"/>
        <w:ind w:left="360" w:hanging="259"/>
        <w:jc w:val="center"/>
        <w:keepNext/>
        <w:keepLines/>
        <w:widowControl w:val="1"/>
      </w:pPr>
      <w:r>
        <w:rPr>
          <w:rFonts w:ascii="Times New Roman" w:hAnsi="Times New Roman"/>
          <w:b/>
          <w:bCs/>
          <w:i w:val="0"/>
          <w:sz w:val="24"/>
        </w:rPr>
        <w:t xml:space="preserve">Novelty vs the labelled master is &gt;99.8 %</w:t>
      </w:r>
      <w:r>
        <w:rPr>
          <w:rFonts w:ascii="Times New Roman" w:hAnsi="Times New Roman"/>
          <w:b/>
          <w:i w:val="0"/>
          <w:sz w:val="24"/>
        </w:rPr>
        <w:t xml:space="preserve"> </w:t>
      </w:r>
      <w:r>
        <w:rPr>
          <w:rFonts w:ascii="Times New Roman" w:hAnsi="Times New Roman"/>
          <w:b/>
          <w:i w:val="0"/>
          <w:sz w:val="24"/>
        </w:rPr>
        <w:t xml:space="preserve">for all conditions: nearly every generated SMILES is absent from our 65 k labelled corpus. This corroborates the §5.3 Tanimoto-stratified novelty result (median NN-Tanimoto 0.32–0.36) and confirms that the diffusion sampler is not memorising training rows.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Per-condition uniqueness varies substantially</w:t>
      </w:r>
      <w:r>
        <w:rPr>
          <w:rFonts w:ascii="Times New Roman" w:hAnsi="Times New Roman"/>
          <w:b w:val="0"/>
          <w:i/>
          <w:sz w:val="20"/>
        </w:rPr>
        <w:t xml:space="preserve">: 0.728 (unguided) to 0.572 (viab+sens+hazard). Stronger guidance focuses the candidate set, producing more repeated SMILES, an expected and interpretable side-effect of gradient steering.</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Bemis–Murcko scaffold count varies 2×</w:t>
      </w:r>
      <w:r>
        <w:rPr>
          <w:rFonts w:ascii="Times New Roman" w:hAnsi="Times New Roman"/>
          <w:b w:val="0"/>
          <w:i/>
          <w:sz w:val="20"/>
        </w:rPr>
        <w:t xml:space="preserve"> </w:t>
      </w:r>
      <w:r>
        <w:rPr>
          <w:rFonts w:ascii="Times New Roman" w:hAnsi="Times New Roman"/>
          <w:b w:val="0"/>
          <w:i/>
          <w:sz w:val="20"/>
        </w:rPr>
        <w:t xml:space="preserve">across conditions (62 to 165 from the same 10k samples). Hazard-only (C3) produces the most scaffold diversity (165), unguided (C0) is intermediate (125), and the combined viab+sens+hazard (C2) is the most focused (71). This is the cleanest</w:t>
      </w:r>
      <w:r>
        <w:rPr>
          <w:rFonts w:ascii="Times New Roman" w:hAnsi="Times New Roman"/>
          <w:b w:val="0"/>
          <w:i/>
          <w:sz w:val="20"/>
        </w:rPr>
        <w:t xml:space="preserve"> </w:t>
      </w:r>
      <w:r>
        <w:rPr>
          <w:rFonts w:ascii="Times New Roman" w:hAnsi="Times New Roman"/>
          <w:b w:val="0"/>
          <w:i/>
          <w:iCs/>
          <w:sz w:val="20"/>
        </w:rPr>
        <w:t xml:space="preserve">quantitative</w:t>
      </w:r>
      <w:r>
        <w:rPr>
          <w:rFonts w:ascii="Times New Roman" w:hAnsi="Times New Roman"/>
          <w:b w:val="0"/>
          <w:i/>
          <w:sz w:val="20"/>
        </w:rPr>
        <w:t xml:space="preserve"> </w:t>
      </w:r>
      <w:r>
        <w:rPr>
          <w:rFonts w:ascii="Times New Roman" w:hAnsi="Times New Roman"/>
          <w:b w:val="0"/>
          <w:i/>
          <w:sz w:val="20"/>
        </w:rPr>
        <w:t xml:space="preserve">demonstration that per-head guidance steers chemistry class, not just metric values.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PAINS pass rate is 77–86 %</w:t>
      </w:r>
      <w:r>
        <w:rPr>
          <w:rFonts w:ascii="Times New Roman" w:hAnsi="Times New Roman"/>
          <w:b w:val="0"/>
          <w:i/>
          <w:sz w:val="20"/>
        </w:rP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(§4.10), and it scales as expected with guidance strength (rejection rate rises modestly under guidance because guidance pushes into denser energetic-chemistry regions where the SMARTS catalog has more triggers).</w:t>
      </w:r>
    </w:p>
    <w:p>
      <w:pPr>
        <w:pStyle w:val="Subtitle"/>
        <w:spacing w:before="0" w:after="160"/>
        <w:jc w:val="center"/>
        <w:keepNext w:val="0"/>
        <w:keepLines/>
        <w:widowControl w:val="1"/>
      </w:pPr>
      <w:r>
        <w:rPr>
          <w:rFonts w:ascii="Times New Roman" w:hAnsi="Times New Roman"/>
          <w:b w:val="0"/>
          <w:bCs/>
          <w:i/>
          <w:sz w:val="20"/>
        </w:rPr>
        <w:t xml:space="preserve">Fréchet ChemNet Distance (FCD).</w:t>
      </w:r>
      <w:r>
        <w:rPr>
          <w:rFonts w:ascii="Times New Roman" w:hAnsi="Times New Roman"/>
          <w:b w:val="0"/>
          <w:i/>
          <w:sz w:val="20"/>
        </w:rPr>
        <w:t xml:space="preserve"> </w:t>
      </w:r>
      <w:r>
        <w:rPr>
          <w:rFonts w:ascii="Times New Roman" w:hAnsi="Times New Roman"/>
          <w:b w:val="0"/>
          <w:i/>
          <w:sz w:val="20"/>
        </w:rPr>
        <w:t xml:space="preserve">We additionally compute FCD</w:t>
      </w:r>
      <w:r>
        <w:rPr>
          <w:rFonts w:ascii="Times New Roman" w:hAnsi="Times New Roman"/>
          <w:b w:val="0"/>
          <w:i/>
          <w:sz w:val="20"/>
        </w:rPr>
        <w:t xml:space="preserve"> </w:t>
      </w:r>
      <w:hyperlink w:anchor="ref-preuer2018fcd">
        <w:r>
          <w:rPr>
            <w:rStyle w:val="Hyperlink"/>
          </w:rPr>
          <w:t xml:space="preserve">[51]</w:t>
        </w:r>
      </w:hyperlink>
      <w:r>
        <w:rPr>
          <w:rFonts w:ascii="Times New Roman" w:hAnsi="Times New Roman"/>
          <w:b w:val="0"/>
          <w:i/>
          <w:sz w:val="20"/>
        </w:rPr>
        <w:t xml:space="preserve"> </w:t>
      </w:r>
      <w:r>
        <w:rPr>
          <w:rFonts w:ascii="Times New Roman" w:hAnsi="Times New Roman"/>
          <w:b w:val="0"/>
          <w:i/>
          <w:sz w:val="20"/>
        </w:rP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Subtitle"/>
        <w:spacing w:before="0" w:after="160"/>
        <w:jc w:val="center"/>
        <w:keepNext w:val="0"/>
        <w:keepLines/>
        <w:widowControl w:val="1"/>
      </w:pPr>
      <w:r>
        <w:rPr>
          <w:rFonts w:ascii="Times New Roman" w:hAnsi="Times New Roman"/>
          <w:b w:val="0"/>
          <w:bCs/>
          <w:i/>
          <w:sz w:val="20"/>
        </w:rPr>
        <w:t xml:space="preserve">Table D.5.</w:t>
      </w:r>
      <w:r>
        <w:rPr>
          <w:rFonts w:ascii="Times New Roman" w:hAnsi="Times New Roman"/>
          <w:b w:val="0"/>
          <w:i/>
          <w:sz w:val="20"/>
        </w:rPr>
        <w:t xml:space="preserve"> </w:t>
      </w:r>
      <w:r>
        <w:rPr>
          <w:rFonts w:ascii="Times New Roman" w:hAnsi="Times New Roman"/>
          <w:b w:val="0"/>
          <w:i/>
          <w:sz w:val="20"/>
        </w:rPr>
        <w:t xml:space="preserve">Fréchet ChemNet Distance (FCD) of each method/condition's 10 000-SMILES output against a 5 000-row sample of the labelled master corpus, mean </w:t>
      </w:r>
      <m:oMath>
        <m:r>
          <m:rPr>
            <m:sty m:val="p"/>
          </m:rPr>
          <m:t>±</m:t>
        </m:r>
      </m:oMath>
      <w:r>
        <w:rPr>
          <w:rFonts w:ascii="Times New Roman" w:hAnsi="Times New Roman"/>
          <w:b w:val="0"/>
          <w:i/>
          <w:sz w:val="20"/>
        </w:rP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Table"/>
        <w:tblW w:type="pct" w:w="5000"/>
        <w:jc w:val="center"/>
        <w:tblLook w:firstRow="1" w:lastRow="0" w:firstColumn="0" w:lastColumn="0" w:noHBand="0" w:noVBand="0" w:val="0020"/>
        <w:tblCaption w:val="Table D.5. Fréchet ChemNet Distance (FCD) of each method/condition's 10 000-SMILES output against a 5 000-row sample of the labelled master corpus, mean \pm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 (n_seeds)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FCD vs labelled master (mean ±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SMILES-LSTM</w:t>
            </w:r>
            <w:r>
              <w:rPr>
                <w:rFonts w:ascii="Times New Roman" w:hAnsi="Times New Roman"/>
                <w:sz w:val="19"/>
              </w:rPr>
              <w:t xml:space="preserve"> </w:t>
            </w:r>
            <w:r>
              <w:rPr>
                <w:rFonts w:ascii="Times New Roman" w:hAnsi="Times New Roman"/>
                <w:sz w:val="19"/>
              </w:rPr>
              <w:t xml:space="preserve">(no diffusion, 3 seeds,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C3 hazard-only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24.04</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C0 unguided (6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24.99</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viab+sens+hazard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25.11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25.41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viab+sens (hazard-axis,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25.86</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25.93</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DGLD C3 viab+sens+SA (SA-axis,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26.47</w:t>
            </w:r>
            <w:r>
              <w:rPr>
                <w:rFonts w:ascii="Times New Roman" w:hAnsi="Times New Roman"/>
                <w:b/>
                <w:bCs/>
                <w:sz w:val="19"/>
              </w:rPr>
              <w:t xml:space="preserve"> </w:t>
            </w:r>
            <m:oMath>
              <m:r>
                <m:rPr>
                  <m:sty m:val="p"/>
                </m:rPr>
                <m:t>±</m:t>
              </m:r>
            </m:oMath>
            <w:r>
              <w:rPr>
                <w:rFonts w:ascii="Times New Roman" w:hAnsi="Times New Roman"/>
                <w:b/>
                <w:bCs/>
                <w:sz w:val="19"/>
              </w:rPr>
              <w:t xml:space="preserve"> </w:t>
            </w:r>
            <w:r>
              <w:rPr>
                <w:rFonts w:ascii="Times New Roman" w:hAnsi="Times New Roman"/>
                <w:b/>
                <w:bCs/>
                <w:sz w:val="19"/>
              </w:rPr>
              <w:t xml:space="preserve">0.06</w:t>
            </w:r>
          </w:p>
        </w:tc>
      </w:tr>
    </w:tbl>
    <w:p>
      <w:pPr>
        <w:pStyle w:val="Subtitle"/>
        <w:spacing w:before="0" w:after="160"/>
        <w:jc w:val="center"/>
        <w:keepNext w:val="0"/>
        <w:keepLines/>
        <w:widowControl w:val="1"/>
      </w:pPr>
      <w:r>
        <w:rPr>
          <w:rFonts w:ascii="Times New Roman" w:hAnsi="Times New Roman"/>
          <w:b w:val="0"/>
          <w:i/>
          <w:sz w:val="20"/>
        </w:rPr>
        <w:t xml:space="preserve">The result is methodologically informative and self-consistent with the §F.4 Pareto-reranker composite ranking: the SMILES-LSTM no-diffusion baseline produces chemistry that is distributionally</w:t>
      </w:r>
      <w:r>
        <w:rPr>
          <w:rFonts w:ascii="Times New Roman" w:hAnsi="Times New Roman"/>
          <w:b w:val="0"/>
          <w:i/>
          <w:sz w:val="20"/>
        </w:rPr>
        <w:t xml:space="preserve"> </w:t>
      </w:r>
      <w:r>
        <w:rPr>
          <w:rFonts w:ascii="Times New Roman" w:hAnsi="Times New Roman"/>
          <w:b w:val="0"/>
          <w:i/>
          <w:iCs/>
          <w:sz w:val="20"/>
        </w:rPr>
        <w:t xml:space="preserve">indistinguishable</w:t>
      </w:r>
      <w:r>
        <w:rPr>
          <w:rFonts w:ascii="Times New Roman" w:hAnsi="Times New Roman"/>
          <w:b w:val="0"/>
          <w:i/>
          <w:sz w:val="20"/>
        </w:rPr>
        <w:t xml:space="preserve"> </w:t>
      </w:r>
      <w:r>
        <w:rPr>
          <w:rFonts w:ascii="Times New Roman" w:hAnsi="Times New Roman"/>
          <w:b w:val="0"/>
          <w:i/>
          <w:sz w:val="20"/>
        </w:rPr>
        <w:t xml:space="preserve">from the labelled master (FCD = 0.52, the floor for a generic energetic-flavoured SMILES generator trained on the same corpus), but its top-1 Pareto-reranker composite is 0.083 (§F.4); a generative model that mimics the training distribution well by FCD does</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§F.4).</w:t>
      </w:r>
      <w:r>
        <w:rPr>
          <w:rFonts w:ascii="Times New Roman" w:hAnsi="Times New Roman"/>
          <w:b w:val="0"/>
          <w:i/>
          <w:sz w:val="20"/>
        </w:rPr>
        <w:t xml:space="preserve"> </w:t>
      </w:r>
      <w:r>
        <w:rPr>
          <w:rFonts w:ascii="Times New Roman" w:hAnsi="Times New Roman"/>
          <w:b w:val="0"/>
          <w:bCs/>
          <w:i/>
          <w:sz w:val="20"/>
        </w:rPr>
        <w:t xml:space="preserve">FCD and Pareto-reranker composite are anti-correlated across DGLD conditions:</w:t>
      </w:r>
      <w:r>
        <w:rPr>
          <w:rFonts w:ascii="Times New Roman" w:hAnsi="Times New Roman"/>
          <w:b w:val="0"/>
          <w:i/>
          <w:sz w:val="20"/>
        </w:rPr>
        <w:t xml:space="preserve"> </w:t>
      </w:r>
      <w:r>
        <w:rPr>
          <w:rFonts w:ascii="Times New Roman" w:hAnsi="Times New Roman"/>
          <w:b w:val="0"/>
          <w:i/>
          <w:sz w:val="20"/>
        </w:rP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§F.4 composite.</w:t>
      </w:r>
    </w:p>
    <w:bookmarkEnd w:id="30"/>
    <w:bookmarkStart w:id="31" w:name="d.12-hazard-head-post-hoc-filtering"/>
    <w:p>
      <w:pPr>
        <w:pStyle w:val="Subtitle"/>
        <w:spacing w:before="0" w:after="40"/>
        <w:jc w:val="center"/>
        <w:keepNext/>
        <w:keepLines/>
        <w:widowControl w:val="1"/>
      </w:pPr>
      <w:r>
        <w:rPr>
          <w:rFonts w:ascii="Times New Roman" w:hAnsi="Times New Roman"/>
          <w:b/>
          <w:i w:val="0"/>
          <w:sz w:val="24"/>
        </w:rPr>
        <w:t xml:space="preserve">D.12 Hazard-head post-hoc filtering</w:t>
      </w:r>
    </w:p>
    <w:p>
      <w:pPr>
        <w:pStyle w:val="Subtitle"/>
        <w:spacing w:before="0" w:after="160"/>
        <w:jc w:val="center"/>
        <w:keepNext w:val="0"/>
        <w:keepLines/>
        <w:widowControl w:val="1"/>
      </w:pPr>
      <w:r>
        <w:rPr>
          <w:rFonts w:ascii="Times New Roman" w:hAnsi="Times New Roman"/>
          <w:b w:val="0"/>
          <w:i/>
          <w:sz w:val="20"/>
        </w:rPr>
        <w:t xml:space="preserve">Applying the §4.7 hazard-head-as-rerank-weight to the merged top-100, scored against the chemist-curated SMARTS catalog, gives the following alignment:</w:t>
      </w:r>
    </w:p>
    <w:p>
      <w:pPr>
        <w:pStyle w:val="Subtitle"/>
        <w:spacing w:before="0" w:after="40"/>
        <w:jc w:val="center"/>
        <w:keepNext/>
        <w:keepLines/>
        <w:widowControl w:val="1"/>
      </w:pPr>
      <w:r>
        <w:rPr>
          <w:rFonts w:ascii="Times New Roman" w:hAnsi="Times New Roman"/>
          <w:b/>
          <w:bCs/>
          <w:i w:val="0"/>
          <w:sz w:val="24"/>
        </w:rPr>
        <w:t xml:space="preserve">Table D.6.</w:t>
      </w:r>
      <w:r>
        <w:rPr>
          <w:rFonts w:ascii="Times New Roman" w:hAnsi="Times New Roman"/>
          <w:b/>
          <w:i w:val="0"/>
          <w:sz w:val="24"/>
        </w:rPr>
        <w:t xml:space="preserve"> </w:t>
      </w:r>
      <w:r>
        <w:rPr>
          <w:rFonts w:ascii="Times New Roman" w:hAnsi="Times New Roman"/>
          <w:b/>
          <w:i w:val="0"/>
          <w:sz w:val="24"/>
        </w:rP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rPr>
          <w:rFonts w:ascii="Times New Roman" w:hAnsi="Times New Roman"/>
          <w:b/>
          <w:i w:val="0"/>
          <w:sz w:val="24"/>
        </w:rPr>
        <w:t xml:space="preserve">) count; intersection (perfect recall: every SMARTS reject is also flagged by the head); hazard-head-only flags (head catches motifs the rule didn't cover); both pass (clean by both gates).</w:t>
      </w:r>
    </w:p>
    <w:tbl>
      <w:tblPr>
        <w:tblStyle w:val="Table"/>
        <w:tblW w:type="pct" w:w="5000"/>
        <w:jc w:val="center"/>
        <w:tblLook w:firstRow="1" w:lastRow="0" w:firstColumn="0" w:lastColumn="0" w:noHBand="0" w:noVBand="0" w:val="0020"/>
        <w:tblCaption w:val="Table D.6. Alignment of the hazard-head sigmoid output with the chemist-curated SMARTS reject catalog on the merged top-100. Rows: SMARTS-only reject count; hazard-head soft reject (P_{\text{hazard}} \gt 0.5) count; intersection (perfect recall: every SMARTS reject is also flagged by the head); hazard-head-only flags (head catches motifs the rule didn't cover); both pass (clean by both gat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Test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energetic-SMARTS gate reject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head P &gt; 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reject (SMARTS ∩ 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23</w:t>
            </w:r>
            <w:r>
              <w:rPr>
                <w:rFonts w:ascii="Times New Roman" w:hAnsi="Times New Roman"/>
                <w:sz w:val="19"/>
              </w:rPr>
              <w:t xml:space="preserve"> </w:t>
            </w:r>
            <w:r>
              <w:rPr>
                <w:rFonts w:ascii="Times New Roman" w:hAnsi="Times New Roman"/>
                <w:sz w:val="19"/>
              </w:rPr>
              <w:t xml:space="preserve">(perfect 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 flag (SMARTS missed but head flagged)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 100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pass (SMARTS-ok ∩ hazard</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11 / 100</w:t>
            </w:r>
          </w:p>
        </w:tc>
      </w:tr>
    </w:tbl>
    <w:p>
      <w:pPr>
        <w:pStyle w:val="Subtitle"/>
        <w:spacing w:before="0" w:after="160"/>
        <w:jc w:val="center"/>
        <w:keepNext w:val="0"/>
        <w:keepLines/>
        <w:widowControl w:val="1"/>
      </w:pPr>
      <w:r>
        <w:rPr>
          <w:rFonts w:ascii="Times New Roman" w:hAnsi="Times New Roman"/>
          <w:b w:val="0"/>
          <w:i/>
          <w:sz w:val="20"/>
        </w:rPr>
        <w:t xml:space="preserve">The hazard head</w:t>
      </w:r>
      <w:r>
        <w:rPr>
          <w:rFonts w:ascii="Times New Roman" w:hAnsi="Times New Roman"/>
          <w:b w:val="0"/>
          <w:i/>
          <w:sz w:val="20"/>
        </w:rPr>
        <w:t xml:space="preserve"> </w:t>
      </w:r>
      <w:r>
        <w:rPr>
          <w:rFonts w:ascii="Times New Roman" w:hAnsi="Times New Roman"/>
          <w:b w:val="0"/>
          <w:bCs/>
          <w:i/>
          <w:sz w:val="20"/>
        </w:rPr>
        <w:t xml:space="preserve">recovers all 23 chemist-SMARTS rejects with perfect recall on the merged top-100</w:t>
      </w:r>
      <w:r>
        <w:rPr>
          <w:rFonts w:ascii="Times New Roman" w:hAnsi="Times New Roman"/>
          <w:b w:val="0"/>
          <w:i/>
          <w:sz w:val="20"/>
        </w:rPr>
        <w:t xml:space="preserve"> </w:t>
      </w:r>
      <w:r>
        <w:rPr>
          <w:rFonts w:ascii="Times New Roman" w:hAnsi="Times New Roman"/>
          <w:b w:val="0"/>
          <w:i/>
          <w:sz w:val="20"/>
        </w:rPr>
        <w:t xml:space="preserve">(the chemist-rejects were in the head's training-positive set, so this is partly by construction); a more honest generalisation estimate via 5-fold cross-validation across all 196 hazard-dataset rows gives</w:t>
      </w:r>
      <w:r>
        <w:rPr>
          <w:rFonts w:ascii="Times New Roman" w:hAnsi="Times New Roman"/>
          <w:b w:val="0"/>
          <w:i/>
          <w:sz w:val="20"/>
        </w:rPr>
        <w:t xml:space="preserve"> </w:t>
      </w:r>
      <w:r>
        <w:rPr>
          <w:rFonts w:ascii="Times New Roman" w:hAnsi="Times New Roman"/>
          <w:b w:val="0"/>
          <w:bCs/>
          <w:i/>
          <w:sz w:val="20"/>
        </w:rPr>
        <w:t xml:space="preserve">mean held-out AUROC = 0.91 ± 0.05</w:t>
      </w:r>
      <w:r>
        <w:rPr>
          <w:rFonts w:ascii="Times New Roman" w:hAnsi="Times New Roman"/>
          <w:b w:val="0"/>
          <w:i/>
          <w:sz w:val="20"/>
        </w:rPr>
        <w:t xml:space="preserve">, indicating the head genuinely discriminates hazardous vs safe latent-space chemistry rather than overfitting to memorised positives.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rPr>
          <w:rFonts w:ascii="Times New Roman" w:hAnsi="Times New Roman"/>
          <w:b w:val="0"/>
          <w:i/>
          <w:sz w:val="20"/>
        </w:rPr>
        <w:t xml:space="preserve"> </w:t>
      </w:r>
      <m:oMath>
        <m:sSub>
          <m:e>
            <m:r>
              <m:t>P</m:t>
            </m:r>
          </m:e>
          <m:sub>
            <m:r>
              <m:rPr>
                <m:nor/>
                <m:sty m:val="p"/>
              </m:rPr>
              <m:t>hazard</m:t>
            </m:r>
          </m:sub>
        </m:sSub>
        <m:r>
          <m:rPr>
            <m:sty m:val="p"/>
          </m:rPr>
          <m:t>=</m:t>
        </m:r>
        <m:r>
          <m:t>0.98</m:t>
        </m:r>
      </m:oMath>
      <w:r>
        <w:rPr>
          <w:rFonts w:ascii="Times New Roman" w:hAnsi="Times New Roman"/>
          <w:b w:val="0"/>
          <w:i/>
          <w:sz w:val="20"/>
        </w:rPr>
        <w:t xml:space="preserve"> </w:t>
      </w:r>
      <w:r>
        <w:rPr>
          <w:rFonts w:ascii="Times New Roman" w:hAnsi="Times New Roman"/>
          <w:b w:val="0"/>
          <w:i/>
          <w:sz w:val="20"/>
        </w:rPr>
        <w:t xml:space="preserve">despite being a published HEDM, suggesting the head learned a broader "high N-density nitramine" feature). The hazard head is therefore used as a</w:t>
      </w:r>
      <w:r>
        <w:rPr>
          <w:rFonts w:ascii="Times New Roman" w:hAnsi="Times New Roman"/>
          <w:b w:val="0"/>
          <w:i/>
          <w:sz w:val="20"/>
        </w:rPr>
        <w:t xml:space="preserve"> </w:t>
      </w:r>
      <w:r>
        <w:rPr>
          <w:rFonts w:ascii="Times New Roman" w:hAnsi="Times New Roman"/>
          <w:b w:val="0"/>
          <w:i/>
          <w:iCs/>
          <w:sz w:val="20"/>
        </w:rPr>
        <w:t xml:space="preserve">soft re-rank weight</w:t>
      </w:r>
      <w:r>
        <w:rPr>
          <w:rFonts w:ascii="Times New Roman" w:hAnsi="Times New Roman"/>
          <w:b w:val="0"/>
          <w:i/>
          <w:sz w:val="20"/>
        </w:rPr>
        <w:t xml:space="preserve">, not a hard reject. Threshold</w:t>
      </w:r>
      <w:r>
        <w:rPr>
          <w:rFonts w:ascii="Times New Roman" w:hAnsi="Times New Roman"/>
          <w:b w:val="0"/>
          <w:i/>
          <w:sz w:val="20"/>
        </w:rPr>
        <w:t xml:space="preserve"> </w:t>
      </w:r>
      <m:oMath>
        <m:sSub>
          <m:e>
            <m:r>
              <m:t>P</m:t>
            </m:r>
          </m:e>
          <m:sub>
            <m:r>
              <m:rPr>
                <m:nor/>
                <m:sty m:val="p"/>
              </m:rPr>
              <m:t>hazard</m:t>
            </m:r>
          </m:sub>
        </m:sSub>
        <m:r>
          <m:rPr>
            <m:sty m:val="p"/>
          </m:rPr>
          <m:t>&gt;</m:t>
        </m:r>
        <m:r>
          <m:t>0.9</m:t>
        </m:r>
      </m:oMath>
      <w:r>
        <w:rPr>
          <w:rFonts w:ascii="Times New Roman" w:hAnsi="Times New Roman"/>
          <w:b w:val="0"/>
          <w:i/>
          <w:sz w:val="20"/>
        </w:rPr>
        <w:t xml:space="preserve"> </w:t>
      </w:r>
      <w:r>
        <w:rPr>
          <w:rFonts w:ascii="Times New Roman" w:hAnsi="Times New Roman"/>
          <w:b w:val="0"/>
          <w:i/>
          <w:sz w:val="20"/>
        </w:rPr>
        <w:t xml:space="preserve">reduces the flag count to a more reasonable</w:t>
      </w:r>
      <w:r>
        <w:rPr>
          <w:rFonts w:ascii="Times New Roman" w:hAnsi="Times New Roman"/>
          <w:b w:val="0"/>
          <w:i/>
          <w:sz w:val="20"/>
        </w:rPr>
        <w:t xml:space="preserve"> </w:t>
      </w:r>
      <m:oMath>
        <m:r>
          <m:rPr>
            <m:sty m:val="p"/>
          </m:rPr>
          <m:t>∼</m:t>
        </m:r>
      </m:oMath>
      <w:r>
        <w:rPr>
          <w:rFonts w:ascii="Times New Roman" w:hAnsi="Times New Roman"/>
          <w:b w:val="0"/>
          <w:i/>
          <w:sz w:val="20"/>
        </w:rPr>
        <w:t xml:space="preserve">50/100; threshold</w:t>
      </w:r>
      <w:r>
        <w:rPr>
          <w:rFonts w:ascii="Times New Roman" w:hAnsi="Times New Roman"/>
          <w:b w:val="0"/>
          <w:i/>
          <w:sz w:val="20"/>
        </w:rPr>
        <w:t xml:space="preserve"> </w:t>
      </w:r>
      <m:oMath>
        <m:sSub>
          <m:e>
            <m:r>
              <m:t>P</m:t>
            </m:r>
          </m:e>
          <m:sub>
            <m:r>
              <m:rPr>
                <m:nor/>
                <m:sty m:val="p"/>
              </m:rPr>
              <m:t>hazard</m:t>
            </m:r>
          </m:sub>
        </m:sSub>
        <m:r>
          <m:rPr>
            <m:sty m:val="p"/>
          </m:rPr>
          <m:t>&gt;</m:t>
        </m:r>
        <m:r>
          <m:t>0.5</m:t>
        </m:r>
      </m:oMath>
      <w:r>
        <w:rPr>
          <w:rFonts w:ascii="Times New Roman" w:hAnsi="Times New Roman"/>
          <w:b w:val="0"/>
          <w:i/>
          <w:sz w:val="20"/>
        </w:rPr>
        <w:t xml:space="preserve"> </w:t>
      </w:r>
      <w:r>
        <w:rPr>
          <w:rFonts w:ascii="Times New Roman" w:hAnsi="Times New Roman"/>
          <w:b w:val="0"/>
          <w:i/>
          <w:sz w:val="20"/>
        </w:rPr>
        <w:t xml:space="preserve">over-rejects.</w:t>
      </w:r>
    </w:p>
    <w:p>
      <w:pPr>
        <w:pStyle w:val="Subtitle"/>
        <w:spacing w:before="0" w:after="160"/>
        <w:jc w:val="center"/>
        <w:keepNext w:val="0"/>
        <w:keepLines/>
        <w:widowControl w:val="1"/>
      </w:pPr>
      <w:r>
        <w:rPr>
          <w:rFonts w:ascii="Times New Roman" w:hAnsi="Times New Roman"/>
          <w:b w:val="0"/>
          <w:bCs/>
          <w:i/>
          <w:sz w:val="20"/>
        </w:rPr>
        <w:t xml:space="preserve">Why this matters for the methodology.</w:t>
      </w:r>
      <w:r>
        <w:rPr>
          <w:rFonts w:ascii="Times New Roman" w:hAnsi="Times New Roman"/>
          <w:b w:val="0"/>
          <w:i/>
          <w:sz w:val="20"/>
        </w:rPr>
        <w:t xml:space="preserve"> </w:t>
      </w:r>
      <w:r>
        <w:rPr>
          <w:rFonts w:ascii="Times New Roman" w:hAnsi="Times New Roman"/>
          <w:b w:val="0"/>
          <w:i/>
          <w:sz w:val="20"/>
        </w:rPr>
        <w:t xml:space="preserve">The chemist SMARTS catalog and the hazard head are complementary in a useful way: the SMARTS catalog encodes</w:t>
      </w:r>
      <w:r>
        <w:rPr>
          <w:rFonts w:ascii="Times New Roman" w:hAnsi="Times New Roman"/>
          <w:b w:val="0"/>
          <w:i/>
          <w:sz w:val="20"/>
        </w:rPr>
        <w:t xml:space="preserve"> </w:t>
      </w:r>
      <w:r>
        <w:rPr>
          <w:rFonts w:ascii="Times New Roman" w:hAnsi="Times New Roman"/>
          <w:b w:val="0"/>
          <w:i/>
          <w:iCs/>
          <w:sz w:val="20"/>
        </w:rPr>
        <w:t xml:space="preserve">known motif-level hazards</w:t>
      </w:r>
      <w:r>
        <w:rPr>
          <w:rFonts w:ascii="Times New Roman" w:hAnsi="Times New Roman"/>
          <w:b w:val="0"/>
          <w:i/>
          <w:sz w:val="20"/>
        </w:rPr>
        <w:t xml:space="preserve"> </w:t>
      </w:r>
      <w:r>
        <w:rPr>
          <w:rFonts w:ascii="Times New Roman" w:hAnsi="Times New Roman"/>
          <w:b w:val="0"/>
          <w:i/>
          <w:sz w:val="20"/>
        </w:rPr>
        <w:t xml:space="preserve">(a hard interpretable rule), while the hazard head encodes</w:t>
      </w:r>
      <w:r>
        <w:rPr>
          <w:rFonts w:ascii="Times New Roman" w:hAnsi="Times New Roman"/>
          <w:b w:val="0"/>
          <w:i/>
          <w:sz w:val="20"/>
        </w:rPr>
        <w:t xml:space="preserve"> </w:t>
      </w:r>
      <w:r>
        <w:rPr>
          <w:rFonts w:ascii="Times New Roman" w:hAnsi="Times New Roman"/>
          <w:b w:val="0"/>
          <w:i/>
          <w:iCs/>
          <w:sz w:val="20"/>
        </w:rPr>
        <w:t xml:space="preserve">latent-space proximity to hazardous chemistry</w:t>
      </w:r>
      <w:r>
        <w:rPr>
          <w:rFonts w:ascii="Times New Roman" w:hAnsi="Times New Roman"/>
          <w:b w:val="0"/>
          <w:i/>
          <w:sz w:val="20"/>
        </w:rPr>
        <w:t xml:space="preserve"> </w:t>
      </w:r>
      <w:r>
        <w:rPr>
          <w:rFonts w:ascii="Times New Roman" w:hAnsi="Times New Roman"/>
          <w:b w:val="0"/>
          <w:i/>
          <w:sz w:val="20"/>
        </w:rPr>
        <w:t xml:space="preserve">(a soft generalisation that can flag motifs the rule writer didn't anticipate).</w:t>
      </w:r>
    </w:p>
    <w:bookmarkEnd w:id="31"/>
    <w:bookmarkStart w:id="32" w:name="d.13-e2-filter-scope-note"/>
    <w:p>
      <w:pPr>
        <w:pStyle w:val="Subtitle"/>
        <w:spacing w:before="0" w:after="40"/>
        <w:jc w:val="center"/>
        <w:keepNext/>
        <w:keepLines/>
        <w:widowControl w:val="1"/>
      </w:pPr>
      <w:r>
        <w:rPr>
          <w:rFonts w:ascii="Times New Roman" w:hAnsi="Times New Roman"/>
          <w:b/>
          <w:i w:val="0"/>
          <w:sz w:val="24"/>
        </w:rPr>
        <w:t xml:space="preserve">D.13 E2 filter-scope note</w:t>
      </w:r>
    </w:p>
    <w:p>
      <w:pPr>
        <w:pStyle w:val="Subtitle"/>
        <w:spacing w:before="0" w:after="160"/>
        <w:jc w:val="center"/>
        <w:keepNext w:val="0"/>
        <w:keepLines/>
        <w:widowControl w:val="1"/>
      </w:pPr>
      <w:r>
        <w:rPr>
          <w:rFonts w:ascii="Times New Roman" w:hAnsi="Times New Roman"/>
          <w:b w:val="0"/>
          <w:i/>
          <w:sz w:val="20"/>
        </w:rPr>
        <w:t xml:space="preserve">E2 (gem-dinitro nitramine,</w:t>
      </w:r>
      <w:r>
        <w:rPr>
          <w:rFonts w:ascii="Times New Roman" w:hAnsi="Times New Roman"/>
          <w:b w:val="0"/>
          <w:i/>
          <w:sz w:val="20"/>
        </w:rPr>
        <w:t xml:space="preserve"> </w:t>
      </w:r>
      <w:r>
        <w:rPr>
          <w:rStyle w:val="VerbatimChar"/>
          <w:rFonts w:ascii="Times New Roman" w:hAnsi="Times New Roman"/>
          <w:b w:val="0"/>
          <w:i/>
          <w:sz w:val="20"/>
        </w:rPr>
        <w:t xml:space="preserve">O=[N+]([O-])NC([N+](=O)[O-])[N+](=O)[O-]</w:t>
      </w:r>
      <w:r>
        <w:rPr>
          <w:rFonts w:ascii="Times New Roman" w:hAnsi="Times New Roman"/>
          <w:b w:val="0"/>
          <w:i/>
          <w:sz w:val="20"/>
        </w:rPr>
        <w:t xml:space="preserve">, CH</w:t>
      </w:r>
      <w:r>
        <w:rPr>
          <w:rFonts w:ascii="Times New Roman" w:hAnsi="Times New Roman"/>
          <w:b w:val="0"/>
          <w:i/>
          <w:sz w:val="20"/>
          <w:vertAlign w:val="subscript"/>
        </w:rPr>
        <w:t xml:space="preserve">2</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6</w:t>
      </w:r>
      <w:r>
        <w:rPr>
          <w:rFonts w:ascii="Times New Roman" w:hAnsi="Times New Roman"/>
          <w:b w:val="0"/>
          <w:i/>
          <w:sz w:val="20"/>
        </w:rPr>
        <w:t xml:space="preserve">) carries 3 nitro groups on a 1-carbon skeleton and should be rejected by the §4.10 hard rule "≥3 nitro groups on a 1- or 2-carbon skeleton". The production reranker filter</w:t>
      </w:r>
      <w:r>
        <w:rPr>
          <w:rFonts w:ascii="Times New Roman" w:hAnsi="Times New Roman"/>
          <w:b w:val="0"/>
          <w:i/>
          <w:sz w:val="20"/>
        </w:rPr>
        <w:t xml:space="preserve"> </w:t>
      </w:r>
      <w:r>
        <w:rPr>
          <w:rStyle w:val="VerbatimChar"/>
          <w:rFonts w:ascii="Times New Roman" w:hAnsi="Times New Roman"/>
          <w:b w:val="0"/>
          <w:i/>
          <w:sz w:val="20"/>
        </w:rPr>
        <w:t xml:space="preserve">chem_redflags.screen()</w:t>
      </w:r>
      <w:r>
        <w:rPr>
          <w:rFonts w:ascii="Times New Roman" w:hAnsi="Times New Roman"/>
          <w:b w:val="0"/>
          <w:i/>
          <w:sz w:val="20"/>
        </w:rPr>
        <w:t xml:space="preserve"> </w:t>
      </w:r>
      <w:r>
        <w:rPr>
          <w:rFonts w:ascii="Times New Roman" w:hAnsi="Times New Roman"/>
          <w:b w:val="0"/>
          <w:i/>
          <w:sz w:val="20"/>
        </w:rPr>
        <w:t xml:space="preserve">does reject E2 via its</w:t>
      </w:r>
      <w:r>
        <w:rPr>
          <w:rFonts w:ascii="Times New Roman" w:hAnsi="Times New Roman"/>
          <w:b w:val="0"/>
          <w:i/>
          <w:sz w:val="20"/>
        </w:rPr>
        <w:t xml:space="preserve"> </w:t>
      </w:r>
      <w:r>
        <w:rPr>
          <w:rStyle w:val="VerbatimChar"/>
          <w:rFonts w:ascii="Times New Roman" w:hAnsi="Times New Roman"/>
          <w:b w:val="0"/>
          <w:i/>
          <w:sz w:val="20"/>
        </w:rPr>
        <w:t xml:space="preserve">nC≤2 and n_NO2≥3</w:t>
      </w:r>
      <w:r>
        <w:rPr>
          <w:rFonts w:ascii="Times New Roman" w:hAnsi="Times New Roman"/>
          <w:b w:val="0"/>
          <w:i/>
          <w:sz w:val="20"/>
        </w:rPr>
        <w:t xml:space="preserve"> </w:t>
      </w:r>
      <w:r>
        <w:rPr>
          <w:rFonts w:ascii="Times New Roman" w:hAnsi="Times New Roman"/>
          <w:b w:val="0"/>
          <w:i/>
          <w:sz w:val="20"/>
        </w:rPr>
        <w:t xml:space="preserve">rule (nC=1, nNO2=3); the lighter</w:t>
      </w:r>
      <w:r>
        <w:rPr>
          <w:rFonts w:ascii="Times New Roman" w:hAnsi="Times New Roman"/>
          <w:b w:val="0"/>
          <w:i/>
          <w:sz w:val="20"/>
        </w:rPr>
        <w:t xml:space="preserve"> </w:t>
      </w:r>
      <w:r>
        <w:rPr>
          <w:rStyle w:val="VerbatimChar"/>
          <w:rFonts w:ascii="Times New Roman" w:hAnsi="Times New Roman"/>
          <w:b w:val="0"/>
          <w:i/>
          <w:sz w:val="20"/>
        </w:rPr>
        <w:t xml:space="preserve">chem_filter.chem_filter_batch()</w:t>
      </w:r>
      <w:r>
        <w:rPr>
          <w:rFonts w:ascii="Times New Roman" w:hAnsi="Times New Roman"/>
          <w:b w:val="0"/>
          <w:i/>
          <w:sz w:val="20"/>
        </w:rPr>
        <w:t xml:space="preserve"> </w:t>
      </w:r>
      <w:r>
        <w:rPr>
          <w:rFonts w:ascii="Times New Roman" w:hAnsi="Times New Roman"/>
          <w:b w:val="0"/>
          <w:i/>
          <w:sz w:val="20"/>
        </w:rP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km/s, flagged in Table 7) is an upper-bound estimate only.</w:t>
      </w:r>
    </w:p>
    <w:bookmarkEnd w:id="32"/>
    <w:bookmarkStart w:id="33" w:name="d.14-aizynthfinder-route-detail-for-l1"/>
    <w:p>
      <w:pPr>
        <w:pStyle w:val="Subtitle"/>
        <w:spacing w:before="0" w:after="40"/>
        <w:jc w:val="center"/>
        <w:keepNext/>
        <w:keepLines/>
        <w:widowControl w:val="1"/>
      </w:pPr>
      <w:r>
        <w:rPr>
          <w:rFonts w:ascii="Times New Roman" w:hAnsi="Times New Roman"/>
          <w:b/>
          <w:i w:val="0"/>
          <w:sz w:val="24"/>
        </w:rPr>
        <w:t xml:space="preserve">D.14 AiZynthFinder route detail for L1</w:t>
      </w:r>
    </w:p>
    <w:p>
      <w:pPr>
        <w:pStyle w:val="Subtitle"/>
        <w:spacing w:before="0" w:after="160"/>
        <w:jc w:val="center"/>
        <w:keepNext w:val="0"/>
        <w:keepLines/>
        <w:widowControl w:val="1"/>
      </w:pPr>
      <w:r>
        <w:rPr>
          <w:rFonts w:ascii="Times New Roman" w:hAnsi="Times New Roman"/>
          <w:b w:val="0"/>
          <w:i/>
          <w:sz w:val="20"/>
        </w:rPr>
        <w:t xml:space="preserve">This appendix gives the full disconnection narrative for the §5.4 AiZynthFinder retrosynthesis audit on L1 (3,4,5-trinitro-1,2-isoxazole), the negative-result discussion for L4, L5, and the nine extension leads, and the drug-domain template-bias argument. The headline is reported in §5.4 (1/12 USPTO-template hit rate; L1 reachable in 4 steps with state score 0.50; nine-lead extension reproduces the population finding).</w:t>
      </w:r>
    </w:p>
    <w:p>
      <w:pPr>
        <w:pStyle w:val="Subtitle"/>
        <w:spacing w:before="0" w:after="160"/>
        <w:jc w:val="center"/>
        <w:keepNext w:val="0"/>
        <w:keepLines/>
        <w:widowControl w:val="1"/>
      </w:pPr>
      <w:r>
        <w:rPr>
          <w:rFonts w:ascii="Times New Roman" w:hAnsi="Times New Roman"/>
          <w:b w:val="0"/>
          <w:bCs/>
          <w:i/>
          <w:sz w:val="20"/>
        </w:rPr>
        <w:t xml:space="preserve">L1 disconnection sequence.</w:t>
      </w:r>
      <w:r>
        <w:rPr>
          <w:rFonts w:ascii="Times New Roman" w:hAnsi="Times New Roman"/>
          <w:b w:val="0"/>
          <w:i/>
          <w:sz w:val="20"/>
        </w:rPr>
        <w:t xml:space="preserve"> </w:t>
      </w:r>
      <w:r>
        <w:rPr>
          <w:rFonts w:ascii="Times New Roman" w:hAnsi="Times New Roman"/>
          <w:b w:val="0"/>
          <w:i/>
          <w:sz w:val="20"/>
        </w:rPr>
        <w:t xml:space="preserve">Reading</w:t>
      </w:r>
      <w:r>
        <w:rPr>
          <w:rFonts w:ascii="Times New Roman" w:hAnsi="Times New Roman"/>
          <w:b w:val="0"/>
          <w:i/>
          <w:sz w:val="20"/>
        </w:rPr>
        <w:t xml:space="preserve"> </w:t>
      </w:r>
      <w:r>
        <w:rPr>
          <w:rStyle w:val="VerbatimChar"/>
          <w:rFonts w:ascii="Times New Roman" w:hAnsi="Times New Roman"/>
          <w:b w:val="0"/>
          <w:i/>
          <w:sz w:val="20"/>
        </w:rPr>
        <w:t xml:space="preserve">aizynth_results.json</w:t>
      </w:r>
      <w:r>
        <w:rPr>
          <w:rFonts w:ascii="Times New Roman" w:hAnsi="Times New Roman"/>
          <w:b w:val="0"/>
          <w:i/>
          <w:sz w:val="20"/>
        </w:rPr>
        <w:t xml:space="preserve"> </w:t>
      </w:r>
      <w:r>
        <w:rPr>
          <w:rFonts w:ascii="Times New Roman" w:hAnsi="Times New Roman"/>
          <w:b w:val="0"/>
          <w:i/>
          <w:sz w:val="20"/>
        </w:rPr>
        <w:t xml:space="preserve">outside-in: the terminal disconnection at the L1 target is a one-step electrophilic ring-nitration of 4,5-dinitro-1,2-isoxazole with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(USPTO template hash</w:t>
      </w:r>
      <w:r>
        <w:rPr>
          <w:rFonts w:ascii="Times New Roman" w:hAnsi="Times New Roman"/>
          <w:b w:val="0"/>
          <w:i/>
          <w:sz w:val="20"/>
        </w:rPr>
        <w:t xml:space="preserve"> </w:t>
      </w:r>
      <w:r>
        <w:rPr>
          <w:rStyle w:val="VerbatimChar"/>
          <w:rFonts w:ascii="Times New Roman" w:hAnsi="Times New Roman"/>
          <w:b w:val="0"/>
          <w:i/>
          <w:sz w:val="20"/>
        </w:rPr>
        <w:t xml:space="preserve">acb27933</w:t>
      </w:r>
      <w:r>
        <w:rPr>
          <w:rFonts w:ascii="Times New Roman" w:hAnsi="Times New Roman"/>
          <w:b w:val="0"/>
          <w:i/>
          <w:sz w:val="20"/>
        </w:rPr>
        <w:t xml:space="preserve">, policy probability 0.156, rank 0). Caveat: 4,5-dinitro-1,2-isoxazole is strongly electron-deficient and a third C-nitration under standard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alone is unlikely at this deactivation level; literature routes for trinitrated five-membered heterocycles use fuming HNO</w:t>
      </w:r>
      <w:r>
        <w:rPr>
          <w:rFonts w:ascii="Times New Roman" w:hAnsi="Times New Roman"/>
          <w:b w:val="0"/>
          <w:i/>
          <w:sz w:val="20"/>
          <w:vertAlign w:val="subscript"/>
        </w:rPr>
        <w:t xml:space="preserve">3</w:t>
      </w:r>
      <w:r>
        <w:rPr>
          <w:rFonts w:ascii="Times New Roman" w:hAnsi="Times New Roman"/>
          <w:b w:val="0"/>
          <w:i/>
          <w:sz w:val="20"/>
        </w:rPr>
        <w:t xml:space="preserve">/oleum or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hyperlink w:anchor="ref-sabatini2018">
        <w:r>
          <w:rPr>
            <w:rStyle w:val="Hyperlink"/>
          </w:rPr>
          <w:t xml:space="preserve">[62]</w:t>
        </w:r>
      </w:hyperlink>
      <w:r>
        <w:rPr>
          <w:rFonts w:ascii="Times New Roman" w:hAnsi="Times New Roman"/>
          <w:b w:val="0"/>
          <w:i/>
          <w:sz w:val="20"/>
        </w:rP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rPr>
          <w:rFonts w:ascii="Times New Roman" w:hAnsi="Times New Roman"/>
          <w:b w:val="0"/>
          <w:i/>
          <w:sz w:val="20"/>
        </w:rPr>
        <w:t xml:space="preserve"> </w:t>
      </w:r>
      <w:r>
        <w:rPr>
          <w:rFonts w:ascii="Times New Roman" w:hAnsi="Times New Roman"/>
          <w:b w:val="0"/>
          <w:bCs/>
          <w:i/>
          <w:sz w:val="20"/>
        </w:rPr>
        <w:t xml:space="preserve">Hazard note:</w:t>
      </w:r>
      <w:r>
        <w:rPr>
          <w:rFonts w:ascii="Times New Roman" w:hAnsi="Times New Roman"/>
          <w:b w:val="0"/>
          <w:i/>
          <w:sz w:val="20"/>
        </w:rPr>
        <w:t xml:space="preserve"> </w:t>
      </w:r>
      <w:r>
        <w:rPr>
          <w:rFonts w:ascii="Times New Roman" w:hAnsi="Times New Roman"/>
          <w:b w:val="0"/>
          <w:i/>
          <w:sz w:val="20"/>
        </w:rP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rPr>
          <w:rFonts w:ascii="Times New Roman" w:hAnsi="Times New Roman"/>
          <w:b w:val="0"/>
          <w:i/>
          <w:sz w:val="20"/>
        </w:rPr>
        <w:t xml:space="preserve"> </w:t>
      </w:r>
      <w:r>
        <w:rPr>
          <w:rFonts w:ascii="Times New Roman" w:hAnsi="Times New Roman"/>
          <w:b w:val="0"/>
          <w:i/>
          <w:sz w:val="20"/>
        </w:rPr>
        <w:t xml:space="preserve">−10 °C throughout the azide stage), in-situ trapping of the resulting isocyanate, and appropriate explosive-handling facilities.</w:t>
      </w:r>
    </w:p>
    <w:p>
      <w:pPr>
        <w:pStyle w:val="Subtitle"/>
        <w:spacing w:before="0" w:after="160"/>
        <w:jc w:val="center"/>
        <w:keepNext w:val="0"/>
        <w:keepLines/>
        <w:widowControl w:val="1"/>
      </w:pPr>
      <w:r>
        <w:rPr>
          <w:rFonts w:ascii="Times New Roman" w:hAnsi="Times New Roman"/>
          <w:b w:val="0"/>
          <w:bCs/>
          <w:i/>
          <w:sz w:val="20"/>
        </w:rPr>
        <w:t xml:space="preserve">ZINC catalog gap.</w:t>
      </w:r>
      <w:r>
        <w:rPr>
          <w:rFonts w:ascii="Times New Roman" w:hAnsi="Times New Roman"/>
          <w:b w:val="0"/>
          <w:i/>
          <w:sz w:val="20"/>
        </w:rPr>
        <w:t xml:space="preserve"> </w:t>
      </w:r>
      <w:r>
        <w:rPr>
          <w:rFonts w:ascii="Times New Roman" w:hAnsi="Times New Roman"/>
          <w:b w:val="0"/>
          <w:i/>
          <w:sz w:val="20"/>
        </w:rPr>
        <w:t xml:space="preserve">Of the leaf precursors enumerated by AiZynth, only</w:t>
      </w:r>
      <w:r>
        <w:rPr>
          <w:rFonts w:ascii="Times New Roman" w:hAnsi="Times New Roman"/>
          <w:b w:val="0"/>
          <w:i/>
          <w:sz w:val="20"/>
        </w:rPr>
        <w:t xml:space="preserve"> </w:t>
      </w:r>
      <w:r>
        <w:rPr>
          <w:rFonts w:ascii="Times New Roman" w:hAnsi="Times New Roman"/>
          <w:b w:val="0"/>
          <w:i/>
          <w:iCs/>
          <w:sz w:val="20"/>
        </w:rPr>
        <w:t xml:space="preserve">tert</w:t>
      </w:r>
      <w:r>
        <w:rPr>
          <w:rFonts w:ascii="Times New Roman" w:hAnsi="Times New Roman"/>
          <w:b w:val="0"/>
          <w:i/>
          <w:sz w:val="20"/>
        </w:rPr>
        <w:t xml:space="preserve">-butanol and DPPA are flagged</w:t>
      </w:r>
      <w:r>
        <w:rPr>
          <w:rFonts w:ascii="Times New Roman" w:hAnsi="Times New Roman"/>
          <w:b w:val="0"/>
          <w:i/>
          <w:sz w:val="20"/>
        </w:rPr>
        <w:t xml:space="preserve"> </w:t>
      </w:r>
      <w:r>
        <w:rPr>
          <w:rStyle w:val="VerbatimChar"/>
          <w:rFonts w:ascii="Times New Roman" w:hAnsi="Times New Roman"/>
          <w:b w:val="0"/>
          <w:i/>
          <w:sz w:val="20"/>
        </w:rPr>
        <w:t xml:space="preserve">in_stock: true</w:t>
      </w:r>
      <w:r>
        <w:rPr>
          <w:rFonts w:ascii="Times New Roman" w:hAnsi="Times New Roman"/>
          <w:b w:val="0"/>
          <w:i/>
          <w:sz w:val="20"/>
        </w:rPr>
        <w:t xml:space="preserve"> </w:t>
      </w:r>
      <w:r>
        <w:rPr>
          <w:rFonts w:ascii="Times New Roman" w:hAnsi="Times New Roman"/>
          <w:b w:val="0"/>
          <w:i/>
          <w:sz w:val="20"/>
        </w:rPr>
        <w:t xml:space="preserve">against the ZINC catalog; the four energetic-domain intermediates (4,5-dinitro-1,2-isoxazole, its 3-amino derivative, the Boc-protected amine, and the 3-carboxylic acid) are all</w:t>
      </w:r>
      <w:r>
        <w:rPr>
          <w:rFonts w:ascii="Times New Roman" w:hAnsi="Times New Roman"/>
          <w:b w:val="0"/>
          <w:i/>
          <w:sz w:val="20"/>
        </w:rPr>
        <w:t xml:space="preserve"> </w:t>
      </w:r>
      <w:r>
        <w:rPr>
          <w:rStyle w:val="VerbatimChar"/>
          <w:rFonts w:ascii="Times New Roman" w:hAnsi="Times New Roman"/>
          <w:b w:val="0"/>
          <w:i/>
          <w:sz w:val="20"/>
        </w:rPr>
        <w:t xml:space="preserve">in_stock: false</w:t>
      </w:r>
      <w:r>
        <w:rPr>
          <w:rFonts w:ascii="Times New Roman" w:hAnsi="Times New Roman"/>
          <w:b w:val="0"/>
          <w:i/>
          <w:sz w:val="20"/>
        </w:rP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Subtitle"/>
        <w:spacing w:before="0" w:after="160"/>
        <w:jc w:val="center"/>
        <w:keepNext w:val="0"/>
        <w:keepLines/>
        <w:widowControl w:val="1"/>
      </w:pPr>
      <w:r>
        <w:rPr>
          <w:rFonts w:ascii="Times New Roman" w:hAnsi="Times New Roman"/>
          <w:b w:val="0"/>
          <w:bCs/>
          <w:i/>
          <w:sz w:val="20"/>
        </w:rPr>
        <w:t xml:space="preserve">Negative results on L4, L5, and the nine extension leads.</w:t>
      </w:r>
      <w:r>
        <w:rPr>
          <w:rFonts w:ascii="Times New Roman" w:hAnsi="Times New Roman"/>
          <w:b w:val="0"/>
          <w:i/>
          <w:sz w:val="20"/>
        </w:rPr>
        <w:t xml:space="preserve"> </w:t>
      </w:r>
      <w:r>
        <w:rPr>
          <w:rFonts w:ascii="Times New Roman" w:hAnsi="Times New Roman"/>
          <w:b w:val="0"/>
          <w:i/>
          <w:sz w:val="20"/>
        </w:rP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ring-closure or for the acyl-oxime-O-NO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linkage. The negative result is not a search-budget artefact: a follow-up run at 5</w:t>
      </w:r>
      <m:oMath>
        <m:r>
          <m:rPr>
            <m:sty m:val="p"/>
          </m:rPr>
          <m:t>×</m:t>
        </m:r>
      </m:oMath>
      <w:r>
        <w:rPr>
          <w:rFonts w:ascii="Times New Roman" w:hAnsi="Times New Roman"/>
          <w:b w:val="0"/>
          <w:i/>
          <w:sz w:val="20"/>
        </w:rPr>
        <w:t xml:space="preserve"> </w:t>
      </w:r>
      <w:r>
        <w:rPr>
          <w:rFonts w:ascii="Times New Roman" w:hAnsi="Times New Roman"/>
          <w:b w:val="0"/>
          <w:i/>
          <w:sz w:val="20"/>
        </w:rPr>
        <w:t xml:space="preserve">the original iteration budget (1000 MCTS iter, 1800 s wall) reproduced the same outcome on both leads, with the search exiting in &lt;2 s because no expansion templates fire on the target node. This is a negative result and reflects a known limitation of the public AiZynth distribution: the USPTO template set is drug-discovery-biased and does not include energetics-specific reactions (mixed-acid nitration,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r>
        <w:rPr>
          <w:rFonts w:ascii="Times New Roman" w:hAnsi="Times New Roman"/>
          <w:b w:val="0"/>
          <w:i/>
          <w:sz w:val="20"/>
        </w:rPr>
        <w:t xml:space="preserve">nitrolysis, KMnO</w:t>
      </w:r>
      <w:r>
        <w:rPr>
          <w:rFonts w:ascii="Times New Roman" w:hAnsi="Times New Roman"/>
          <w:b w:val="0"/>
          <w:i/>
          <w:sz w:val="20"/>
          <w:vertAlign w:val="subscript"/>
        </w:rPr>
        <w:t xml:space="preserve">4</w:t>
      </w:r>
      <w:r>
        <w:rPr>
          <w:rFonts w:ascii="Times New Roman" w:hAnsi="Times New Roman"/>
          <w:b w:val="0"/>
          <w:i/>
          <w:sz w:val="20"/>
        </w:rP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Subtitle"/>
        <w:spacing w:before="0" w:after="160"/>
        <w:jc w:val="center"/>
        <w:keepNext w:val="0"/>
        <w:keepLines/>
        <w:widowControl w:val="1"/>
      </w:pPr>
      <w:r>
        <w:rPr>
          <w:rFonts w:ascii="Times New Roman" w:hAnsi="Times New Roman"/>
          <w:b w:val="0"/>
          <w:i/>
          <w:sz w:val="20"/>
        </w:rPr>
        <w:t xml:space="preserve">To test whether the L4/L5 negative result generalises, we reran the same 200-MCTS / 300-s AiZynthFinder protocol on the nine other chem-pass leads (L2, L3, L9, L11, L13, L16, L18, L19, L20). All nine returned no productive routes within budget (</w:t>
      </w:r>
      <w:r>
        <w:rPr>
          <w:rStyle w:val="VerbatimChar"/>
          <w:rFonts w:ascii="Times New Roman" w:hAnsi="Times New Roman"/>
          <w:b w:val="0"/>
          <w:i/>
          <w:sz w:val="20"/>
        </w:rPr>
        <w:t xml:space="preserve">aizynth_results_extension.json</w:t>
      </w:r>
      <w:r>
        <w:rPr>
          <w:rFonts w:ascii="Times New Roman" w:hAnsi="Times New Roman"/>
          <w:b w:val="0"/>
          <w:i/>
          <w:sz w:val="20"/>
        </w:rPr>
        <w:t xml:space="preserve">), with search times ranging from 0.1 s (immediate template-policy rejection at the target node) to 38.8 s (exhaustive enumeration without finding a closed route). The drug-domain-template gap is therefore a population finding rather than an n=2 anecdote: across the twelve chem-pass leads, only L1 (aromatic 1,2-isoxazole with simple ring nitration) is reachable from public USPTO templates; the eleven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eleven; conversion of the L1 4-step disconnection into an actionable wet-lab route additionally requires sourcing of the energetic-domain intermediates that ZINC does not stock.</w:t>
      </w:r>
    </w:p>
    <w:bookmarkEnd w:id="33"/>
    <w:bookmarkEnd w:id="34"/>
    <w:bookmarkStart w:id="35" w:name="sec-app-baseline-examples"/>
    <w:p>
      <w:pPr>
        <w:pStyle w:val="Subtitle"/>
        <w:spacing w:before="0" w:after="40"/>
        <w:jc w:val="center"/>
        <w:keepNext/>
        <w:keepLines/>
        <w:widowControl w:val="1"/>
      </w:pPr>
      <w:r>
        <w:rPr>
          <w:rFonts w:ascii="Times New Roman" w:hAnsi="Times New Roman"/>
          <w:b/>
          <w:i w:val="0"/>
          <w:sz w:val="24"/>
        </w:rPr>
        <w:t xml:space="preserve">E. Baseline-method example outputs</w:t>
      </w:r>
    </w:p>
    <w:p>
      <w:pPr>
        <w:pStyle w:val="Subtitle"/>
        <w:spacing w:before="0" w:after="160"/>
        <w:jc w:val="center"/>
        <w:keepNext w:val="0"/>
        <w:keepLines/>
        <w:widowControl w:val="1"/>
      </w:pPr>
      <w:r>
        <w:rPr>
          <w:rFonts w:ascii="Times New Roman" w:hAnsi="Times New Roman"/>
          <w:b w:val="0"/>
          <w:i/>
          <w:sz w:val="20"/>
        </w:rPr>
        <w:t xml:space="preserve">Tables E.1 and E.2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Subtitle"/>
        <w:spacing w:before="0" w:after="40"/>
        <w:jc w:val="center"/>
        <w:keepNext/>
        <w:keepLines/>
        <w:widowControl w:val="1"/>
      </w:pPr>
      <w:r>
        <w:rPr>
          <w:rFonts w:ascii="Times New Roman" w:hAnsi="Times New Roman"/>
          <w:b/>
          <w:bCs/>
          <w:i w:val="0"/>
          <w:sz w:val="24"/>
        </w:rPr>
        <w:t xml:space="preserve">Table E.1.</w:t>
      </w:r>
      <w:r>
        <w:rPr>
          <w:rFonts w:ascii="Times New Roman" w:hAnsi="Times New Roman"/>
          <w:b/>
          <w:i w:val="0"/>
          <w:sz w:val="24"/>
        </w:rPr>
        <w:t xml:space="preserve"> </w:t>
      </w:r>
      <w:r>
        <w:rPr>
          <w:rFonts w:ascii="Times New Roman" w:hAnsi="Times New Roman"/>
          <w:b/>
          <w:i w:val="0"/>
          <w:sz w:val="24"/>
        </w:rPr>
        <w:t xml:space="preserve">Ten most-novel CHNO-neutral candidates from the MolMIM 70 M pool. Columns: SMILES; molecular formula; exact molecular weight; novelty (1 minus max-Tanimoto to labelled master).</w:t>
      </w:r>
    </w:p>
    <w:tbl>
      <w:tblPr>
        <w:tblStyle w:val="Table"/>
        <w:tblW w:type="pct" w:w="5000"/>
        <w:jc w:val="center"/>
        <w:tblLook w:firstRow="1" w:lastRow="0" w:firstColumn="0" w:lastColumn="0" w:noHBand="0" w:noVBand="0" w:val="0020"/>
        <w:tblCaption w:val="Table E.1. Ten most-novel CHNO-neutral candidates from the MolMIM 70 M pool. Columns: SMILES; molecular formula; exact molecular weight; novelty (1 minus max-Tanimoto to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CO[C@@H]1CCN(CC23CCC(N)(CC2)C3)C[C@@H]1C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N=c1cc[nH]cc1-c1nc(N)nc(N2C[C@H]3CN=C(N4CCCC4)[C@H]3C2)n1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w:t>
            </w:r>
            <w:r>
              <w:rPr>
                <w:rFonts w:ascii="Times New Roman" w:hAnsi="Times New Roman"/>
                <w:sz w:val="19"/>
                <w:vertAlign w:val="subscript"/>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365.21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CC(CN1C[C@H](CO)C2(CCC2)C1)=C1CCC1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25</w:t>
            </w: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C[C@H]1OCCC2=Nc3[nH]c4c(c3CCC[C@@H]21)[C@](C)(O)C4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16</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CC(C)(C)CN1CC(C)(C)C[C@]2(C)C(=O)N3C(=N1)C(=O)NC[C@]3(C)[C@@H]2N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CC(C)CN1CCN(c2nnc(-c3cncnc3)n2C[C@]2(C)CCCO2)CC1=O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20</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399.24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N[C@]1(CC2COCCOC2)CO[C@H](C2CC2)C1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13</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Cc1c(C(=O)N(C)C[C@@H]2CCN(C(=O)Cc3cnoc3)C2)ccn1C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344.18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O=C(CCn1cnccc1=O)NC1(CNC[C@H]2CC[C@H]3C[C@H]3C2)CCCC1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21</w:t>
            </w:r>
            <w:r>
              <w:rPr>
                <w:rFonts w:ascii="Times New Roman" w:hAnsi="Times New Roman"/>
                <w:sz w:val="19"/>
              </w:rPr>
              <w:t xml:space="preserve">H</w:t>
            </w:r>
            <w:r>
              <w:rPr>
                <w:rFonts w:ascii="Times New Roman" w:hAnsi="Times New Roman"/>
                <w:sz w:val="19"/>
                <w:vertAlign w:val="subscript"/>
              </w:rPr>
              <w:t xml:space="preserve">32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CO[C@@H]1CCCCN(c2nnc([C@]3(C)CNC(=O)C3)n2CC2CC2)C1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347.23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bl>
    <w:p/>
    <w:p>
      <w:pPr>
        <w:pStyle w:val="Subtitle"/>
        <w:spacing w:before="0" w:after="40"/>
        <w:jc w:val="center"/>
        <w:keepNext/>
        <w:keepLines/>
        <w:widowControl w:val="1"/>
      </w:pPr>
      <w:r>
        <w:rPr>
          <w:rFonts w:ascii="Times New Roman" w:hAnsi="Times New Roman"/>
          <w:b/>
          <w:bCs/>
          <w:i w:val="0"/>
          <w:sz w:val="24"/>
        </w:rPr>
        <w:t xml:space="preserve">Table E.2.</w:t>
      </w:r>
      <w:r>
        <w:rPr>
          <w:rFonts w:ascii="Times New Roman" w:hAnsi="Times New Roman"/>
          <w:b/>
          <w:i w:val="0"/>
          <w:sz w:val="24"/>
        </w:rPr>
        <w:t xml:space="preserve"> </w:t>
      </w:r>
      <w:r>
        <w:rPr>
          <w:rFonts w:ascii="Times New Roman" w:hAnsi="Times New Roman"/>
          <w:b/>
          <w:i w:val="0"/>
          <w:sz w:val="24"/>
        </w:rPr>
        <w:t xml:space="preserve">Ten most-novel CHNO-neutral candidates from the SMILES-LSTM pool. Columns as Table E.1.</w:t>
      </w:r>
    </w:p>
    <w:tbl>
      <w:tblPr>
        <w:tblStyle w:val="Table"/>
        <w:tblW w:type="pct" w:w="5000"/>
        <w:jc w:val="center"/>
        <w:tblLook w:firstRow="1" w:lastRow="0" w:firstColumn="0" w:lastColumn="0" w:noHBand="0" w:noVBand="0" w:val="0020"/>
        <w:tblCaption w:val="Table E.2. Ten most-novel CHNO-neutral candidates from the SMILES-LSTM pool. Columns as Table E.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O=C(O[C@@H]1C[C@H]2CC[C@H]3O[C@]2(C1)C1=C3CCCC1)C(=O)C1CC1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CC(=N)OC(=O)OC12OC(OCCO)C1O2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11</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CC[C@H](c1cccc2ccccc12)[C@@H](/C=C/C[C@]1(C)C(=O)N2C(=O)N=C(OC)O[C@H]2[C@@H]1C(OC)=C(C)O)COC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550.27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CCN1N=C2OC(=O)N=CN=C2C(O)=NC1=NO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8</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CC(=O)[C@@H]1[C@@H](O)[C@H](C(C)(C)C)[C@@H]1N1C(=O)C(=O)N(C)C(=O)CN1[N+](=O)[O-]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CC1N=C2OC(=O)OC2OC(Oc2nnno2)COC1C#N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10</w:t>
            </w:r>
            <w:r>
              <w:rPr>
                <w:rFonts w:ascii="Times New Roman" w:hAnsi="Times New Roman"/>
                <w:sz w:val="19"/>
              </w:rPr>
              <w:t xml:space="preserve">H</w:t>
            </w:r>
            <w:r>
              <w:rPr>
                <w:rFonts w:ascii="Times New Roman" w:hAnsi="Times New Roman"/>
                <w:sz w:val="19"/>
                <w:vertAlign w:val="subscript"/>
              </w:rPr>
              <w:t xml:space="preserve">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311.05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C[C@@H]([C@@H]1C=C(/C=C\C=C2\CCCCN2C)[C@]2(C=Nc3ccccc32)C(=O)[C@@H]1OCc1ccccc1)[N+](=O)[O-]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C=C1N=C2OC(=O)N2C(=O)COC(=O)NC1=O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CC12OC(O1)C(=O)C(=O)N(C=O)OCC2=O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7</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COC(=O)N1CCCC(C)(C)N1O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16</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188.12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0.730</w:t>
            </w:r>
          </w:p>
        </w:tc>
      </w:tr>
    </w:tbl>
    <w:bookmarkEnd w:id="35"/>
    <w:bookmarkStart w:id="45" w:name="sec-app-detailed-ablations"/>
    <w:p>
      <w:pPr>
        <w:pStyle w:val="Subtitle"/>
        <w:spacing w:before="0" w:after="40"/>
        <w:jc w:val="center"/>
        <w:keepNext/>
        <w:keepLines/>
        <w:widowControl w:val="1"/>
      </w:pPr>
      <w:r>
        <w:rPr>
          <w:rFonts w:ascii="Times New Roman" w:hAnsi="Times New Roman"/>
          <w:b/>
          <w:i w:val="0"/>
          <w:sz w:val="24"/>
        </w:rPr>
        <w:t xml:space="preserve">F. Detailed ablations (migrated from §5.6)</w:t>
      </w:r>
    </w:p>
    <w:p>
      <w:pPr>
        <w:pStyle w:val="Subtitle"/>
        <w:spacing w:before="0" w:after="160"/>
        <w:jc w:val="center"/>
        <w:keepNext w:val="0"/>
        <w:keepLines/>
        <w:widowControl w:val="1"/>
      </w:pPr>
      <w:r>
        <w:rPr>
          <w:rFonts w:ascii="Times New Roman" w:hAnsi="Times New Roman"/>
          <w:b w:val="0"/>
          <w:i/>
          <w:sz w:val="20"/>
        </w:rPr>
        <w:t xml:space="preserve">This appendix collects the full prose, sub-tables, and figures for each ablation summarised in Table 9. The body §5.6 carries only the headline numbers; this appendix carries the per-condition detail.</w:t>
      </w:r>
    </w:p>
    <w:bookmarkStart w:id="36" w:name="X7f46fb8cf73c908041506efc0a6b47d5c886f1f"/>
    <w:p>
      <w:pPr>
        <w:pStyle w:val="Subtitle"/>
        <w:spacing w:before="0" w:after="40"/>
        <w:jc w:val="center"/>
        <w:keepNext/>
        <w:keepLines/>
        <w:widowControl w:val="1"/>
      </w:pPr>
      <w:r>
        <w:rPr>
          <w:rFonts w:ascii="Times New Roman" w:hAnsi="Times New Roman"/>
          <w:b/>
          <w:i w:val="0"/>
          <w:sz w:val="24"/>
        </w:rPr>
        <w:t xml:space="preserve">F.1 Self-distillation hard-negative budget (137 vs 918)</w:t>
      </w:r>
    </w:p>
    <w:p>
      <w:pPr>
        <w:pStyle w:val="Subtitle"/>
        <w:spacing w:before="0" w:after="160"/>
        <w:jc w:val="center"/>
        <w:keepNext w:val="0"/>
        <w:keepLines/>
        <w:widowControl w:val="1"/>
      </w:pPr>
      <w:r>
        <w:rPr>
          <w:rFonts w:ascii="Times New Roman" w:hAnsi="Times New Roman"/>
          <w:b w:val="0"/>
          <w:i/>
          <w:sz w:val="20"/>
        </w:rPr>
        <w:t xml:space="preserve">A viability-head ablation comparing 137-vs-918 hard-negative budgets shows that score-model discriminative power scales directly with structurally-diverse latent negatives; the 918-budget run is required for the §4.8 self-distillation refinement to deliver its discriminative gain. The round-1 viability head (137 mined hard negatives encoded as viab=0) and the round-2 production checkpoint (918 mined hard negatives plus an aromatic-heterocycle viability boost</w:t>
      </w:r>
      <w:r>
        <w:rPr>
          <w:rFonts w:ascii="Times New Roman" w:hAnsi="Times New Roman"/>
          <w:b w:val="0"/>
          <w:i/>
          <w:sz w:val="20"/>
        </w:rPr>
        <w:t xml:space="preserve"> </w:t>
      </w:r>
      <m:oMath>
        <m:r>
          <m:rPr>
            <m:sty m:val="p"/>
          </m:rPr>
          <m:t>×</m:t>
        </m:r>
        <m:r>
          <m:t>1.20</m:t>
        </m:r>
      </m:oMath>
      <w:r>
        <w:rPr>
          <w:rFonts w:ascii="Times New Roman" w:hAnsi="Times New Roman"/>
          <w:b w:val="0"/>
          <w:i/>
          <w:sz w:val="20"/>
        </w:rPr>
        <w:t xml:space="preserve">) are evaluated on a held-out 7-anchor / 5-cheat probe (RDX, HMX, TNT, FOX-7, PETN, TATB plus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w:t>
      </w:r>
      <w:r>
        <w:rPr>
          <w:rFonts w:ascii="Times New Roman" w:hAnsi="Times New Roman"/>
          <w:b w:val="0"/>
          <w:i/>
          <w:sz w:val="20"/>
        </w:rPr>
        <w:t xml:space="preserve"> </w:t>
      </w:r>
      <w:hyperlink w:anchor="sec-app">
        <w:r>
          <w:rPr>
            <w:rStyle w:val="Hyperlink"/>
          </w:rPr>
          <w:t xml:space="preserve">Appendix D.9</w:t>
        </w:r>
      </w:hyperlink>
      <w:r>
        <w:rPr>
          <w:rFonts w:ascii="Times New Roman" w:hAnsi="Times New Roman"/>
          <w:b w:val="0"/>
          <w:i/>
          <w:sz w:val="20"/>
        </w:rPr>
        <w:t xml:space="preserve">; the SC-gradient sweep and the heuristic-vs-literature sensitivity-head ablation (Appendix B.2) are in</w:t>
      </w:r>
      <w:r>
        <w:rPr>
          <w:rFonts w:ascii="Times New Roman" w:hAnsi="Times New Roman"/>
          <w:b w:val="0"/>
          <w:i/>
          <w:sz w:val="20"/>
        </w:rPr>
        <w:t xml:space="preserve"> </w:t>
      </w:r>
      <w:hyperlink w:anchor="sec-app">
        <w:r>
          <w:rPr>
            <w:rStyle w:val="Hyperlink"/>
          </w:rPr>
          <w:t xml:space="preserve">Appendix D.6</w:t>
        </w:r>
      </w:hyperlink>
      <w:r>
        <w:rPr>
          <w:rFonts w:ascii="Times New Roman" w:hAnsi="Times New Roman"/>
          <w:b w:val="0"/>
          <w:i/>
          <w:sz w:val="20"/>
        </w:rPr>
        <w:t xml:space="preserve">.</w:t>
      </w:r>
    </w:p>
    <w:p>
      <w:pPr>
        <w:pStyle w:val="Subtitle"/>
        <w:spacing w:before="0" w:after="40"/>
        <w:jc w:val="center"/>
        <w:keepNext/>
        <w:keepLines/>
        <w:widowControl w:val="1"/>
      </w:pPr>
      <w:r>
        <w:rPr>
          <w:rFonts w:ascii="Times New Roman" w:hAnsi="Times New Roman"/>
          <w:b/>
          <w:bCs/>
          <w:i w:val="0"/>
          <w:sz w:val="24"/>
        </w:rPr>
        <w:t xml:space="preserve">Table F.1.</w:t>
      </w:r>
      <w:r>
        <w:rPr>
          <w:rFonts w:ascii="Times New Roman" w:hAnsi="Times New Roman"/>
          <w:b/>
          <w:i w:val="0"/>
          <w:sz w:val="24"/>
        </w:rPr>
        <w:t xml:space="preserve"> </w:t>
      </w:r>
      <w:r>
        <w:rPr>
          <w:rFonts w:ascii="Times New Roman" w:hAnsi="Times New Roman"/>
          <w:b/>
          <w:i w:val="0"/>
          <w:sz w:val="24"/>
        </w:rPr>
        <w:t xml:space="preserve">Hard-negative budget effect on the held-out 7-anchor / 5-cheat probe (numbers from Appendix D.9). Anchor min and cheat max are the per-set extrema of the viability-head output; the worst-offender column tracks the gem-tetranitro model-cheat across budgets.</w:t>
      </w:r>
    </w:p>
    <w:tbl>
      <w:tblPr>
        <w:tblStyle w:val="Table"/>
        <w:tblW w:type="pct" w:w="5000"/>
        <w:jc w:val="center"/>
        <w:tblLook w:firstRow="1" w:lastRow="0" w:firstColumn="0" w:lastColumn="0" w:noHBand="0" w:noVBand="0" w:val="0020"/>
        <w:tblCaption w:val="Table F.1. Hard-negative budget effect on the held-out 7-anchor / 5-cheat probe (numbers from Appendix D.9). Anchor min and cheat max are the per-set extrema of the viability-head output; the worst-offender column tracks the gem-tetranitro model-cheat across budg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HN budget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 min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Cheat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Worst-offender (gem-tetranitro)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(round-1)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 (production)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 (−0.10 absolute)</w:t>
            </w:r>
          </w:p>
        </w:tc>
      </w:tr>
    </w:tbl>
    <w:bookmarkEnd w:id="36"/>
    <w:bookmarkStart w:id="37" w:name="Xdf2932c87349f66e16946a8d44aeed56b1d4c5f"/>
    <w:p>
      <w:pPr>
        <w:pStyle w:val="Subtitle"/>
        <w:spacing w:before="0" w:after="40"/>
        <w:jc w:val="center"/>
        <w:keepNext/>
        <w:keepLines/>
        <w:widowControl w:val="1"/>
      </w:pPr>
      <w:r>
        <w:rPr>
          <w:rFonts w:ascii="Times New Roman" w:hAnsi="Times New Roman"/>
          <w:b/>
          <w:i w:val="0"/>
          <w:sz w:val="24"/>
        </w:rPr>
        <w:t xml:space="preserve">F.2 Diffusion + guidance prior vs Gaussian-latent control</w:t>
      </w:r>
    </w:p>
    <w:p>
      <w:pPr>
        <w:pStyle w:val="Subtitle"/>
        <w:spacing w:before="0" w:after="160"/>
        <w:jc w:val="center"/>
        <w:keepNext w:val="0"/>
        <w:keepLines/>
        <w:widowControl w:val="1"/>
      </w:pPr>
      <w:r>
        <w:rPr>
          <w:rFonts w:ascii="Times New Roman" w:hAnsi="Times New Roman"/>
          <w:b w:val="0"/>
          <w:i/>
          <w:sz w:val="20"/>
        </w:rPr>
        <w:t xml:space="preserve">A 3k-sample Gaussian baseline (LIMO decoder + SMARTS gate + SA/SC caps + Tanimoto window [0.15, 0.65] + Uni-Mol ranking) yields a top-1 composite of 1.10 (</w:t>
      </w:r>
      <m:oMath>
        <m:r>
          <m:t>ρ</m:t>
        </m:r>
        <m:r>
          <m:rPr>
            <m:sty m:val="p"/>
          </m:rPr>
          <m:t>=</m:t>
        </m:r>
        <m:r>
          <m:t>1.89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rPr>
            <m:sty m:val="p"/>
          </m:rPr>
          <m:t>=</m:t>
        </m:r>
        <m:r>
          <m:t>9.02</m:t>
        </m:r>
      </m:oMath>
      <w:r>
        <w:rPr>
          <w:rFonts w:ascii="Times New Roman" w:hAnsi="Times New Roman"/>
          <w:b w:val="0"/>
          <w:i/>
          <w:sz w:val="20"/>
        </w:rPr>
        <w:t xml:space="preserve"> km/s,</w:t>
      </w:r>
      <w:r>
        <w:rPr>
          <w:rFonts w:ascii="Times New Roman" w:hAnsi="Times New Roman"/>
          <w:b w:val="0"/>
          <w:i/>
          <w:sz w:val="20"/>
        </w:rPr>
        <w:t xml:space="preserve"> </w:t>
      </w:r>
      <m:oMath>
        <m:r>
          <m:t>P</m:t>
        </m:r>
        <m:r>
          <m:rPr>
            <m:sty m:val="p"/>
          </m:rPr>
          <m:t>=</m:t>
        </m:r>
        <m:r>
          <m:t>35.9</m:t>
        </m:r>
      </m:oMath>
      <w:r>
        <w:rPr>
          <w:rFonts w:ascii="Times New Roman" w:hAnsi="Times New Roman"/>
          <w:b w:val="0"/>
          <w:i/>
          <w:sz w:val="20"/>
        </w:rPr>
        <w:t xml:space="preserve"> GPa) with a 15 % pipeline keep rate. A compute-matched 40k run (described below and in Table F.2) reveals a qualitatively different picture once the Uni-Mol performance-ranking step is removed.</w:t>
      </w:r>
    </w:p>
    <w:p>
      <w:pPr>
        <w:pStyle w:val="Subtitle"/>
        <w:spacing w:before="0" w:after="160"/>
        <w:jc w:val="center"/>
        <w:keepNext w:val="0"/>
        <w:keepLines/>
        <w:widowControl w:val="1"/>
      </w:pPr>
      <w:r>
        <w:rPr>
          <w:rFonts w:ascii="Times New Roman" w:hAnsi="Times New Roman"/>
          <w:b w:val="0"/>
          <w:i/>
          <w:sz w:val="20"/>
        </w:rPr>
        <w:t xml:space="preserve">A compute-matched Gaussian-latent baseline (40k samples,</w:t>
      </w:r>
      <w:r>
        <w:rPr>
          <w:rFonts w:ascii="Times New Roman" w:hAnsi="Times New Roman"/>
          <w:b w:val="0"/>
          <w:i/>
          <w:sz w:val="20"/>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b w:val="0"/>
          <w:i/>
          <w:sz w:val="20"/>
        </w:rPr>
        <w:t xml:space="preserve"> </w:t>
      </w:r>
      <w:r>
        <w:rPr>
          <w:rFonts w:ascii="Times New Roman" w:hAnsi="Times New Roman"/>
          <w:b w:val="0"/>
          <w:i/>
          <w:sz w:val="20"/>
        </w:rPr>
        <w:t xml:space="preserve">decoded through frozen LIMO, then min-10-HA fragment gate + CHNO SMARTS gate + SA ≤ 6.5 + Tanimoto novelty window [0.15, 0.65]) at matched compute shows a qualitative difference beyond the D-lift: the Gaussian prior achieves a keep rate of 48 % (19 258 / 40 000), far higher than DGLD's 4.6 %, because the Gaussian prior generates mostly chemically plausible</w:t>
      </w:r>
      <w:r>
        <w:rPr>
          <w:rFonts w:ascii="Times New Roman" w:hAnsi="Times New Roman"/>
          <w:b w:val="0"/>
          <w:i/>
          <w:sz w:val="20"/>
        </w:rPr>
        <w:t xml:space="preserve"> </w:t>
      </w:r>
      <w:r>
        <w:rPr>
          <w:rFonts w:ascii="Times New Roman" w:hAnsi="Times New Roman"/>
          <w:b w:val="0"/>
          <w:i/>
          <w:iCs/>
          <w:sz w:val="20"/>
        </w:rPr>
        <w:t xml:space="preserve">but performance-degenerate</w:t>
      </w:r>
      <w:r>
        <w:rPr>
          <w:rFonts w:ascii="Times New Roman" w:hAnsi="Times New Roman"/>
          <w:b w:val="0"/>
          <w:i/>
          <w:sz w:val="20"/>
        </w:rPr>
        <w:t xml:space="preserve"> </w:t>
      </w:r>
      <w:r>
        <w:rPr>
          <w:rFonts w:ascii="Times New Roman" w:hAnsi="Times New Roman"/>
          <w:b w:val="0"/>
          <w:i/>
          <w:sz w:val="20"/>
        </w:rP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rPr>
          <w:rFonts w:ascii="Times New Roman" w:hAnsi="Times New Roman"/>
          <w:b w:val="0"/>
          <w:i/>
          <w:sz w:val="20"/>
        </w:rP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rPr>
          <w:rFonts w:ascii="Times New Roman" w:hAnsi="Times New Roman"/>
          <w:b w:val="0"/>
          <w:i/>
          <w:sz w:val="20"/>
        </w:rPr>
        <w:t xml:space="preserve"> </w:t>
      </w:r>
      <m:oMath>
        <m:r>
          <m:t>D</m:t>
        </m:r>
        <m:r>
          <m:rPr>
            <m:sty m:val="p"/>
          </m:rPr>
          <m:t>=</m:t>
        </m:r>
        <m:r>
          <m:t>9.47</m:t>
        </m:r>
      </m:oMath>
      <w:r>
        <w:rPr>
          <w:rFonts w:ascii="Times New Roman" w:hAnsi="Times New Roman"/>
          <w:b w:val="0"/>
          <w:i/>
          <w:sz w:val="20"/>
        </w:rPr>
        <w:t xml:space="preserve"> km/s). The 48 % vs 4.6 % keep-rate reversal confirms that the diffusion prior's contribution is not in generating chemically plausible molecules (a Gaussian prior does that easily) but in concentrating the distribution on the high-performance tail.</w:t>
      </w:r>
    </w:p>
    <w:p>
      <w:pPr>
        <w:pStyle w:val="Subtitle"/>
        <w:spacing w:before="0" w:after="160"/>
        <w:jc w:val="center"/>
        <w:keepNext w:val="0"/>
        <w:keepLines/>
        <w:widowControl w:val="1"/>
      </w:pPr>
      <w:r>
        <w:rPr>
          <w:rFonts w:ascii="Times New Roman" w:hAnsi="Times New Roman"/>
          <w:b w:val="0"/>
          <w:bCs/>
          <w:i/>
          <w:sz w:val="20"/>
        </w:rPr>
        <w:t xml:space="preserve">Table F.2.</w:t>
      </w:r>
      <w:r>
        <w:rPr>
          <w:rFonts w:ascii="Times New Roman" w:hAnsi="Times New Roman"/>
          <w:b w:val="0"/>
          <w:i/>
          <w:sz w:val="20"/>
        </w:rPr>
        <w:t xml:space="preserve"> </w:t>
      </w:r>
      <w:r>
        <w:rPr>
          <w:rFonts w:ascii="Times New Roman" w:hAnsi="Times New Roman"/>
          <w:b w:val="0"/>
          <w:i/>
          <w:sz w:val="20"/>
        </w:rP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Table"/>
        <w:tblW w:type="pct" w:w="5000"/>
        <w:jc w:val="center"/>
        <w:tblLook w:firstRow="1" w:lastRow="0" w:firstColumn="0" w:lastColumn="0" w:noHBand="0" w:noVBand="0" w:val="0020"/>
        <w:tblCaption w:val="Table F.2. 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 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composite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Keep rate (pipeline def.)</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(3k,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O=[N+]([O-])c1ccncc1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(40k, N-frac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ranked by D; N-fraction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on the DGLD scale)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48 % (SMARTS+SA+min-10-HA)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NC=NCNNCCCNn1cnnn1</w:t>
            </w:r>
            <w:r>
              <w:rPr>
                <w:rFonts w:ascii="Times New Roman" w:hAnsi="Times New Roman"/>
                <w:sz w:val="19"/>
              </w:rPr>
              <w:t xml:space="preserve"> </w:t>
            </w:r>
            <w:r>
              <w:rPr>
                <w:rFonts w:ascii="Times New Roman" w:hAnsi="Times New Roman"/>
                <w:sz w:val="19"/>
              </w:rPr>
              <w:t xml:space="preserve">(15-HA tetrazole chain,</w:t>
            </w:r>
            <w:r>
              <w:rPr>
                <w:rFonts w:ascii="Times New Roman" w:hAnsi="Times New Roman"/>
                <w:sz w:val="19"/>
              </w:rPr>
              <w:t xml:space="preserve"> </w:t>
            </w:r>
            <m:oMath>
              <m:sSub>
                <m:e>
                  <m:r>
                    <m:t>f</m:t>
                  </m:r>
                </m:e>
                <m:sub>
                  <m:r>
                    <m:t>N</m:t>
                  </m:r>
                </m:sub>
              </m:sSub>
              <m:r>
                <m:rPr>
                  <m:sty m:val="p"/>
                </m:rPr>
                <m:t>=</m:t>
              </m:r>
              <m:r>
                <m:t>0.60</m:t>
              </m:r>
            </m:oMath>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diffusion + guidance (M7 100k)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4.6 %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O=[N+]([O-])OC1C([N+](=O)[O-])=C1[N+](=O)[O-]</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Lift (DGLD over Gaussian 3k)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(better)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bl>
    <w:bookmarkEnd w:id="37"/>
    <w:bookmarkStart w:id="41" w:name="X88105d488b1213661e0c16860dffb753f6720de"/>
    <w:p>
      <w:pPr>
        <w:pStyle w:val="Subtitle"/>
        <w:spacing w:before="0" w:after="40"/>
        <w:jc w:val="center"/>
        <w:keepNext/>
        <w:keepLines/>
        <w:widowControl w:val="1"/>
      </w:pPr>
      <w:r>
        <w:rPr>
          <w:rFonts w:ascii="Times New Roman" w:hAnsi="Times New Roman"/>
          <w:b/>
          <w:i w:val="0"/>
          <w:sz w:val="24"/>
        </w:rPr>
        <w:t xml:space="preserve">F.3 Multi-head guidance vs unguided at matched compute</w:t>
      </w:r>
    </w:p>
    <w:p>
      <w:pPr>
        <w:pStyle w:val="Subtitle"/>
        <w:spacing w:before="0" w:after="160"/>
        <w:jc w:val="center"/>
        <w:keepNext w:val="0"/>
        <w:keepLines/>
        <w:widowControl w:val="1"/>
      </w:pPr>
      <w:r>
        <w:rPr>
          <w:rFonts w:ascii="Times New Roman" w:hAnsi="Times New Roman"/>
          <w:b w:val="0"/>
          <w:i/>
          <w:sz w:val="20"/>
        </w:rPr>
        <w:t xml:space="preserve">At pool=10 000 each, with identical denoiser and only the sampler differing, multi-head guidance lifts max composite from 0.64 to 0.69,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from 8.94 to 9.51 km/s, and top-1</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from 34.0 to 38.8 GPa (Figure F.1).</w:t>
      </w:r>
    </w:p>
    <w:p>
      <w:pPr>
        <w:pStyle w:val="BodyText"/>
        <w:jc w:val="center"/>
        <w:keepNext/>
        <w:keepLines/>
        <w:widowControl w:val="1"/>
      </w:pPr>
      <w:r>
        <w:drawing>
          <wp:inline>
            <wp:extent cx="5943600" cy="3021192"/>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38"/>
                    <a:stretch>
                      <a:fillRect/>
                    </a:stretch>
                  </pic:blipFill>
                  <pic:spPr bwMode="auto">
                    <a:xfrm>
                      <a:off x="0" y="0"/>
                      <a:ext cx="5943600" cy="3021192"/>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F.1.</w:t>
      </w:r>
      <w:r>
        <w:rPr>
          <w:rFonts w:ascii="Times New Roman" w:hAnsi="Times New Roman"/>
          <w:b w:val="0"/>
          <w:i/>
          <w:sz w:val="20"/>
        </w:rPr>
        <w:t xml:space="preserve"> </w:t>
      </w:r>
      <w:r>
        <w:rPr>
          <w:rFonts w:ascii="Times New Roman" w:hAnsi="Times New Roman"/>
          <w:b w:val="0"/>
          <w:i/>
          <w:sz w:val="20"/>
        </w:rPr>
        <w:t xml:space="preserve">Effect of multi-head score-model guidance on the composite-score distribution at matched compute (pool = 10 000 each, post hard-gate filter). The denoiser is identical in both runs; only the sampler differs.</w:t>
      </w:r>
    </w:p>
    <w:p>
      <w:pPr>
        <w:pStyle w:val="Subtitle"/>
        <w:spacing w:before="0" w:after="160"/>
        <w:jc w:val="center"/>
        <w:keepNext w:val="0"/>
        <w:keepLines/>
        <w:widowControl w:val="1"/>
      </w:pPr>
      <w:r>
        <w:rPr>
          <w:rFonts w:ascii="Times New Roman" w:hAnsi="Times New Roman"/>
          <w:b w:val="0"/>
          <w:i/>
          <w:sz w:val="20"/>
        </w:rP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rPr>
          <w:rFonts w:ascii="Times New Roman" w:hAnsi="Times New Roman"/>
          <w:b w:val="0"/>
          <w:i/>
          <w:sz w:val="20"/>
        </w:rPr>
        <w:t xml:space="preserve"> </w:t>
      </w:r>
      <w:r>
        <w:rPr>
          <w:rFonts w:ascii="Times New Roman" w:hAnsi="Times New Roman"/>
          <w:b w:val="0"/>
          <w:bCs/>
          <w:i/>
          <w:sz w:val="20"/>
        </w:rPr>
        <w:t xml:space="preserve">C0 unguided</w:t>
      </w:r>
      <w:r>
        <w:rPr>
          <w:rFonts w:ascii="Times New Roman" w:hAnsi="Times New Roman"/>
          <w:b w:val="0"/>
          <w:i/>
          <w:sz w:val="20"/>
        </w:rPr>
        <w:t xml:space="preserve"> </w:t>
      </w:r>
      <w:r>
        <w:rPr>
          <w:rFonts w:ascii="Times New Roman" w:hAnsi="Times New Roman"/>
          <w:b w:val="0"/>
          <w:i/>
          <w:sz w:val="20"/>
        </w:rPr>
        <w:t xml:space="preserve">(classifier-free guidance only);</w:t>
      </w:r>
      <w:r>
        <w:rPr>
          <w:rFonts w:ascii="Times New Roman" w:hAnsi="Times New Roman"/>
          <w:b w:val="0"/>
          <w:i/>
          <w:sz w:val="20"/>
        </w:rPr>
        <w:t xml:space="preserve"> </w:t>
      </w:r>
      <w:r>
        <w:rPr>
          <w:rFonts w:ascii="Times New Roman" w:hAnsi="Times New Roman"/>
          <w:b w:val="0"/>
          <w:bCs/>
          <w:i/>
          <w:sz w:val="20"/>
        </w:rPr>
        <w:t xml:space="preserve">C1 viab+sens</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viab</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rPr>
            <m:sty m:val="p"/>
          </m:rPr>
          <m:t>=</m:t>
        </m:r>
        <m:r>
          <m:t>0.3</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C2 viab+sens+hazard</w:t>
      </w:r>
      <w:r>
        <w:rPr>
          <w:rFonts w:ascii="Times New Roman" w:hAnsi="Times New Roman"/>
          <w:b w:val="0"/>
          <w:i/>
          <w:sz w:val="20"/>
        </w:rPr>
        <w:t xml:space="preserve"> </w:t>
      </w:r>
      <w:r>
        <w:rPr>
          <w:rFonts w:ascii="Times New Roman" w:hAnsi="Times New Roman"/>
          <w:b w:val="0"/>
          <w:i/>
          <w:sz w:val="20"/>
        </w:rPr>
        <w:t xml:space="preserve">(</w:t>
      </w:r>
      <m:oMath>
        <m:r>
          <m:rPr>
            <m:sty m:val="p"/>
          </m:rPr>
          <m:t>+</m:t>
        </m:r>
        <m:sSub>
          <m:e>
            <m:r>
              <m:t>s</m:t>
            </m:r>
          </m:e>
          <m:sub>
            <m:r>
              <m:rPr>
                <m:nor/>
                <m:sty m:val="p"/>
              </m:rPr>
              <m:t>hazard</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C3 hazard-only</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hazard</m:t>
            </m:r>
          </m:sub>
        </m:sSub>
        <m:r>
          <m:rPr>
            <m:sty m:val="p"/>
          </m:rPr>
          <m:t>=</m:t>
        </m:r>
        <m:r>
          <m:t>2.0</m:t>
        </m:r>
      </m:oMath>
      <w:r>
        <w:rPr>
          <w:rFonts w:ascii="Times New Roman" w:hAnsi="Times New Roman"/>
          <w:b w:val="0"/>
          <w:i/>
          <w:sz w:val="20"/>
        </w:rPr>
        <w:t xml:space="preserve">, other heads off).</w:t>
      </w:r>
    </w:p>
    <w:p>
      <w:pPr>
        <w:pStyle w:val="Subtitle"/>
        <w:spacing w:before="0" w:after="40"/>
        <w:jc w:val="center"/>
        <w:keepNext/>
        <w:keepLines/>
        <w:widowControl w:val="1"/>
      </w:pPr>
      <w:r>
        <w:rPr>
          <w:rFonts w:ascii="Times New Roman" w:hAnsi="Times New Roman"/>
          <w:b/>
          <w:bCs/>
          <w:i w:val="0"/>
          <w:sz w:val="24"/>
        </w:rPr>
        <w:t xml:space="preserve">Table F.3.</w:t>
      </w:r>
      <w:r>
        <w:rPr>
          <w:rFonts w:ascii="Times New Roman" w:hAnsi="Times New Roman"/>
          <w:b/>
          <w:i w:val="0"/>
          <w:sz w:val="24"/>
        </w:rPr>
        <w:t xml:space="preserve"> </w:t>
      </w:r>
      <w:r>
        <w:rPr>
          <w:rFonts w:ascii="Times New Roman" w:hAnsi="Times New Roman"/>
          <w:b/>
          <w:i w:val="0"/>
          <w:sz w:val="24"/>
        </w:rPr>
        <w:t xml:space="preserve">Per-condition top-1 candidates from the four-way head-to-head at pool=40 000 single-seed.</w:t>
      </w:r>
    </w:p>
    <w:tbl>
      <w:tblPr>
        <w:tblStyle w:val="Table"/>
        <w:tblW w:type="pct" w:w="5000"/>
        <w:jc w:val="center"/>
        <w:tblLook w:firstRow="1" w:lastRow="0" w:firstColumn="0" w:lastColumn="0" w:noHBand="0" w:noVBand="0" w:val="0020"/>
        <w:tblCaption w:val="Table F.3. Per-condition top-1 candidates from the four-way head-to-head at pool=40 000 single-se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scaffolds in top-100</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internal diversity over top-100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C0</w:t>
            </w:r>
            <w:r>
              <w:rPr>
                <w:rFonts w:ascii="Times New Roman" w:hAnsi="Times New Roman"/>
                <w:sz w:val="19"/>
              </w:rPr>
              <w:t xml:space="preserve"> </w:t>
            </w:r>
            <w:r>
              <w:rPr>
                <w:rFonts w:ascii="Times New Roman" w:hAnsi="Times New Roman"/>
                <w:sz w:val="19"/>
              </w:rPr>
              <w:t xml:space="preserve">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r>
              <w:rPr>
                <w:rFonts w:ascii="Times New Roman" w:hAnsi="Times New Roman"/>
                <w:sz w:val="19"/>
              </w:rPr>
              <w:t xml:space="preserve"> </w:t>
            </w:r>
            <w:r>
              <w:rPr>
                <w:rFonts w:ascii="Times New Roman" w:hAnsi="Times New Roman"/>
                <w:sz w:val="19"/>
              </w:rPr>
              <w:t xml:space="preserve">(4-nitro-1,2,3,5-oxatriazole)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C1</w:t>
            </w:r>
            <w:r>
              <w:rPr>
                <w:rFonts w:ascii="Times New Roman" w:hAnsi="Times New Roman"/>
                <w:sz w:val="19"/>
              </w:rPr>
              <w:t xml:space="preserve"> </w:t>
            </w:r>
            <w:r>
              <w:rPr>
                <w:rFonts w:ascii="Times New Roman" w:hAnsi="Times New Roman"/>
                <w:sz w:val="19"/>
              </w:rPr>
              <w:t xml:space="preserve">viab+sens (</w:t>
            </w:r>
            <m:oMath>
              <m:sSub>
                <m:e>
                  <m:r>
                    <m:t>s</m:t>
                  </m:r>
                </m:e>
                <m:sub>
                  <m:r>
                    <m:rPr>
                      <m:nor/>
                      <m:sty m:val="p"/>
                    </m:rPr>
                    <m:t>viab</m:t>
                  </m:r>
                </m:sub>
              </m:sSub>
              <m:r>
                <m:t>​</m:t>
              </m:r>
              <m:r>
                <m:rPr>
                  <m:sty m:val="p"/>
                </m:rPr>
                <m:t>=</m:t>
              </m:r>
              <m:r>
                <m:t>​</m:t>
              </m:r>
              <m:r>
                <m:t>1.0</m:t>
              </m:r>
              <m:r>
                <m:rPr>
                  <m:sty m:val="p"/>
                </m:rPr>
                <m:t>,</m:t>
              </m:r>
              <m:r>
                <m:t> </m:t>
              </m:r>
              <m:sSub>
                <m:e>
                  <m:r>
                    <m:t>s</m:t>
                  </m:r>
                </m:e>
                <m:sub>
                  <m:r>
                    <m:rPr>
                      <m:nor/>
                      <m:sty m:val="p"/>
                    </m:rPr>
                    <m:t>sens</m:t>
                  </m:r>
                </m:sub>
              </m:sSub>
              <m:r>
                <m:t>​</m:t>
              </m:r>
              <m:r>
                <m:rPr>
                  <m:sty m:val="p"/>
                </m:rPr>
                <m:t>=</m:t>
              </m:r>
              <m:r>
                <m:t>​</m:t>
              </m:r>
              <m:r>
                <m:t>0.3</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C2</w:t>
            </w:r>
            <w:r>
              <w:rPr>
                <w:rFonts w:ascii="Times New Roman" w:hAnsi="Times New Roman"/>
                <w:sz w:val="19"/>
              </w:rPr>
              <w:t xml:space="preserve"> </w:t>
            </w:r>
            <w:r>
              <w:rPr>
                <w:rFonts w:ascii="Times New Roman" w:hAnsi="Times New Roman"/>
                <w:sz w:val="19"/>
              </w:rPr>
              <w:t xml:space="preserve">viab+sens+hazard (</w:t>
            </w:r>
            <m:oMath>
              <m:r>
                <m:rPr>
                  <m:sty m:val="p"/>
                </m:rPr>
                <m:t>+</m:t>
              </m:r>
              <m:sSub>
                <m:e>
                  <m:r>
                    <m:t>s</m:t>
                  </m:r>
                </m:e>
                <m:sub>
                  <m:r>
                    <m:rPr>
                      <m:nor/>
                      <m:sty m:val="p"/>
                    </m:rPr>
                    <m:t>hazard</m:t>
                  </m:r>
                </m:sub>
              </m:sSub>
              <m:r>
                <m:t>​</m:t>
              </m:r>
              <m:r>
                <m:rPr>
                  <m:sty m:val="p"/>
                </m:rPr>
                <m:t>=</m:t>
              </m:r>
              <m: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(dinitro-vinylene)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C3</w:t>
            </w:r>
            <w:r>
              <w:rPr>
                <w:rFonts w:ascii="Times New Roman" w:hAnsi="Times New Roman"/>
                <w:sz w:val="19"/>
              </w:rPr>
              <w:t xml:space="preserve"> </w:t>
            </w:r>
            <w:r>
              <w:rPr>
                <w:rFonts w:ascii="Times New Roman" w:hAnsi="Times New Roman"/>
                <w:sz w:val="19"/>
              </w:rPr>
              <w:t xml:space="preserve">hazard-only (</w:t>
            </w:r>
            <m:oMath>
              <m:sSub>
                <m:e>
                  <m:r>
                    <m:t>s</m:t>
                  </m:r>
                </m:e>
                <m:sub>
                  <m:r>
                    <m:rPr>
                      <m:nor/>
                      <m:sty m:val="p"/>
                    </m:rPr>
                    <m:t>hazard</m:t>
                  </m:r>
                </m:sub>
              </m:sSub>
              <m:r>
                <m:t>​</m:t>
              </m:r>
              <m:r>
                <m:rPr>
                  <m:sty m:val="p"/>
                </m:rPr>
                <m:t>=</m:t>
              </m:r>
              <m:r>
                <m:t>​</m:t>
              </m:r>
              <m:r>
                <m:t>2.0</m:t>
              </m:r>
            </m:oMath>
            <w:r>
              <w:rPr>
                <w:rFonts w:ascii="Times New Roman" w:hAnsi="Times New Roman"/>
                <w:sz w:val="19"/>
              </w:rPr>
              <w:t xml:space="preserve">, others=0)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(same as C2)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0.794</w:t>
            </w:r>
          </w:p>
        </w:tc>
      </w:tr>
    </w:tbl>
    <w:p>
      <w:pPr>
        <w:pStyle w:val="Subtitle"/>
        <w:spacing w:before="0" w:after="160"/>
        <w:jc w:val="center"/>
        <w:keepNext w:val="0"/>
        <w:keepLines/>
        <w:widowControl w:val="1"/>
      </w:pPr>
      <w:r>
        <w:rPr>
          <w:rFonts w:ascii="Times New Roman" w:hAnsi="Times New Roman"/>
          <w:b w:val="0"/>
          <w:i/>
          <w:sz w:val="20"/>
        </w:rPr>
        <w:t xml:space="preserve">Top-1 detonation velocity is nearly invariant across the four conditions (9.44–9.53 km/s);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rFonts w:ascii="Times New Roman" w:hAnsi="Times New Roman"/>
          <w:b w:val="0"/>
          <w:i/>
          <w:sz w:val="20"/>
          <w:vertAlign w:val="subscript"/>
        </w:rPr>
        <w:t xml:space="preserve">1</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3</w:t>
      </w:r>
      <w:r>
        <w:rPr>
          <w:rFonts w:ascii="Times New Roman" w:hAnsi="Times New Roman"/>
          <w:b w:val="0"/>
          <w:i/>
          <w:sz w:val="20"/>
        </w:rPr>
        <w:t xml:space="preserve">, 4-nitro-1,2,3,5-oxatriazole) is the same structure as E-set lead E1, confirming that the unguided sampler independently surfaces E1 as its highest-ranked candidate, a consistency check that E1 is not an artefact of the extension-set mining procedure.</w:t>
      </w:r>
    </w:p>
    <w:bookmarkEnd w:id="41"/>
    <w:bookmarkStart w:id="42" w:name="X045ac786cfd46cd5debcb1e5814f1bd5b7d8373"/>
    <w:p>
      <w:pPr>
        <w:pStyle w:val="Subtitle"/>
        <w:spacing w:before="0" w:after="160"/>
        <w:jc w:val="center"/>
        <w:keepNext w:val="0"/>
        <w:keepLines/>
        <w:widowControl w:val="1"/>
      </w:pPr>
      <w:r>
        <w:rPr>
          <w:rFonts w:ascii="Times New Roman" w:hAnsi="Times New Roman"/>
          <w:b w:val="0"/>
          <w:i/>
          <w:sz w:val="20"/>
        </w:rPr>
        <w:t xml:space="preserve">F.4 Per-head ablation (hazard, SA, seed-variance)</w:t>
      </w:r>
    </w:p>
    <w:p>
      <w:pPr>
        <w:pStyle w:val="Subtitle"/>
        <w:spacing w:before="0" w:after="160"/>
        <w:jc w:val="center"/>
        <w:keepNext w:val="0"/>
        <w:keepLines/>
        <w:widowControl w:val="1"/>
      </w:pPr>
      <w:r>
        <w:rPr>
          <w:rFonts w:ascii="Times New Roman" w:hAnsi="Times New Roman"/>
          <w:b w:val="0"/>
          <w:bCs/>
          <w:i/>
          <w:sz w:val="20"/>
        </w:rPr>
        <w:t xml:space="preserve">Why a separate SA head and what it costs.</w:t>
      </w:r>
      <w:r>
        <w:rPr>
          <w:rFonts w:ascii="Times New Roman" w:hAnsi="Times New Roman"/>
          <w:b w:val="0"/>
          <w:i/>
          <w:sz w:val="20"/>
        </w:rPr>
        <w:t xml:space="preserve"> </w:t>
      </w:r>
      <w:r>
        <w:rPr>
          <w:rFonts w:ascii="Times New Roman" w:hAnsi="Times New Roman"/>
          <w:b w:val="0"/>
          <w:i/>
          <w:sz w:val="20"/>
        </w:rP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§4.7 with a SmoothL1 loss against the SAScorer label and a static head weight</w:t>
      </w:r>
      <w:r>
        <w:rPr>
          <w:rFonts w:ascii="Times New Roman" w:hAnsi="Times New Roman"/>
          <w:b w:val="0"/>
          <w:i/>
          <w:sz w:val="20"/>
        </w:rPr>
        <w:t xml:space="preserve"> </w:t>
      </w:r>
      <m:oMath>
        <m:sSub>
          <m:e>
            <m:r>
              <m:t>w</m:t>
            </m:r>
          </m:e>
          <m:sub>
            <m:r>
              <m:rPr>
                <m:nor/>
                <m:sty m:val="p"/>
              </m:rPr>
              <m:t>SA</m:t>
            </m:r>
          </m:sub>
        </m:sSub>
        <m:r>
          <m:rPr>
            <m:sty m:val="p"/>
          </m:rPr>
          <m:t>=</m:t>
        </m:r>
        <m:r>
          <m:t>0.25</m:t>
        </m:r>
      </m:oMath>
      <w:r>
        <w:rPr>
          <w:rFonts w:ascii="Times New Roman" w:hAnsi="Times New Roman"/>
          <w:b w:val="0"/>
          <w:i/>
          <w:sz w:val="20"/>
        </w:rPr>
        <w:t xml:space="preserve"> </w:t>
      </w:r>
      <w:r>
        <w:rPr>
          <w:rFonts w:ascii="Times New Roman" w:hAnsi="Times New Roman"/>
          <w:b w:val="0"/>
          <w:i/>
          <w:sz w:val="20"/>
        </w:rP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Appendix B.4 for the full SA / SC drug-domain transfer-head story.)</w:t>
      </w:r>
    </w:p>
    <w:p>
      <w:pPr>
        <w:pStyle w:val="Subtitle"/>
        <w:spacing w:before="0" w:after="160"/>
        <w:jc w:val="center"/>
        <w:keepNext w:val="0"/>
        <w:keepLines/>
        <w:widowControl w:val="1"/>
      </w:pPr>
      <w:r>
        <w:rPr>
          <w:rFonts w:ascii="Times New Roman" w:hAnsi="Times New Roman"/>
          <w:b w:val="0"/>
          <w:i/>
          <w:sz w:val="20"/>
        </w:rPr>
        <w:t xml:space="preserve">To put the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Subtitle"/>
        <w:spacing w:before="0" w:after="160"/>
        <w:jc w:val="center"/>
        <w:keepNext w:val="0"/>
        <w:keepLines/>
        <w:widowControl w:val="1"/>
      </w:pPr>
      <w:r>
        <w:rPr>
          <w:rFonts w:ascii="Times New Roman" w:hAnsi="Times New Roman"/>
          <w:b w:val="0"/>
          <w:bCs/>
          <w:i/>
          <w:sz w:val="20"/>
        </w:rPr>
        <w:t xml:space="preserve">Table F.4.</w:t>
      </w:r>
      <w:r>
        <w:rPr>
          <w:rFonts w:ascii="Times New Roman" w:hAnsi="Times New Roman"/>
          <w:b w:val="0"/>
          <w:i/>
          <w:sz w:val="20"/>
        </w:rPr>
        <w:t xml:space="preserve"> </w:t>
      </w:r>
      <w:r>
        <w:rPr>
          <w:rFonts w:ascii="Times New Roman" w:hAnsi="Times New Roman"/>
          <w:b w:val="0"/>
          <w:i/>
          <w:sz w:val="20"/>
        </w:rPr>
        <w:t xml:space="preserve">DGLD multi-seed head-to-head at pool=10 000 per condition across hazard-axis (Hz-) and SA-axis (SA-) matrices, sharing the unguided Hz-C0 = SA-C0 cell. Bold row is the most-novel condition.</w:t>
      </w:r>
    </w:p>
    <w:tbl>
      <w:tblPr>
        <w:tblStyle w:val="Table"/>
        <w:tblW w:type="pct" w:w="5000"/>
        <w:jc w:val="center"/>
        <w:tblLayout w:type="autofit"/>
        <w:tblLook w:firstRow="1" w:lastRow="0" w:firstColumn="0" w:lastColumn="0" w:noHBand="0" w:noVBand="0" w:val="0020"/>
        <w:tblCaption w:val="Table F.4. DGLD multi-seed head-to-head at pool=10 000 per condition across hazard-axis (Hz-) and SA-axis (SA-) matrices, sharing the unguided Hz-C0 = SA-C0 cell. Bold row is the most-novel condition."/>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SA-C1 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0.542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SA-C2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r>
              <w:rPr>
                <w:rFonts w:ascii="Times New Roman" w:hAnsi="Times New Roman"/>
                <w:sz w:val="18"/>
              </w:rPr>
              <w:t xml:space="preserve"> </w:t>
            </w:r>
            <w:r>
              <w:rPr>
                <w:rFonts w:ascii="Times New Roman" w:hAnsi="Times New Roman"/>
                <w:sz w:val="18"/>
              </w:rPr>
              <w:t xml:space="preserve">(most novel)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Hz-C3 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0.503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SA-C3 viab+sens+SA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bl>
    <w:p>
      <w:pPr>
        <w:pStyle w:val="Subtitle"/>
        <w:spacing w:before="0" w:after="160"/>
        <w:jc w:val="center"/>
        <w:keepNext w:val="0"/>
        <w:keepLines/>
        <w:widowControl w:val="1"/>
      </w:pPr>
      <w:r>
        <w:rPr>
          <w:rFonts w:ascii="Times New Roman" w:hAnsi="Times New Roman"/>
          <w:b w:val="0"/>
          <w:i/>
          <w:sz w:val="20"/>
        </w:rPr>
        <w:t xml:space="preserve">Per-condition seed variance (Hz-C1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0.613, Hz-C2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0.485, Hz-C3</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0.503) is comparable to or larger than the across-condition mean differences, so the §F.3 single-seed numbers must be read with this variance in mind. Hz-C2 viab+sens+hazard is the most-novel condition (max-Tani 0.27, 0/3 seeds memorised) and is adopted as the production default. The SA-axis SA-C3 (viab+sens+SA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is the worst condition in either matrix at top-1 composite 0.698, justifying the production setting</w:t>
      </w:r>
      <w:r>
        <w:rPr>
          <w:rFonts w:ascii="Times New Roman" w:hAnsi="Times New Roman"/>
          <w:b w:val="0"/>
          <w:i/>
          <w:sz w:val="20"/>
        </w:rPr>
        <w:t xml:space="preserve"> </w:t>
      </w:r>
      <m:oMath>
        <m:sSub>
          <m:e>
            <m:r>
              <m:t>s</m:t>
            </m:r>
          </m:e>
          <m:sub>
            <m:r>
              <m:rPr>
                <m:nor/>
                <m:sty m:val="p"/>
              </m:rPr>
              <m:t>SA</m:t>
            </m:r>
          </m:sub>
        </m:sSub>
        <m:r>
          <m:t>​</m:t>
        </m:r>
        <m:r>
          <m:rPr>
            <m:sty m:val="p"/>
          </m:rPr>
          <m:t>=</m:t>
        </m:r>
        <m:r>
          <m:t>​</m:t>
        </m:r>
        <m:r>
          <m:t>0</m:t>
        </m:r>
      </m:oMath>
      <w:r>
        <w:rPr>
          <w:rFonts w:ascii="Times New Roman" w:hAnsi="Times New Roman"/>
          <w:b w:val="0"/>
          <w:i/>
          <w:sz w:val="20"/>
        </w:rPr>
        <w:t xml:space="preserve"> </w:t>
      </w:r>
      <w:r>
        <w:rPr>
          <w:rFonts w:ascii="Times New Roman" w:hAnsi="Times New Roman"/>
          <w:b w:val="0"/>
          <w:i/>
          <w:sz w:val="20"/>
        </w:rPr>
        <w:t xml:space="preserve">(§4.9). The 6-seed unguided pool gives the tightest mean (0.451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0.126).</w:t>
      </w:r>
    </w:p>
    <w:p>
      <w:pPr>
        <w:pStyle w:val="Subtitle"/>
        <w:spacing w:before="0" w:after="160"/>
        <w:jc w:val="center"/>
        <w:keepNext w:val="0"/>
        <w:keepLines/>
        <w:widowControl w:val="1"/>
      </w:pPr>
      <w:r>
        <w:rPr>
          <w:rFonts w:ascii="Times New Roman" w:hAnsi="Times New Roman"/>
          <w:b w:val="0"/>
          <w:bCs/>
          <w:i/>
          <w:sz w:val="20"/>
        </w:rPr>
        <w:t xml:space="preserve">Per-head guidance grid and hazard-head as a soft filter.</w:t>
      </w:r>
      <w:r>
        <w:rPr>
          <w:rFonts w:ascii="Times New Roman" w:hAnsi="Times New Roman"/>
          <w:b w:val="0"/>
          <w:i/>
          <w:sz w:val="20"/>
        </w:rPr>
        <w:t xml:space="preserve"> </w:t>
      </w:r>
      <w:r>
        <w:rPr>
          <w:rFonts w:ascii="Times New Roman" w:hAnsi="Times New Roman"/>
          <w:b w:val="0"/>
          <w:i/>
          <w:sz w:val="20"/>
        </w:rPr>
        <w:t xml:space="preserve">A 12-cell head-state grid over (</w:t>
      </w:r>
      <m:oMath>
        <m:sSub>
          <m:e>
            <m:r>
              <m:t>s</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hazard</m:t>
            </m:r>
          </m:sub>
        </m:sSub>
      </m:oMath>
      <w:r>
        <w:rPr>
          <w:rFonts w:ascii="Times New Roman" w:hAnsi="Times New Roman"/>
          <w:b w:val="0"/>
          <w:i/>
          <w:sz w:val="20"/>
        </w:rPr>
        <w:t xml:space="preserve">) collapses to exactly four distinct outputs organised by the 2×2 head-on/off combinations (cluster D, viab+hazard, is the production default). The full md5 cluster table, the SC-gradient sweep, and the heuristic-vs-literature sensitivity-head ablation are in</w:t>
      </w:r>
      <w:r>
        <w:rPr>
          <w:rFonts w:ascii="Times New Roman" w:hAnsi="Times New Roman"/>
          <w:b w:val="0"/>
          <w:i/>
          <w:sz w:val="20"/>
        </w:rPr>
        <w:t xml:space="preserve"> </w:t>
      </w:r>
      <w:hyperlink w:anchor="sec-app">
        <w:r>
          <w:rPr>
            <w:rStyle w:val="Hyperlink"/>
          </w:rPr>
          <w:t xml:space="preserve">Appendix D.6</w:t>
        </w:r>
      </w:hyperlink>
      <w:r>
        <w:rPr>
          <w:rFonts w:ascii="Times New Roman" w:hAnsi="Times New Roman"/>
          <w:b w:val="0"/>
          <w:i/>
          <w:sz w:val="20"/>
        </w:rPr>
        <w:t xml:space="preserve">. As a complementary ablation on the same axis, the §4.7 hazard head applied as a soft re-rank weight on the merged top-100 recovers all 23 chemist-SMARTS rejects and exposes 66 additional candidates on which the SMARTS catalog is silent (5-fold held-out AUROC</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 threshold sweep and false-positive analysis in Appendix D.12).</w:t>
      </w:r>
    </w:p>
    <w:bookmarkEnd w:id="42"/>
    <w:bookmarkStart w:id="43" w:name="f.5-m7-five-lane-100k-pool-run"/>
    <w:p>
      <w:pPr>
        <w:pStyle w:val="Subtitle"/>
        <w:spacing w:before="0" w:after="40"/>
        <w:jc w:val="center"/>
        <w:keepNext/>
        <w:keepLines/>
        <w:widowControl w:val="1"/>
      </w:pPr>
      <w:r>
        <w:rPr>
          <w:rFonts w:ascii="Times New Roman" w:hAnsi="Times New Roman"/>
          <w:b/>
          <w:i w:val="0"/>
          <w:sz w:val="24"/>
        </w:rPr>
        <w:t xml:space="preserve">F.5 M7 five-lane 100k-pool run</w:t>
      </w:r>
    </w:p>
    <w:p>
      <w:pPr>
        <w:pStyle w:val="Subtitle"/>
        <w:spacing w:before="0" w:after="160"/>
        <w:jc w:val="center"/>
        <w:keepNext w:val="0"/>
        <w:keepLines/>
        <w:widowControl w:val="1"/>
      </w:pPr>
      <w:r>
        <w:rPr>
          <w:rFonts w:ascii="Times New Roman" w:hAnsi="Times New Roman"/>
          <w:b w:val="0"/>
          <w:i/>
          <w:sz w:val="20"/>
        </w:rPr>
        <w:t xml:space="preserve">The §F.3/§F.4 ablations each use pool = 10 000 per condition; §F.3 at pool = 40k uses a single lane per denoiser. To verify that pool-fusion continues to pay off beyond 40k, a 100k-pool M7 experiment ran five sampling lanes with seeds 3–4; the top-200 candidates were re-ranked by the §4.10 composite.</w:t>
      </w:r>
    </w:p>
    <w:p>
      <w:pPr>
        <w:pStyle w:val="Subtitle"/>
        <w:spacing w:before="0" w:after="40"/>
        <w:jc w:val="center"/>
        <w:keepNext/>
        <w:keepLines/>
        <w:widowControl w:val="1"/>
      </w:pPr>
      <w:r>
        <w:rPr>
          <w:rFonts w:ascii="Times New Roman" w:hAnsi="Times New Roman"/>
          <w:b/>
          <w:bCs/>
          <w:i w:val="0"/>
          <w:sz w:val="24"/>
        </w:rPr>
        <w:t xml:space="preserve">Table F.5.</w:t>
      </w:r>
      <w:r>
        <w:rPr>
          <w:rFonts w:ascii="Times New Roman" w:hAnsi="Times New Roman"/>
          <w:b/>
          <w:i w:val="0"/>
          <w:sz w:val="24"/>
        </w:rPr>
        <w:t xml:space="preserve"> </w:t>
      </w:r>
      <w:r>
        <w:rPr>
          <w:rFonts w:ascii="Times New Roman" w:hAnsi="Times New Roman"/>
          <w:b/>
          <w:i w:val="0"/>
          <w:sz w:val="24"/>
        </w:rPr>
        <w:t xml:space="preserve">M7 five-lane 100k pool-fusion results vs the §F.3 single-lane 40k baseline. Pipeline keep-rate is n_validated / n_raw (Uni-Mol + composite filter). Diversity and scaffold count over the returned top-200.</w:t>
      </w:r>
    </w:p>
    <w:tbl>
      <w:tblPr>
        <w:tblStyle w:val="Table"/>
        <w:tblW w:type="pct" w:w="5000"/>
        <w:jc w:val="center"/>
        <w:tblLook w:firstRow="1" w:lastRow="0" w:firstColumn="0" w:lastColumn="0" w:noHBand="0" w:noVBand="0" w:val="0020"/>
        <w:tblCaption w:val="Table F.5. M7 five-lane 100k pool-fusion results vs the §F.3 single-lane 40k baseline. Pipeline keep-rate is n_validated / n_raw (Uni-Mol + composite filter). Diversity and scaffold count over the returned top-2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Run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Top-1</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Max</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Mean</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Single-lane 40k (§F.3)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M7 five-lane 100k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4 639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4.6 %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9.79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0.81</w:t>
            </w:r>
          </w:p>
        </w:tc>
      </w:tr>
    </w:tbl>
    <w:p>
      <w:pPr>
        <w:pStyle w:val="Subtitle"/>
        <w:spacing w:before="0" w:after="160"/>
        <w:jc w:val="center"/>
        <w:keepNext w:val="0"/>
        <w:keepLines/>
        <w:widowControl w:val="1"/>
      </w:pPr>
      <w:r>
        <w:rPr>
          <w:rFonts w:ascii="Times New Roman" w:hAnsi="Times New Roman"/>
          <w:b w:val="0"/>
          <w:i/>
          <w:sz w:val="20"/>
        </w:rPr>
        <w:t xml:space="preserve">The five-lane fusion nearly doubles the keep rate (4.6 % vs 2.4 %, 1.92×) and quintuples the absolute number of passing candidates (4 639 vs 966), consistent with each lane surface-sampling a distinct region of the high-density manifold.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stable at 9.47 km/s (within 0.04 km/s of the single-lane best), while max</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rises to 9.79 km/s. The fused top-200 spans 24 distinct Bemis–Murcko scaffolds at internal diversity 0.81, a meaningful improvement over the single-lane seven-scaffold top-100. The top-1 SMILES is</w:t>
      </w:r>
      <w:r>
        <w:rPr>
          <w:rFonts w:ascii="Times New Roman" w:hAnsi="Times New Roman"/>
          <w:b w:val="0"/>
          <w:i/>
          <w:sz w:val="20"/>
        </w:rPr>
        <w:t xml:space="preserve"> </w:t>
      </w:r>
      <w:r>
        <w:rPr>
          <w:rStyle w:val="VerbatimChar"/>
          <w:rFonts w:ascii="Times New Roman" w:hAnsi="Times New Roman"/>
          <w:b w:val="0"/>
          <w:i/>
          <w:sz w:val="20"/>
        </w:rPr>
        <w:t xml:space="preserve">O=[N+]([O-])OC1C([N+](=O)[O-])=C1[N+](=O)[O-]</w:t>
      </w:r>
      <w:r>
        <w:rPr>
          <w:rFonts w:ascii="Times New Roman" w:hAnsi="Times New Roman"/>
          <w:b w:val="0"/>
          <w:i/>
          <w:sz w:val="20"/>
        </w:rPr>
        <w:t xml:space="preserve"> </w:t>
      </w:r>
      <w:r>
        <w:rPr>
          <w:rFonts w:ascii="Times New Roman" w:hAnsi="Times New Roman"/>
          <w:b w:val="0"/>
          <w:i/>
          <w:sz w:val="20"/>
        </w:rPr>
        <w:t xml:space="preserve">(1,2,3-trinitrocyclopropene), a compact ring with three nitro groups and no prior labelled-master entry.</w:t>
      </w:r>
    </w:p>
    <w:bookmarkEnd w:id="43"/>
    <w:bookmarkStart w:id="44" w:name="Xbb5eec533b9640cf8a759e333f6d84316491854"/>
    <w:p>
      <w:pPr>
        <w:pStyle w:val="Subtitle"/>
        <w:spacing w:before="0" w:after="40"/>
        <w:jc w:val="center"/>
        <w:keepNext/>
        <w:keepLines/>
        <w:widowControl w:val="1"/>
      </w:pPr>
      <w:r>
        <w:rPr>
          <w:rFonts w:ascii="Times New Roman" w:hAnsi="Times New Roman"/>
          <w:b/>
          <w:i w:val="0"/>
          <w:sz w:val="24"/>
        </w:rPr>
        <w:t xml:space="preserve">F.6 Tier-gate ablation (perf head trained without label-trust masking)</w:t>
      </w:r>
    </w:p>
    <w:p>
      <w:pPr>
        <w:pStyle w:val="Subtitle"/>
        <w:spacing w:before="0" w:after="160"/>
        <w:jc w:val="center"/>
        <w:keepNext w:val="0"/>
        <w:keepLines/>
        <w:widowControl w:val="1"/>
      </w:pPr>
      <w:r>
        <w:rPr>
          <w:rFonts w:ascii="Times New Roman" w:hAnsi="Times New Roman"/>
          <w:b w:val="0"/>
          <w:i/>
          <w:sz w:val="20"/>
        </w:rPr>
        <w:t xml:space="preserve">The tier-gated training recipe (§4.4, §4.6) masks the performance head from Tier-C/D rows during training, preventing low-confidence empirical-formula and 3D-CNN surrogate labels from driving the performance gradient. To quantify this design choice, the score model was retrained with</w:t>
      </w:r>
      <w:r>
        <w:rPr>
          <w:rFonts w:ascii="Times New Roman" w:hAnsi="Times New Roman"/>
          <w:b w:val="0"/>
          <w:i/>
          <w:sz w:val="20"/>
        </w:rPr>
        <w:t xml:space="preserve"> </w:t>
      </w:r>
      <w:r>
        <w:rPr>
          <w:rStyle w:val="VerbatimChar"/>
          <w:rFonts w:ascii="Times New Roman" w:hAnsi="Times New Roman"/>
          <w:b w:val="0"/>
          <w:i/>
          <w:sz w:val="20"/>
        </w:rPr>
        <w:t xml:space="preserve">--no_tier_gate</w:t>
      </w:r>
      <w:r>
        <w:rPr>
          <w:rFonts w:ascii="Times New Roman" w:hAnsi="Times New Roman"/>
          <w:b w:val="0"/>
          <w:i/>
          <w:sz w:val="20"/>
        </w:rPr>
        <w:t xml:space="preserve">: the performance head trains on all rows, including noisy Tier-C/D labels. The modified model then guided 20 000 samples through the identical DDIM sampler.</w:t>
      </w:r>
    </w:p>
    <w:p>
      <w:pPr>
        <w:pStyle w:val="Subtitle"/>
        <w:spacing w:before="0" w:after="160"/>
        <w:jc w:val="center"/>
        <w:keepNext w:val="0"/>
        <w:keepLines/>
        <w:widowControl w:val="1"/>
      </w:pPr>
      <w:r>
        <w:rPr>
          <w:rFonts w:ascii="Times New Roman" w:hAnsi="Times New Roman"/>
          <w:b w:val="0"/>
          <w:bCs/>
          <w:i/>
          <w:sz w:val="20"/>
        </w:rPr>
        <w:t xml:space="preserve">Table F.6.</w:t>
      </w:r>
      <w:r>
        <w:rPr>
          <w:rFonts w:ascii="Times New Roman" w:hAnsi="Times New Roman"/>
          <w:b w:val="0"/>
          <w:i/>
          <w:sz w:val="20"/>
        </w:rPr>
        <w:t xml:space="preserve"> </w:t>
      </w:r>
      <w:r>
        <w:rPr>
          <w:rFonts w:ascii="Times New Roman" w:hAnsi="Times New Roman"/>
          <w:b w:val="0"/>
          <w:i/>
          <w:sz w:val="20"/>
        </w:rPr>
        <w:t xml:space="preserve">Tier-gate ablation: score model trained with and without perf-head label-trust masking, evaluated at pool=20 000. Top-1 ranked by N-fraction proxy (no Uni-Mol scoring). n_feasible is post-SMARTS-gate + SA ≤ 6.5.</w:t>
      </w:r>
    </w:p>
    <w:tbl>
      <w:tblPr>
        <w:tblStyle w:val="Table"/>
        <w:tblW w:type="pct" w:w="5000"/>
        <w:jc w:val="center"/>
        <w:tblLook w:firstRow="1" w:lastRow="0" w:firstColumn="0" w:lastColumn="0" w:noHBand="0" w:noVBand="0" w:val="0020"/>
        <w:tblCaption w:val="Table F.6. Tier-gate ablation: score model trained with and without perf-head label-trust masking, evaluated at pool=20 000. Top-1 ranked by N-fraction proxy (no Uni-Mol scoring). n_feasible is post-SMARTS-gate + SA ≤ 6.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Training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n_feasible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sSub>
                <m:e>
                  <m:r>
                    <m:t>f</m:t>
                  </m:r>
                </m:e>
                <m:sub>
                  <m:r>
                    <m:t>N</m:t>
                  </m:r>
                </m:sub>
              </m:sSub>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Best val loss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Production (tier-gate on, §4.4)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see §F.3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1.089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No tier-gate</w:t>
            </w:r>
            <w:r>
              <w:rPr>
                <w:rFonts w:ascii="Times New Roman" w:hAnsi="Times New Roman"/>
                <w:sz w:val="18"/>
              </w:rPr>
              <w:t xml:space="preserve"> </w:t>
            </w:r>
            <w:r>
              <w:rPr>
                <w:rFonts w:ascii="Times New Roman" w:hAnsi="Times New Roman"/>
                <w:sz w:val="18"/>
              </w:rPr>
              <w:t xml:space="preserve">(ablation)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10 773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53.9 %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[N+][N+]([O-])NC(=N)N[N+]=O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1.178</w:t>
            </w:r>
          </w:p>
        </w:tc>
      </w:tr>
    </w:tbl>
    <w:p>
      <w:pPr>
        <w:pStyle w:val="Subtitle"/>
        <w:spacing w:before="0" w:after="160"/>
        <w:jc w:val="center"/>
        <w:keepNext w:val="0"/>
        <w:keepLines/>
        <w:widowControl w:val="1"/>
      </w:pPr>
      <w:r>
        <w:rPr>
          <w:rFonts w:ascii="Times New Roman" w:hAnsi="Times New Roman"/>
          <w:b w:val="0"/>
          <w:i/>
          <w:sz w:val="20"/>
        </w:rP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rPr>
          <w:rFonts w:ascii="Times New Roman" w:hAnsi="Times New Roman"/>
          <w:b w:val="0"/>
          <w:i/>
          <w:sz w:val="20"/>
        </w:rPr>
        <w:t xml:space="preserve"> </w:t>
      </w:r>
      <m:oMath>
        <m:sSub>
          <m:e>
            <m:r>
              <m:t>f</m:t>
            </m:r>
          </m:e>
          <m:sub>
            <m:r>
              <m:t>N</m:t>
            </m:r>
          </m:sub>
        </m:sSub>
      </m:oMath>
      <w:r>
        <w:rPr>
          <w:rFonts w:ascii="Times New Roman" w:hAnsi="Times New Roman"/>
          <w:b w:val="0"/>
          <w:i/>
          <w:sz w:val="20"/>
        </w:rPr>
        <w:t xml:space="preserve"> </w:t>
      </w:r>
      <w:r>
        <w:rPr>
          <w:rFonts w:ascii="Times New Roman" w:hAnsi="Times New Roman"/>
          <w:b w:val="0"/>
          <w:i/>
          <w:sz w:val="20"/>
        </w:rPr>
        <w:t xml:space="preserve">by atom count, not by energetic architecture). The validation loss rises by 0.089 absolute, consistent with the perf head being trained on noisier targets.</w:t>
      </w:r>
    </w:p>
    <w:bookmarkEnd w:id="44"/>
    <w:bookmarkEnd w:id="45"/>
    <w:bookmarkEnd w:id="46"/>
    <w:bookmarkStart w:id="121" w:name="sec-refs"/>
    <w:p>
      <w:pPr>
        <w:pStyle w:val="Subtitle"/>
        <w:spacing w:before="0" w:after="40"/>
        <w:jc w:val="center"/>
        <w:keepNext/>
        <w:keepLines/>
        <w:widowControl w:val="1"/>
      </w:pPr>
      <w:r>
        <w:rPr>
          <w:rFonts w:ascii="Times New Roman" w:hAnsi="Times New Roman"/>
          <w:b/>
          <w:i w:val="0"/>
          <w:sz w:val="24"/>
        </w:rPr>
        <w:t xml:space="preserve">References</w:t>
      </w:r>
    </w:p>
    <w:p>
      <w:pPr>
        <w:pStyle w:val="Subtitle"/>
        <w:numPr>
          <w:ilvl w:val="0"/>
          <w:numId w:val="1004"/>
        </w:numPr>
        <w:spacing w:before="0" w:after="160"/>
        <w:ind w:left="360" w:hanging="259"/>
        <w:jc w:val="center"/>
        <w:keepNext w:val="0"/>
        <w:keepLines/>
        <w:widowControl w:val="1"/>
      </w:pPr>
      <w:bookmarkStart w:id="47" w:name="ref-kamlet1968detonation"/>
      <w:r>
        <w:rPr>
          <w:rFonts w:ascii="Times New Roman" w:hAnsi="Times New Roman"/>
          <w:b w:val="0"/>
          <w:i/>
          <w:sz w:val="20"/>
        </w:rPr>
        <w:t xml:space="preserve">Kamlet, M. J., &amp; Jacobs, S. J. (1968). Chemistry of Detonations. I. A Simple Method for Calculating Detonation Properties of C-H-N-O Explosives.</w:t>
      </w:r>
      <w:r>
        <w:rPr>
          <w:rFonts w:ascii="Times New Roman" w:hAnsi="Times New Roman"/>
          <w:b w:val="0"/>
          <w:i/>
          <w:sz w:val="20"/>
        </w:rPr>
        <w:t xml:space="preserve"> </w:t>
      </w:r>
      <w:r>
        <w:rPr>
          <w:rFonts w:ascii="Times New Roman" w:hAnsi="Times New Roman"/>
          <w:b w:val="0"/>
          <w:i/>
          <w:iCs/>
          <w:sz w:val="20"/>
        </w:rPr>
        <w:t xml:space="preserve">J. Chem. Phys. 48</w:t>
      </w:r>
      <w:r>
        <w:rPr>
          <w:rFonts w:ascii="Times New Roman" w:hAnsi="Times New Roman"/>
          <w:b w:val="0"/>
          <w:i/>
          <w:sz w:val="20"/>
        </w:rPr>
        <w:t xml:space="preserve">:23–55. doi:10.1063/1.1667908.</w:t>
      </w:r>
      <w:bookmarkEnd w:id="47"/>
    </w:p>
    <w:p>
      <w:pPr>
        <w:pStyle w:val="Subtitle"/>
        <w:numPr>
          <w:ilvl w:val="0"/>
          <w:numId w:val="1004"/>
        </w:numPr>
        <w:spacing w:before="0" w:after="160"/>
        <w:ind w:left="360" w:hanging="259"/>
        <w:jc w:val="center"/>
        <w:keepNext w:val="0"/>
        <w:keepLines/>
        <w:widowControl w:val="1"/>
      </w:pPr>
      <w:bookmarkStart w:id="48" w:name="ref-casey2020prediction"/>
      <w:r>
        <w:rPr>
          <w:rFonts w:ascii="Times New Roman" w:hAnsi="Times New Roman"/>
          <w:b w:val="0"/>
          <w:i/>
          <w:sz w:val="20"/>
        </w:rPr>
        <w:t xml:space="preserve">Casey, A. D., Son, S. F., Bilionis, I., &amp; Barnes, B. C. (2020). Prediction of Energetic Material Properties from Electronic Structure Using 3D Convolutional Neural Networks.</w:t>
      </w:r>
      <w:r>
        <w:rPr>
          <w:rFonts w:ascii="Times New Roman" w:hAnsi="Times New Roman"/>
          <w:b w:val="0"/>
          <w:i/>
          <w:sz w:val="20"/>
        </w:rPr>
        <w:t xml:space="preserve"> </w:t>
      </w:r>
      <w:r>
        <w:rPr>
          <w:rFonts w:ascii="Times New Roman" w:hAnsi="Times New Roman"/>
          <w:b w:val="0"/>
          <w:i/>
          <w:iCs/>
          <w:sz w:val="20"/>
        </w:rPr>
        <w:t xml:space="preserve">J. Chem. Inf. Model. 60(10)</w:t>
      </w:r>
      <w:r>
        <w:rPr>
          <w:rFonts w:ascii="Times New Roman" w:hAnsi="Times New Roman"/>
          <w:b w:val="0"/>
          <w:i/>
          <w:sz w:val="20"/>
        </w:rPr>
        <w:t xml:space="preserve">:4457–4473. doi:10.1021/acs.jcim.0c00259.</w:t>
      </w:r>
      <w:bookmarkEnd w:id="48"/>
    </w:p>
    <w:p>
      <w:pPr>
        <w:pStyle w:val="Subtitle"/>
        <w:numPr>
          <w:ilvl w:val="0"/>
          <w:numId w:val="1004"/>
        </w:numPr>
        <w:spacing w:before="0" w:after="160"/>
        <w:ind w:left="360" w:hanging="259"/>
        <w:jc w:val="center"/>
        <w:keepNext w:val="0"/>
        <w:keepLines/>
        <w:widowControl w:val="1"/>
      </w:pPr>
      <w:bookmarkStart w:id="49" w:name="ref-zhou2023unimol"/>
      <w:r>
        <w:rPr>
          <w:rFonts w:ascii="Times New Roman" w:hAnsi="Times New Roman"/>
          <w:b w:val="0"/>
          <w:i/>
          <w:sz w:val="20"/>
        </w:rPr>
        <w:t xml:space="preserve">Zhou, G. et al. (2023). Uni-Mol: A Universal 3D Molecular Representation Learning Framework.</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w:t>
      </w:r>
      <w:bookmarkEnd w:id="49"/>
    </w:p>
    <w:p>
      <w:pPr>
        <w:pStyle w:val="Subtitle"/>
        <w:numPr>
          <w:ilvl w:val="0"/>
          <w:numId w:val="1004"/>
        </w:numPr>
        <w:spacing w:before="0" w:after="160"/>
        <w:ind w:left="360" w:hanging="259"/>
        <w:jc w:val="center"/>
        <w:keepNext w:val="0"/>
        <w:keepLines/>
        <w:widowControl w:val="1"/>
      </w:pPr>
      <w:bookmarkStart w:id="50" w:name="ref-ho2022cfg"/>
      <w:r>
        <w:rPr>
          <w:rFonts w:ascii="Times New Roman" w:hAnsi="Times New Roman"/>
          <w:b w:val="0"/>
          <w:i/>
          <w:sz w:val="20"/>
        </w:rPr>
        <w:t xml:space="preserve">Ho, J., &amp; Salimans, T. (2022). Classifier-Free Diffusion Guidance. arXiv:2207.12598.</w:t>
      </w:r>
      <w:bookmarkEnd w:id="50"/>
    </w:p>
    <w:p>
      <w:pPr>
        <w:pStyle w:val="Subtitle"/>
        <w:numPr>
          <w:ilvl w:val="0"/>
          <w:numId w:val="1004"/>
        </w:numPr>
        <w:spacing w:before="0" w:after="160"/>
        <w:ind w:left="360" w:hanging="259"/>
        <w:jc w:val="center"/>
        <w:keepNext w:val="0"/>
        <w:keepLines/>
        <w:widowControl w:val="1"/>
      </w:pPr>
      <w:bookmarkStart w:id="51" w:name="ref-gomez2018automatic"/>
      <w:r>
        <w:rPr>
          <w:rFonts w:ascii="Times New Roman" w:hAnsi="Times New Roman"/>
          <w:b w:val="0"/>
          <w:i/>
          <w:sz w:val="20"/>
        </w:rPr>
        <w:t xml:space="preserve">Gómez-Bombarelli, R. et al. (2018). Automatic Chemical Design Using a Data-Driven Continuous Representation of Molecules.</w:t>
      </w:r>
      <w:r>
        <w:rPr>
          <w:rFonts w:ascii="Times New Roman" w:hAnsi="Times New Roman"/>
          <w:b w:val="0"/>
          <w:i/>
          <w:sz w:val="20"/>
        </w:rPr>
        <w:t xml:space="preserve"> </w:t>
      </w:r>
      <w:r>
        <w:rPr>
          <w:rFonts w:ascii="Times New Roman" w:hAnsi="Times New Roman"/>
          <w:b w:val="0"/>
          <w:i/>
          <w:iCs/>
          <w:sz w:val="20"/>
        </w:rPr>
        <w:t xml:space="preserve">ACS Central Science 4(2)</w:t>
      </w:r>
      <w:r>
        <w:rPr>
          <w:rFonts w:ascii="Times New Roman" w:hAnsi="Times New Roman"/>
          <w:b w:val="0"/>
          <w:i/>
          <w:sz w:val="20"/>
        </w:rPr>
        <w:t xml:space="preserve">:268–276. doi:10.1021/acscentsci.7b00572.</w:t>
      </w:r>
      <w:bookmarkEnd w:id="51"/>
    </w:p>
    <w:p>
      <w:pPr>
        <w:pStyle w:val="Subtitle"/>
        <w:numPr>
          <w:ilvl w:val="0"/>
          <w:numId w:val="1004"/>
        </w:numPr>
        <w:spacing w:before="0" w:after="160"/>
        <w:ind w:left="360" w:hanging="259"/>
        <w:jc w:val="center"/>
        <w:keepNext w:val="0"/>
        <w:keepLines/>
        <w:widowControl w:val="1"/>
      </w:pPr>
      <w:bookmarkStart w:id="52" w:name="ref-jin2018junction"/>
      <w:r>
        <w:rPr>
          <w:rFonts w:ascii="Times New Roman" w:hAnsi="Times New Roman"/>
          <w:b w:val="0"/>
          <w:i/>
          <w:sz w:val="20"/>
        </w:rPr>
        <w:t xml:space="preserve">Jin, W., Barzilay, R., &amp; Jaakkola, T. (2018). Junction Tree Variational Autoencoder for Molecular Graph Generation.</w:t>
      </w:r>
      <w:r>
        <w:rPr>
          <w:rFonts w:ascii="Times New Roman" w:hAnsi="Times New Roman"/>
          <w:b w:val="0"/>
          <w:i/>
          <w:sz w:val="20"/>
        </w:rPr>
        <w:t xml:space="preserve"> </w:t>
      </w:r>
      <w:r>
        <w:rPr>
          <w:rFonts w:ascii="Times New Roman" w:hAnsi="Times New Roman"/>
          <w:b w:val="0"/>
          <w:i/>
          <w:iCs/>
          <w:sz w:val="20"/>
        </w:rPr>
        <w:t xml:space="preserve">ICML 2018</w:t>
      </w:r>
      <w:r>
        <w:rPr>
          <w:rFonts w:ascii="Times New Roman" w:hAnsi="Times New Roman"/>
          <w:b w:val="0"/>
          <w:i/>
          <w:sz w:val="20"/>
        </w:rPr>
        <w:t xml:space="preserve">. arXiv:1802.04364.</w:t>
      </w:r>
      <w:bookmarkEnd w:id="52"/>
    </w:p>
    <w:p>
      <w:pPr>
        <w:pStyle w:val="Subtitle"/>
        <w:numPr>
          <w:ilvl w:val="0"/>
          <w:numId w:val="1004"/>
        </w:numPr>
        <w:spacing w:before="0" w:after="160"/>
        <w:ind w:left="360" w:hanging="259"/>
        <w:jc w:val="center"/>
        <w:keepNext w:val="0"/>
        <w:keepLines/>
        <w:widowControl w:val="1"/>
      </w:pPr>
      <w:bookmarkStart w:id="53" w:name="ref-winter2019cddd"/>
      <w:r>
        <w:rPr>
          <w:rFonts w:ascii="Times New Roman" w:hAnsi="Times New Roman"/>
          <w:b w:val="0"/>
          <w:i/>
          <w:sz w:val="20"/>
        </w:rPr>
        <w:t xml:space="preserve">Winter, R., Montanari, F., Noé, F., &amp; Clevert, D.-A. (2019). Learning continuous and data-driven molecular descriptors by translating equivalent chemical representations.</w:t>
      </w:r>
      <w:r>
        <w:rPr>
          <w:rFonts w:ascii="Times New Roman" w:hAnsi="Times New Roman"/>
          <w:b w:val="0"/>
          <w:i/>
          <w:sz w:val="20"/>
        </w:rPr>
        <w:t xml:space="preserve"> </w:t>
      </w:r>
      <w:r>
        <w:rPr>
          <w:rFonts w:ascii="Times New Roman" w:hAnsi="Times New Roman"/>
          <w:b w:val="0"/>
          <w:i/>
          <w:iCs/>
          <w:sz w:val="20"/>
        </w:rPr>
        <w:t xml:space="preserve">Chem. Sci. 10(6)</w:t>
      </w:r>
      <w:r>
        <w:rPr>
          <w:rFonts w:ascii="Times New Roman" w:hAnsi="Times New Roman"/>
          <w:b w:val="0"/>
          <w:i/>
          <w:sz w:val="20"/>
        </w:rPr>
        <w:t xml:space="preserve">:1692–1701. doi:10.1039/C8SC04175J.</w:t>
      </w:r>
      <w:bookmarkEnd w:id="53"/>
    </w:p>
    <w:p>
      <w:pPr>
        <w:pStyle w:val="Subtitle"/>
        <w:numPr>
          <w:ilvl w:val="0"/>
          <w:numId w:val="1004"/>
        </w:numPr>
        <w:spacing w:before="0" w:after="160"/>
        <w:ind w:left="360" w:hanging="259"/>
        <w:jc w:val="center"/>
        <w:keepNext w:val="0"/>
        <w:keepLines/>
        <w:widowControl w:val="1"/>
      </w:pPr>
      <w:bookmarkStart w:id="54" w:name="ref-maziarka2020molcyclegan"/>
      <w:r>
        <w:rPr>
          <w:rFonts w:ascii="Times New Roman" w:hAnsi="Times New Roman"/>
          <w:b w:val="0"/>
          <w:i/>
          <w:sz w:val="20"/>
        </w:rPr>
        <w:t xml:space="preserve">Maziarka, Ł., Pocha, A., Kaczmarczyk, J., Rataj, K., Danel, T., &amp; Warchoł, M. (2020). Mol-CycleGAN: a generative model for molecular optimization.</w:t>
      </w:r>
      <w:r>
        <w:rPr>
          <w:rFonts w:ascii="Times New Roman" w:hAnsi="Times New Roman"/>
          <w:b w:val="0"/>
          <w:i/>
          <w:sz w:val="20"/>
        </w:rPr>
        <w:t xml:space="preserve"> </w:t>
      </w:r>
      <w:r>
        <w:rPr>
          <w:rFonts w:ascii="Times New Roman" w:hAnsi="Times New Roman"/>
          <w:b w:val="0"/>
          <w:i/>
          <w:iCs/>
          <w:sz w:val="20"/>
        </w:rPr>
        <w:t xml:space="preserve">J. Cheminformatics 12</w:t>
      </w:r>
      <w:r>
        <w:rPr>
          <w:rFonts w:ascii="Times New Roman" w:hAnsi="Times New Roman"/>
          <w:b w:val="0"/>
          <w:i/>
          <w:sz w:val="20"/>
        </w:rPr>
        <w:t xml:space="preserve">:2. doi:10.1186/s13321-019-0404-1.</w:t>
      </w:r>
      <w:bookmarkEnd w:id="54"/>
    </w:p>
    <w:p>
      <w:pPr>
        <w:pStyle w:val="Subtitle"/>
        <w:numPr>
          <w:ilvl w:val="0"/>
          <w:numId w:val="1004"/>
        </w:numPr>
        <w:spacing w:before="0" w:after="160"/>
        <w:ind w:left="360" w:hanging="259"/>
        <w:jc w:val="center"/>
        <w:keepNext w:val="0"/>
        <w:keepLines/>
        <w:widowControl w:val="1"/>
      </w:pPr>
      <w:bookmarkStart w:id="55" w:name="ref-krenn2020selfies"/>
      <w:r>
        <w:rPr>
          <w:rFonts w:ascii="Times New Roman" w:hAnsi="Times New Roman"/>
          <w:b w:val="0"/>
          <w:i/>
          <w:sz w:val="20"/>
        </w:rPr>
        <w:t xml:space="preserve">Krenn, M., Häse, F., Nigam, A., Friederich, P., &amp; Aspuru-Guzik, A. (2020). Self-Referencing Embedded Strings (SELFIES): A 100% Robust Molecular String Representation.</w:t>
      </w:r>
      <w:r>
        <w:rPr>
          <w:rFonts w:ascii="Times New Roman" w:hAnsi="Times New Roman"/>
          <w:b w:val="0"/>
          <w:i/>
          <w:sz w:val="20"/>
        </w:rPr>
        <w:t xml:space="preserve"> </w:t>
      </w:r>
      <w:r>
        <w:rPr>
          <w:rFonts w:ascii="Times New Roman" w:hAnsi="Times New Roman"/>
          <w:b w:val="0"/>
          <w:i/>
          <w:iCs/>
          <w:sz w:val="20"/>
        </w:rPr>
        <w:t xml:space="preserve">Mach. Learn.: Sci. Tech. 1</w:t>
      </w:r>
      <w:r>
        <w:rPr>
          <w:rFonts w:ascii="Times New Roman" w:hAnsi="Times New Roman"/>
          <w:b w:val="0"/>
          <w:i/>
          <w:sz w:val="20"/>
        </w:rPr>
        <w:t xml:space="preserve">:045024.</w:t>
      </w:r>
      <w:bookmarkEnd w:id="55"/>
    </w:p>
    <w:p>
      <w:pPr>
        <w:pStyle w:val="Subtitle"/>
        <w:numPr>
          <w:ilvl w:val="0"/>
          <w:numId w:val="1004"/>
        </w:numPr>
        <w:spacing w:before="0" w:after="160"/>
        <w:ind w:left="360" w:hanging="259"/>
        <w:jc w:val="center"/>
        <w:keepNext w:val="0"/>
        <w:keepLines/>
        <w:widowControl w:val="1"/>
      </w:pPr>
      <w:bookmarkStart w:id="56" w:name="ref-eckmann2022limo"/>
      <w:r>
        <w:rPr>
          <w:rFonts w:ascii="Times New Roman" w:hAnsi="Times New Roman"/>
          <w:b w:val="0"/>
          <w:i/>
          <w:sz w:val="20"/>
        </w:rPr>
        <w:t xml:space="preserve">Eckmann, P., Sun, K., Zhao, B., Feng, M., Gilson, M. K., &amp; Yu, R. (2022). LIMO: Latent Inceptionism for Targeted Molecule Generation.</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arXiv:2206.09010.</w:t>
      </w:r>
      <w:bookmarkEnd w:id="56"/>
    </w:p>
    <w:p>
      <w:pPr>
        <w:pStyle w:val="Subtitle"/>
        <w:numPr>
          <w:ilvl w:val="0"/>
          <w:numId w:val="1004"/>
        </w:numPr>
        <w:spacing w:before="0" w:after="160"/>
        <w:ind w:left="360" w:hanging="259"/>
        <w:jc w:val="center"/>
        <w:keepNext w:val="0"/>
        <w:keepLines/>
        <w:widowControl w:val="1"/>
      </w:pPr>
      <w:bookmarkStart w:id="57" w:name="ref-reidenbach2023molmim"/>
      <w:r>
        <w:rPr>
          <w:rFonts w:ascii="Times New Roman" w:hAnsi="Times New Roman"/>
          <w:b w:val="0"/>
          <w:i/>
          <w:sz w:val="20"/>
        </w:rPr>
        <w:t xml:space="preserve">Reidenbach, D., Livne, M., Ilango, R. K., Gill, M., &amp; Israeli, J. (2023). MolMIM: A Molecular Language Model for Property-Guided Molecule Generation via Mutual Information Machines. (MLDD Workshop, ICLR 2023; arXiv:2208.09016).</w:t>
      </w:r>
      <w:bookmarkEnd w:id="57"/>
    </w:p>
    <w:p>
      <w:pPr>
        <w:pStyle w:val="Subtitle"/>
        <w:numPr>
          <w:ilvl w:val="0"/>
          <w:numId w:val="1004"/>
        </w:numPr>
        <w:spacing w:before="0" w:after="160"/>
        <w:ind w:left="360" w:hanging="259"/>
        <w:jc w:val="center"/>
        <w:keepNext w:val="0"/>
        <w:keepLines/>
        <w:widowControl w:val="1"/>
      </w:pPr>
      <w:bookmarkStart w:id="58" w:name="ref-jaegle2021perceiver"/>
      <w:r>
        <w:rPr>
          <w:rFonts w:ascii="Times New Roman" w:hAnsi="Times New Roman"/>
          <w:b w:val="0"/>
          <w:i/>
          <w:sz w:val="20"/>
        </w:rPr>
        <w:t xml:space="preserve">Jaegle, A. et al. (2021). Perceiver: General Perception with Iterative Attention.</w:t>
      </w:r>
      <w:r>
        <w:rPr>
          <w:rFonts w:ascii="Times New Roman" w:hAnsi="Times New Roman"/>
          <w:b w:val="0"/>
          <w:i/>
          <w:sz w:val="20"/>
        </w:rPr>
        <w:t xml:space="preserve"> </w:t>
      </w:r>
      <w:r>
        <w:rPr>
          <w:rFonts w:ascii="Times New Roman" w:hAnsi="Times New Roman"/>
          <w:b w:val="0"/>
          <w:i/>
          <w:iCs/>
          <w:sz w:val="20"/>
        </w:rPr>
        <w:t xml:space="preserve">ICML 2021</w:t>
      </w:r>
      <w:r>
        <w:rPr>
          <w:rFonts w:ascii="Times New Roman" w:hAnsi="Times New Roman"/>
          <w:b w:val="0"/>
          <w:i/>
          <w:sz w:val="20"/>
        </w:rPr>
        <w:t xml:space="preserve">. arXiv:2103.03206.</w:t>
      </w:r>
      <w:bookmarkEnd w:id="58"/>
    </w:p>
    <w:p>
      <w:pPr>
        <w:pStyle w:val="Subtitle"/>
        <w:numPr>
          <w:ilvl w:val="0"/>
          <w:numId w:val="1004"/>
        </w:numPr>
        <w:spacing w:before="0" w:after="160"/>
        <w:ind w:left="360" w:hanging="259"/>
        <w:jc w:val="center"/>
        <w:keepNext w:val="0"/>
        <w:keepLines/>
        <w:widowControl w:val="1"/>
      </w:pPr>
      <w:bookmarkStart w:id="59" w:name="ref-olivecrona2017reinvent"/>
      <w:r>
        <w:rPr>
          <w:rFonts w:ascii="Times New Roman" w:hAnsi="Times New Roman"/>
          <w:b w:val="0"/>
          <w:i/>
          <w:sz w:val="20"/>
        </w:rPr>
        <w:t xml:space="preserve">Olivecrona, M., Blaschke, T., Engkvist, O., &amp; Chen, H. (2017). Molecular de-novo design through deep reinforcement learning.</w:t>
      </w:r>
      <w:r>
        <w:rPr>
          <w:rFonts w:ascii="Times New Roman" w:hAnsi="Times New Roman"/>
          <w:b w:val="0"/>
          <w:i/>
          <w:sz w:val="20"/>
        </w:rPr>
        <w:t xml:space="preserve"> </w:t>
      </w:r>
      <w:r>
        <w:rPr>
          <w:rFonts w:ascii="Times New Roman" w:hAnsi="Times New Roman"/>
          <w:b w:val="0"/>
          <w:i/>
          <w:iCs/>
          <w:sz w:val="20"/>
        </w:rPr>
        <w:t xml:space="preserve">J. Cheminformatics 9</w:t>
      </w:r>
      <w:r>
        <w:rPr>
          <w:rFonts w:ascii="Times New Roman" w:hAnsi="Times New Roman"/>
          <w:b w:val="0"/>
          <w:i/>
          <w:sz w:val="20"/>
        </w:rPr>
        <w:t xml:space="preserve">:48. doi:10.1186/s13321-017-0235-x.</w:t>
      </w:r>
      <w:bookmarkEnd w:id="59"/>
    </w:p>
    <w:p>
      <w:pPr>
        <w:pStyle w:val="Subtitle"/>
        <w:numPr>
          <w:ilvl w:val="0"/>
          <w:numId w:val="1004"/>
        </w:numPr>
        <w:spacing w:before="0" w:after="160"/>
        <w:ind w:left="360" w:hanging="259"/>
        <w:jc w:val="center"/>
        <w:keepNext w:val="0"/>
        <w:keepLines/>
        <w:widowControl w:val="1"/>
      </w:pPr>
      <w:bookmarkStart w:id="60" w:name="ref-loeffler2024reinvent4"/>
      <w:r>
        <w:rPr>
          <w:rFonts w:ascii="Times New Roman" w:hAnsi="Times New Roman"/>
          <w:b w:val="0"/>
          <w:i/>
          <w:sz w:val="20"/>
        </w:rPr>
        <w:t xml:space="preserve">Loeffler, H. H., He, J., Tibo, A., Janet, J. P., Voronov, A., Mervin, L. H., &amp; Engkvist, O. (2024). REINVENT 4: Modern AI-driven generative molecule design.</w:t>
      </w:r>
      <w:r>
        <w:rPr>
          <w:rFonts w:ascii="Times New Roman" w:hAnsi="Times New Roman"/>
          <w:b w:val="0"/>
          <w:i/>
          <w:sz w:val="20"/>
        </w:rPr>
        <w:t xml:space="preserve"> </w:t>
      </w:r>
      <w:r>
        <w:rPr>
          <w:rFonts w:ascii="Times New Roman" w:hAnsi="Times New Roman"/>
          <w:b w:val="0"/>
          <w:i/>
          <w:iCs/>
          <w:sz w:val="20"/>
        </w:rPr>
        <w:t xml:space="preserve">J. Cheminformatics 16</w:t>
      </w:r>
      <w:r>
        <w:rPr>
          <w:rFonts w:ascii="Times New Roman" w:hAnsi="Times New Roman"/>
          <w:b w:val="0"/>
          <w:i/>
          <w:sz w:val="20"/>
        </w:rPr>
        <w:t xml:space="preserve">:20. doi:10.1186/s13321-024-00812-5.</w:t>
      </w:r>
      <w:bookmarkEnd w:id="60"/>
    </w:p>
    <w:p>
      <w:pPr>
        <w:pStyle w:val="Subtitle"/>
        <w:numPr>
          <w:ilvl w:val="0"/>
          <w:numId w:val="1004"/>
        </w:numPr>
        <w:spacing w:before="0" w:after="160"/>
        <w:ind w:left="360" w:hanging="259"/>
        <w:jc w:val="center"/>
        <w:keepNext w:val="0"/>
        <w:keepLines/>
        <w:widowControl w:val="1"/>
      </w:pPr>
      <w:bookmarkStart w:id="61" w:name="ref-yang2017chemts"/>
      <w:r>
        <w:rPr>
          <w:rFonts w:ascii="Times New Roman" w:hAnsi="Times New Roman"/>
          <w:b w:val="0"/>
          <w:i/>
          <w:sz w:val="20"/>
        </w:rPr>
        <w:t xml:space="preserve">Yang, X., Zhang, J., Yoshizoe, K., Terayama, K., &amp; Tsuda, K. (2017). ChemTS: An efficient python library for de novo molecular generation.</w:t>
      </w:r>
      <w:r>
        <w:rPr>
          <w:rFonts w:ascii="Times New Roman" w:hAnsi="Times New Roman"/>
          <w:b w:val="0"/>
          <w:i/>
          <w:sz w:val="20"/>
        </w:rPr>
        <w:t xml:space="preserve"> </w:t>
      </w:r>
      <w:r>
        <w:rPr>
          <w:rFonts w:ascii="Times New Roman" w:hAnsi="Times New Roman"/>
          <w:b w:val="0"/>
          <w:i/>
          <w:iCs/>
          <w:sz w:val="20"/>
        </w:rPr>
        <w:t xml:space="preserve">Sci. Tech. Adv. Mater. 18(1)</w:t>
      </w:r>
      <w:r>
        <w:rPr>
          <w:rFonts w:ascii="Times New Roman" w:hAnsi="Times New Roman"/>
          <w:b w:val="0"/>
          <w:i/>
          <w:sz w:val="20"/>
        </w:rPr>
        <w:t xml:space="preserve">:972–976. doi:10.1080/14686996.2017.1401424.</w:t>
      </w:r>
      <w:bookmarkEnd w:id="61"/>
    </w:p>
    <w:p>
      <w:pPr>
        <w:pStyle w:val="Subtitle"/>
        <w:numPr>
          <w:ilvl w:val="0"/>
          <w:numId w:val="1004"/>
        </w:numPr>
        <w:spacing w:before="0" w:after="160"/>
        <w:ind w:left="360" w:hanging="259"/>
        <w:jc w:val="center"/>
        <w:keepNext w:val="0"/>
        <w:keepLines/>
        <w:widowControl w:val="1"/>
      </w:pPr>
      <w:bookmarkStart w:id="62" w:name="ref-bagal2022molgpt"/>
      <w:r>
        <w:rPr>
          <w:rFonts w:ascii="Times New Roman" w:hAnsi="Times New Roman"/>
          <w:b w:val="0"/>
          <w:i/>
          <w:sz w:val="20"/>
        </w:rPr>
        <w:t xml:space="preserve">Bagal, V., Aggarwal, R., Vinod, P. K., &amp; Priyakumar, U. D. (2022). MolGPT: Molecular Generation Using a Transformer-Decoder Model.</w:t>
      </w:r>
      <w:r>
        <w:rPr>
          <w:rFonts w:ascii="Times New Roman" w:hAnsi="Times New Roman"/>
          <w:b w:val="0"/>
          <w:i/>
          <w:sz w:val="20"/>
        </w:rPr>
        <w:t xml:space="preserve"> </w:t>
      </w:r>
      <w:r>
        <w:rPr>
          <w:rFonts w:ascii="Times New Roman" w:hAnsi="Times New Roman"/>
          <w:b w:val="0"/>
          <w:i/>
          <w:iCs/>
          <w:sz w:val="20"/>
        </w:rPr>
        <w:t xml:space="preserve">J. Chem. Inf. Model. 62(9)</w:t>
      </w:r>
      <w:r>
        <w:rPr>
          <w:rFonts w:ascii="Times New Roman" w:hAnsi="Times New Roman"/>
          <w:b w:val="0"/>
          <w:i/>
          <w:sz w:val="20"/>
        </w:rPr>
        <w:t xml:space="preserve">:2064–2076. doi:10.1021/acs.jcim.1c00600.</w:t>
      </w:r>
      <w:bookmarkEnd w:id="62"/>
    </w:p>
    <w:p>
      <w:pPr>
        <w:pStyle w:val="Subtitle"/>
        <w:numPr>
          <w:ilvl w:val="0"/>
          <w:numId w:val="1004"/>
        </w:numPr>
        <w:spacing w:before="0" w:after="160"/>
        <w:ind w:left="360" w:hanging="259"/>
        <w:jc w:val="center"/>
        <w:keepNext w:val="0"/>
        <w:keepLines/>
        <w:widowControl w:val="1"/>
      </w:pPr>
      <w:bookmarkStart w:id="63" w:name="ref-ross2022molformer"/>
      <w:r>
        <w:rPr>
          <w:rFonts w:ascii="Times New Roman" w:hAnsi="Times New Roman"/>
          <w:b w:val="0"/>
          <w:i/>
          <w:sz w:val="20"/>
        </w:rPr>
        <w:t xml:space="preserve">Ross, J. et al. (2022). Large-Scale Chemical Language Representations Capture Molecular Structure and Properties.</w:t>
      </w:r>
      <w:r>
        <w:rPr>
          <w:rFonts w:ascii="Times New Roman" w:hAnsi="Times New Roman"/>
          <w:b w:val="0"/>
          <w:i/>
          <w:sz w:val="20"/>
        </w:rPr>
        <w:t xml:space="preserve"> </w:t>
      </w:r>
      <w:r>
        <w:rPr>
          <w:rFonts w:ascii="Times New Roman" w:hAnsi="Times New Roman"/>
          <w:b w:val="0"/>
          <w:i/>
          <w:iCs/>
          <w:sz w:val="20"/>
        </w:rPr>
        <w:t xml:space="preserve">Nature Machine Intelligence 4</w:t>
      </w:r>
      <w:r>
        <w:rPr>
          <w:rFonts w:ascii="Times New Roman" w:hAnsi="Times New Roman"/>
          <w:b w:val="0"/>
          <w:i/>
          <w:sz w:val="20"/>
        </w:rPr>
        <w:t xml:space="preserve">:1256–1264. doi:10.1038/s42256-022-00580-7.</w:t>
      </w:r>
      <w:bookmarkEnd w:id="63"/>
    </w:p>
    <w:p>
      <w:pPr>
        <w:pStyle w:val="Subtitle"/>
        <w:numPr>
          <w:ilvl w:val="0"/>
          <w:numId w:val="1004"/>
        </w:numPr>
        <w:spacing w:before="0" w:after="160"/>
        <w:ind w:left="360" w:hanging="259"/>
        <w:jc w:val="center"/>
        <w:keepNext w:val="0"/>
        <w:keepLines/>
        <w:widowControl w:val="1"/>
      </w:pPr>
      <w:bookmarkStart w:id="64" w:name="ref-irwin2022chemformer"/>
      <w:r>
        <w:rPr>
          <w:rFonts w:ascii="Times New Roman" w:hAnsi="Times New Roman"/>
          <w:b w:val="0"/>
          <w:i/>
          <w:sz w:val="20"/>
        </w:rPr>
        <w:t xml:space="preserve">Irwin, R., Dimitriadis, S., He, J., &amp; Bjerrum, E. J. (2022). Chemformer: A Pre-Trained Transformer for Computational Chemistry.</w:t>
      </w:r>
      <w:r>
        <w:rPr>
          <w:rFonts w:ascii="Times New Roman" w:hAnsi="Times New Roman"/>
          <w:b w:val="0"/>
          <w:i/>
          <w:sz w:val="20"/>
        </w:rPr>
        <w:t xml:space="preserve"> </w:t>
      </w:r>
      <w:r>
        <w:rPr>
          <w:rFonts w:ascii="Times New Roman" w:hAnsi="Times New Roman"/>
          <w:b w:val="0"/>
          <w:i/>
          <w:iCs/>
          <w:sz w:val="20"/>
        </w:rPr>
        <w:t xml:space="preserve">Mach. Learn.: Sci. Tech. 3</w:t>
      </w:r>
      <w:r>
        <w:rPr>
          <w:rFonts w:ascii="Times New Roman" w:hAnsi="Times New Roman"/>
          <w:b w:val="0"/>
          <w:i/>
          <w:sz w:val="20"/>
        </w:rPr>
        <w:t xml:space="preserve">:015022. doi:10.1088/2632-2153/ac3ffb.</w:t>
      </w:r>
      <w:bookmarkEnd w:id="64"/>
    </w:p>
    <w:p>
      <w:pPr>
        <w:pStyle w:val="Subtitle"/>
        <w:numPr>
          <w:ilvl w:val="0"/>
          <w:numId w:val="1004"/>
        </w:numPr>
        <w:spacing w:before="0" w:after="160"/>
        <w:ind w:left="360" w:hanging="259"/>
        <w:jc w:val="center"/>
        <w:keepNext w:val="0"/>
        <w:keepLines/>
        <w:widowControl w:val="1"/>
      </w:pPr>
      <w:bookmarkStart w:id="65" w:name="ref-bengio2021gflownet"/>
      <w:r>
        <w:rPr>
          <w:rFonts w:ascii="Times New Roman" w:hAnsi="Times New Roman"/>
          <w:b w:val="0"/>
          <w:i/>
          <w:sz w:val="20"/>
        </w:rPr>
        <w:t xml:space="preserve">Bengio, E., Jain, M., Korablyov, M., Precup, D., &amp; Bengio, Y. (2021). Flow Network Based Generative Models for Non-Iterative Diverse Candidate Generation.</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arXiv:2106.04399.</w:t>
      </w:r>
      <w:bookmarkEnd w:id="65"/>
    </w:p>
    <w:p>
      <w:pPr>
        <w:pStyle w:val="Subtitle"/>
        <w:numPr>
          <w:ilvl w:val="0"/>
          <w:numId w:val="1004"/>
        </w:numPr>
        <w:spacing w:before="0" w:after="160"/>
        <w:ind w:left="360" w:hanging="259"/>
        <w:jc w:val="center"/>
        <w:keepNext w:val="0"/>
        <w:keepLines/>
        <w:widowControl w:val="1"/>
      </w:pPr>
      <w:bookmarkStart w:id="66" w:name="ref-vignac2023digress"/>
      <w:r>
        <w:rPr>
          <w:rFonts w:ascii="Times New Roman" w:hAnsi="Times New Roman"/>
          <w:b w:val="0"/>
          <w:i/>
          <w:sz w:val="20"/>
        </w:rPr>
        <w:t xml:space="preserve">Vignac, C. et al. (2023). DiGress: Discrete Denoising Diffusion for Graph Generation.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arXiv:2209.14734.</w:t>
      </w:r>
      <w:bookmarkEnd w:id="66"/>
    </w:p>
    <w:p>
      <w:pPr>
        <w:pStyle w:val="Subtitle"/>
        <w:numPr>
          <w:ilvl w:val="0"/>
          <w:numId w:val="1004"/>
        </w:numPr>
        <w:spacing w:before="0" w:after="160"/>
        <w:ind w:left="360" w:hanging="259"/>
        <w:jc w:val="center"/>
        <w:keepNext w:val="0"/>
        <w:keepLines/>
        <w:widowControl w:val="1"/>
      </w:pPr>
      <w:bookmarkStart w:id="67" w:name="ref-ho2020ddpm"/>
      <w:r>
        <w:rPr>
          <w:rFonts w:ascii="Times New Roman" w:hAnsi="Times New Roman"/>
          <w:b w:val="0"/>
          <w:i/>
          <w:sz w:val="20"/>
        </w:rPr>
        <w:t xml:space="preserve">Ho, J., Jain, A., &amp; Abbeel, P. (2020). Denoising Diffusion Probabilistic Models.</w:t>
      </w:r>
      <w:r>
        <w:rPr>
          <w:rFonts w:ascii="Times New Roman" w:hAnsi="Times New Roman"/>
          <w:b w:val="0"/>
          <w:i/>
          <w:sz w:val="20"/>
        </w:rPr>
        <w:t xml:space="preserve"> </w:t>
      </w:r>
      <w:r>
        <w:rPr>
          <w:rFonts w:ascii="Times New Roman" w:hAnsi="Times New Roman"/>
          <w:b w:val="0"/>
          <w:i/>
          <w:iCs/>
          <w:sz w:val="20"/>
        </w:rPr>
        <w:t xml:space="preserve">NeurIPS 2020</w:t>
      </w:r>
      <w:r>
        <w:rPr>
          <w:rFonts w:ascii="Times New Roman" w:hAnsi="Times New Roman"/>
          <w:b w:val="0"/>
          <w:i/>
          <w:sz w:val="20"/>
        </w:rPr>
        <w:t xml:space="preserve">. arXiv:2006.11239.</w:t>
      </w:r>
      <w:bookmarkEnd w:id="67"/>
    </w:p>
    <w:p>
      <w:pPr>
        <w:pStyle w:val="Subtitle"/>
        <w:numPr>
          <w:ilvl w:val="0"/>
          <w:numId w:val="1004"/>
        </w:numPr>
        <w:spacing w:before="0" w:after="160"/>
        <w:ind w:left="360" w:hanging="259"/>
        <w:jc w:val="center"/>
        <w:keepNext w:val="0"/>
        <w:keepLines/>
        <w:widowControl w:val="1"/>
      </w:pPr>
      <w:bookmarkStart w:id="68" w:name="ref-song2019score"/>
      <w:r>
        <w:rPr>
          <w:rFonts w:ascii="Times New Roman" w:hAnsi="Times New Roman"/>
          <w:b w:val="0"/>
          <w:i/>
          <w:sz w:val="20"/>
        </w:rPr>
        <w:t xml:space="preserve">Song, Y., &amp; Ermon, S. (2019). Generative Modeling by Estimating Gradients of the Data Distribution.</w:t>
      </w:r>
      <w:r>
        <w:rPr>
          <w:rFonts w:ascii="Times New Roman" w:hAnsi="Times New Roman"/>
          <w:b w:val="0"/>
          <w:i/>
          <w:sz w:val="20"/>
        </w:rPr>
        <w:t xml:space="preserve"> </w:t>
      </w:r>
      <w:r>
        <w:rPr>
          <w:rFonts w:ascii="Times New Roman" w:hAnsi="Times New Roman"/>
          <w:b w:val="0"/>
          <w:i/>
          <w:iCs/>
          <w:sz w:val="20"/>
        </w:rPr>
        <w:t xml:space="preserve">NeurIPS 2019</w:t>
      </w:r>
      <w:r>
        <w:rPr>
          <w:rFonts w:ascii="Times New Roman" w:hAnsi="Times New Roman"/>
          <w:b w:val="0"/>
          <w:i/>
          <w:sz w:val="20"/>
        </w:rPr>
        <w:t xml:space="preserve">. arXiv:1907.05600.</w:t>
      </w:r>
      <w:bookmarkEnd w:id="68"/>
    </w:p>
    <w:p>
      <w:pPr>
        <w:pStyle w:val="Subtitle"/>
        <w:numPr>
          <w:ilvl w:val="0"/>
          <w:numId w:val="1004"/>
        </w:numPr>
        <w:spacing w:before="0" w:after="160"/>
        <w:ind w:left="360" w:hanging="259"/>
        <w:jc w:val="center"/>
        <w:keepNext w:val="0"/>
        <w:keepLines/>
        <w:widowControl w:val="1"/>
      </w:pPr>
      <w:bookmarkStart w:id="69" w:name="ref-song2021sde"/>
      <w:r>
        <w:rPr>
          <w:rFonts w:ascii="Times New Roman" w:hAnsi="Times New Roman"/>
          <w:b w:val="0"/>
          <w:i/>
          <w:sz w:val="20"/>
        </w:rPr>
        <w:t xml:space="preserve">Song, Y. et al. (2021). Score-Based Generative Modeling through Stochastic Differential Equations.</w:t>
      </w:r>
      <w:r>
        <w:rPr>
          <w:rFonts w:ascii="Times New Roman" w:hAnsi="Times New Roman"/>
          <w:b w:val="0"/>
          <w:i/>
          <w:sz w:val="20"/>
        </w:rPr>
        <w:t xml:space="preserve"> </w:t>
      </w:r>
      <w:r>
        <w:rPr>
          <w:rFonts w:ascii="Times New Roman" w:hAnsi="Times New Roman"/>
          <w:b w:val="0"/>
          <w:i/>
          <w:iCs/>
          <w:sz w:val="20"/>
        </w:rPr>
        <w:t xml:space="preserve">ICLR 2021</w:t>
      </w:r>
      <w:r>
        <w:rPr>
          <w:rFonts w:ascii="Times New Roman" w:hAnsi="Times New Roman"/>
          <w:b w:val="0"/>
          <w:i/>
          <w:sz w:val="20"/>
        </w:rPr>
        <w:t xml:space="preserve">. arXiv:2011.13456.</w:t>
      </w:r>
      <w:bookmarkEnd w:id="69"/>
    </w:p>
    <w:p>
      <w:pPr>
        <w:pStyle w:val="Subtitle"/>
        <w:numPr>
          <w:ilvl w:val="0"/>
          <w:numId w:val="1004"/>
        </w:numPr>
        <w:spacing w:before="0" w:after="160"/>
        <w:ind w:left="360" w:hanging="259"/>
        <w:jc w:val="center"/>
        <w:keepNext w:val="0"/>
        <w:keepLines/>
        <w:widowControl w:val="1"/>
      </w:pPr>
      <w:bookmarkStart w:id="70" w:name="ref-rombach2022ldm"/>
      <w:r>
        <w:rPr>
          <w:rFonts w:ascii="Times New Roman" w:hAnsi="Times New Roman"/>
          <w:b w:val="0"/>
          <w:i/>
          <w:sz w:val="20"/>
        </w:rPr>
        <w:t xml:space="preserve">Rombach, R., Blattmann, A., Lorenz, D., Esser, P., &amp; Ommer, B. (2022). High-Resolution Image Synthesis with Latent Diffusion Models.</w:t>
      </w:r>
      <w:r>
        <w:rPr>
          <w:rFonts w:ascii="Times New Roman" w:hAnsi="Times New Roman"/>
          <w:b w:val="0"/>
          <w:i/>
          <w:sz w:val="20"/>
        </w:rPr>
        <w:t xml:space="preserve"> </w:t>
      </w:r>
      <w:r>
        <w:rPr>
          <w:rFonts w:ascii="Times New Roman" w:hAnsi="Times New Roman"/>
          <w:b w:val="0"/>
          <w:i/>
          <w:iCs/>
          <w:sz w:val="20"/>
        </w:rPr>
        <w:t xml:space="preserve">CVPR 2022</w:t>
      </w:r>
      <w:r>
        <w:rPr>
          <w:rFonts w:ascii="Times New Roman" w:hAnsi="Times New Roman"/>
          <w:b w:val="0"/>
          <w:i/>
          <w:sz w:val="20"/>
        </w:rPr>
        <w:t xml:space="preserve">. arXiv:2112.10752.</w:t>
      </w:r>
      <w:bookmarkEnd w:id="70"/>
    </w:p>
    <w:p>
      <w:pPr>
        <w:pStyle w:val="Subtitle"/>
        <w:numPr>
          <w:ilvl w:val="0"/>
          <w:numId w:val="1004"/>
        </w:numPr>
        <w:spacing w:before="0" w:after="160"/>
        <w:ind w:left="360" w:hanging="259"/>
        <w:jc w:val="center"/>
        <w:keepNext w:val="0"/>
        <w:keepLines/>
        <w:widowControl w:val="1"/>
      </w:pPr>
      <w:bookmarkStart w:id="71" w:name="ref-dhariwal2021diffusion"/>
      <w:r>
        <w:rPr>
          <w:rFonts w:ascii="Times New Roman" w:hAnsi="Times New Roman"/>
          <w:b w:val="0"/>
          <w:i/>
          <w:sz w:val="20"/>
        </w:rPr>
        <w:t xml:space="preserve">Dhariwal, P., &amp; Nichol, A. (2021). Diffusion Models Beat GANs on Image Synthesis.</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arXiv:2105.05233.</w:t>
      </w:r>
      <w:bookmarkEnd w:id="71"/>
    </w:p>
    <w:p>
      <w:pPr>
        <w:pStyle w:val="Subtitle"/>
        <w:numPr>
          <w:ilvl w:val="0"/>
          <w:numId w:val="1004"/>
        </w:numPr>
        <w:spacing w:before="0" w:after="160"/>
        <w:ind w:left="360" w:hanging="259"/>
        <w:jc w:val="center"/>
        <w:keepNext w:val="0"/>
        <w:keepLines/>
        <w:widowControl w:val="1"/>
      </w:pPr>
      <w:bookmarkStart w:id="72" w:name="ref-perez2018film"/>
      <w:r>
        <w:rPr>
          <w:rFonts w:ascii="Times New Roman" w:hAnsi="Times New Roman"/>
          <w:b w:val="0"/>
          <w:i/>
          <w:sz w:val="20"/>
        </w:rPr>
        <w:t xml:space="preserve">Perez, E., Strub, F., de Vries, H., Dumoulin, V., &amp; Courville, A. (2018). FiLM: Visual Reasoning with a General Conditioning Layer.</w:t>
      </w:r>
      <w:r>
        <w:rPr>
          <w:rFonts w:ascii="Times New Roman" w:hAnsi="Times New Roman"/>
          <w:b w:val="0"/>
          <w:i/>
          <w:sz w:val="20"/>
        </w:rPr>
        <w:t xml:space="preserve"> </w:t>
      </w:r>
      <w:r>
        <w:rPr>
          <w:rFonts w:ascii="Times New Roman" w:hAnsi="Times New Roman"/>
          <w:b w:val="0"/>
          <w:i/>
          <w:iCs/>
          <w:sz w:val="20"/>
        </w:rPr>
        <w:t xml:space="preserve">AAAI 2018</w:t>
      </w:r>
      <w:r>
        <w:rPr>
          <w:rFonts w:ascii="Times New Roman" w:hAnsi="Times New Roman"/>
          <w:b w:val="0"/>
          <w:i/>
          <w:sz w:val="20"/>
        </w:rPr>
        <w:t xml:space="preserve">. arXiv:1709.07871.</w:t>
      </w:r>
      <w:bookmarkEnd w:id="72"/>
    </w:p>
    <w:p>
      <w:pPr>
        <w:pStyle w:val="Subtitle"/>
        <w:numPr>
          <w:ilvl w:val="0"/>
          <w:numId w:val="1004"/>
        </w:numPr>
        <w:spacing w:before="0" w:after="160"/>
        <w:ind w:left="360" w:hanging="259"/>
        <w:jc w:val="center"/>
        <w:keepNext w:val="0"/>
        <w:keepLines/>
        <w:widowControl w:val="1"/>
      </w:pPr>
      <w:bookmarkStart w:id="73" w:name="ref-hoogeboom2022edm"/>
      <w:r>
        <w:rPr>
          <w:rFonts w:ascii="Times New Roman" w:hAnsi="Times New Roman"/>
          <w:b w:val="0"/>
          <w:i/>
          <w:sz w:val="20"/>
        </w:rPr>
        <w:t xml:space="preserve">Hoogeboom, E., Garcia Satorras, V., Vignac, C., &amp; Welling, M. (2022). Equivariant Diffusion for Molecule Generation in 3D.</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arXiv:2203.17003.</w:t>
      </w:r>
      <w:bookmarkEnd w:id="73"/>
    </w:p>
    <w:p>
      <w:pPr>
        <w:pStyle w:val="Subtitle"/>
        <w:numPr>
          <w:ilvl w:val="0"/>
          <w:numId w:val="1004"/>
        </w:numPr>
        <w:spacing w:before="0" w:after="160"/>
        <w:ind w:left="360" w:hanging="259"/>
        <w:jc w:val="center"/>
        <w:keepNext w:val="0"/>
        <w:keepLines/>
        <w:widowControl w:val="1"/>
      </w:pPr>
      <w:bookmarkStart w:id="74" w:name="ref-schneuing2022diffsbdd"/>
      <w:r>
        <w:rPr>
          <w:rFonts w:ascii="Times New Roman" w:hAnsi="Times New Roman"/>
          <w:b w:val="0"/>
          <w:i/>
          <w:sz w:val="20"/>
        </w:rPr>
        <w:t xml:space="preserve">Schneuing, A. et al. (2022). Structure-based Drug Design with Equivariant Diffusion Models.</w:t>
      </w:r>
      <w:r>
        <w:rPr>
          <w:rFonts w:ascii="Times New Roman" w:hAnsi="Times New Roman"/>
          <w:b w:val="0"/>
          <w:i/>
          <w:sz w:val="20"/>
        </w:rPr>
        <w:t xml:space="preserve"> </w:t>
      </w:r>
      <w:r>
        <w:rPr>
          <w:rFonts w:ascii="Times New Roman" w:hAnsi="Times New Roman"/>
          <w:b w:val="0"/>
          <w:i/>
          <w:iCs/>
          <w:sz w:val="20"/>
        </w:rPr>
        <w:t xml:space="preserve">NeurIPS 2022 AI4Science Workshop</w:t>
      </w:r>
      <w:r>
        <w:rPr>
          <w:rFonts w:ascii="Times New Roman" w:hAnsi="Times New Roman"/>
          <w:b w:val="0"/>
          <w:i/>
          <w:sz w:val="20"/>
        </w:rPr>
        <w:t xml:space="preserve">. arXiv:2210.13695.</w:t>
      </w:r>
      <w:bookmarkEnd w:id="74"/>
    </w:p>
    <w:p>
      <w:pPr>
        <w:pStyle w:val="Subtitle"/>
        <w:numPr>
          <w:ilvl w:val="0"/>
          <w:numId w:val="1004"/>
        </w:numPr>
        <w:spacing w:before="0" w:after="160"/>
        <w:ind w:left="360" w:hanging="259"/>
        <w:jc w:val="center"/>
        <w:keepNext w:val="0"/>
        <w:keepLines/>
        <w:widowControl w:val="1"/>
      </w:pPr>
      <w:bookmarkStart w:id="75" w:name="ref-guan2023targetdiff"/>
      <w:r>
        <w:rPr>
          <w:rFonts w:ascii="Times New Roman" w:hAnsi="Times New Roman"/>
          <w:b w:val="0"/>
          <w:i/>
          <w:sz w:val="20"/>
        </w:rPr>
        <w:t xml:space="preserve">Guan, J. et al. (2023). 3D Equivariant Diffusion for Target-Aware Molecule Generation and Affinity Prediction.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arXiv:2303.03543.</w:t>
      </w:r>
      <w:bookmarkEnd w:id="75"/>
    </w:p>
    <w:p>
      <w:pPr>
        <w:pStyle w:val="Subtitle"/>
        <w:numPr>
          <w:ilvl w:val="0"/>
          <w:numId w:val="1004"/>
        </w:numPr>
        <w:spacing w:before="0" w:after="160"/>
        <w:ind w:left="360" w:hanging="259"/>
        <w:jc w:val="center"/>
        <w:keepNext w:val="0"/>
        <w:keepLines/>
        <w:widowControl w:val="1"/>
      </w:pPr>
      <w:bookmarkStart w:id="76" w:name="ref-peng2022pocket2mol"/>
      <w:r>
        <w:rPr>
          <w:rFonts w:ascii="Times New Roman" w:hAnsi="Times New Roman"/>
          <w:b w:val="0"/>
          <w:i/>
          <w:sz w:val="20"/>
        </w:rPr>
        <w:t xml:space="preserve">Peng, X., Luo, S., Guan, J., Xie, Q., Peng, J., &amp; Ma, J. (2022). Pocket2Mol: Efficient Molecular Sampling Based on 3D Protein Pockets.</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arXiv:2205.07249.</w:t>
      </w:r>
      <w:bookmarkEnd w:id="76"/>
    </w:p>
    <w:p>
      <w:pPr>
        <w:pStyle w:val="Subtitle"/>
        <w:numPr>
          <w:ilvl w:val="0"/>
          <w:numId w:val="1004"/>
        </w:numPr>
        <w:spacing w:before="0" w:after="160"/>
        <w:ind w:left="360" w:hanging="259"/>
        <w:jc w:val="center"/>
        <w:keepNext w:val="0"/>
        <w:keepLines/>
        <w:widowControl w:val="1"/>
      </w:pPr>
      <w:bookmarkStart w:id="77" w:name="ref-corso2023diffdock"/>
      <w:r>
        <w:rPr>
          <w:rFonts w:ascii="Times New Roman" w:hAnsi="Times New Roman"/>
          <w:b w:val="0"/>
          <w:i/>
          <w:sz w:val="20"/>
        </w:rPr>
        <w:t xml:space="preserve">Corso, G., Stärk, H., Jing, B., Barzilay, R., &amp; Jaakkola, T. (2023). DiffDock: Diffusion Steps, Twists, and Turns for Molecular Docking.</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arXiv:2210.01776.</w:t>
      </w:r>
      <w:bookmarkEnd w:id="77"/>
    </w:p>
    <w:p>
      <w:pPr>
        <w:pStyle w:val="Subtitle"/>
        <w:numPr>
          <w:ilvl w:val="0"/>
          <w:numId w:val="1004"/>
        </w:numPr>
        <w:spacing w:before="0" w:after="160"/>
        <w:ind w:left="360" w:hanging="259"/>
        <w:jc w:val="center"/>
        <w:keepNext w:val="0"/>
        <w:keepLines/>
        <w:widowControl w:val="1"/>
      </w:pPr>
      <w:bookmarkStart w:id="78" w:name="ref-peng2023moldiff"/>
      <w:r>
        <w:rPr>
          <w:rFonts w:ascii="Times New Roman" w:hAnsi="Times New Roman"/>
          <w:b w:val="0"/>
          <w:i/>
          <w:sz w:val="20"/>
        </w:rPr>
        <w:t xml:space="preserve">Peng, X., Guan, J., Liu, Q., &amp; Ma, J. (2023). MolDiff: Addressing the Atom-Bond Inconsistency Problem in 3D Molecule Diffusion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arXiv:2305.07508.</w:t>
      </w:r>
      <w:bookmarkEnd w:id="78"/>
    </w:p>
    <w:p>
      <w:pPr>
        <w:pStyle w:val="Subtitle"/>
        <w:numPr>
          <w:ilvl w:val="0"/>
          <w:numId w:val="1004"/>
        </w:numPr>
        <w:spacing w:before="0" w:after="160"/>
        <w:ind w:left="360" w:hanging="259"/>
        <w:jc w:val="center"/>
        <w:keepNext w:val="0"/>
        <w:keepLines/>
        <w:widowControl w:val="1"/>
      </w:pPr>
      <w:bookmarkStart w:id="79" w:name="ref-xu2023geoldm"/>
      <w:r>
        <w:rPr>
          <w:rFonts w:ascii="Times New Roman" w:hAnsi="Times New Roman"/>
          <w:b w:val="0"/>
          <w:i/>
          <w:sz w:val="20"/>
        </w:rPr>
        <w:t xml:space="preserve">Xu, M., Powers, A., Dror, R. O., Ermon, S., &amp; Leskovec, J. (2023). Geometric Latent Diffusion Models for 3D Molecule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arXiv:2305.01140.</w:t>
      </w:r>
      <w:bookmarkEnd w:id="79"/>
    </w:p>
    <w:p>
      <w:pPr>
        <w:pStyle w:val="Subtitle"/>
        <w:numPr>
          <w:ilvl w:val="0"/>
          <w:numId w:val="1004"/>
        </w:numPr>
        <w:spacing w:before="0" w:after="160"/>
        <w:ind w:left="360" w:hanging="259"/>
        <w:jc w:val="center"/>
        <w:keepNext w:val="0"/>
        <w:keepLines/>
        <w:widowControl w:val="1"/>
      </w:pPr>
      <w:bookmarkStart w:id="80" w:name="ref-elton2018applying"/>
      <w:r>
        <w:rPr>
          <w:rFonts w:ascii="Times New Roman" w:hAnsi="Times New Roman"/>
          <w:b w:val="0"/>
          <w:i/>
          <w:sz w:val="20"/>
        </w:rPr>
        <w:t xml:space="preserve">Elton, D. C., Boukouvalas, Z., Butrico, M. S., Fuge, M. D., &amp; Chung, P. W. (2018). Applying Machine Learning Techniques to Predict the Properties of Energetic Materials.</w:t>
      </w:r>
      <w:r>
        <w:rPr>
          <w:rFonts w:ascii="Times New Roman" w:hAnsi="Times New Roman"/>
          <w:b w:val="0"/>
          <w:i/>
          <w:sz w:val="20"/>
        </w:rPr>
        <w:t xml:space="preserve"> </w:t>
      </w:r>
      <w:r>
        <w:rPr>
          <w:rFonts w:ascii="Times New Roman" w:hAnsi="Times New Roman"/>
          <w:b w:val="0"/>
          <w:i/>
          <w:iCs/>
          <w:sz w:val="20"/>
        </w:rPr>
        <w:t xml:space="preserve">Sci. Rep. 8</w:t>
      </w:r>
      <w:r>
        <w:rPr>
          <w:rFonts w:ascii="Times New Roman" w:hAnsi="Times New Roman"/>
          <w:b w:val="0"/>
          <w:i/>
          <w:sz w:val="20"/>
        </w:rPr>
        <w:t xml:space="preserve">:9059.</w:t>
      </w:r>
      <w:bookmarkEnd w:id="80"/>
    </w:p>
    <w:p>
      <w:pPr>
        <w:pStyle w:val="Subtitle"/>
        <w:numPr>
          <w:ilvl w:val="0"/>
          <w:numId w:val="1004"/>
        </w:numPr>
        <w:spacing w:before="0" w:after="160"/>
        <w:ind w:left="360" w:hanging="259"/>
        <w:jc w:val="center"/>
        <w:keepNext w:val="0"/>
        <w:keepLines/>
        <w:widowControl w:val="1"/>
      </w:pPr>
      <w:bookmarkStart w:id="81" w:name="ref-politzer2014some"/>
      <w:r>
        <w:rPr>
          <w:rFonts w:ascii="Times New Roman" w:hAnsi="Times New Roman"/>
          <w:b w:val="0"/>
          <w:i/>
          <w:sz w:val="20"/>
        </w:rPr>
        <w:t xml:space="preserve">Politzer, P., &amp; Murray, J. S. (2014). Some Perspectives on Estimating Detonation Properties of C, H, N, O Compounds.</w:t>
      </w:r>
      <w:r>
        <w:rPr>
          <w:rFonts w:ascii="Times New Roman" w:hAnsi="Times New Roman"/>
          <w:b w:val="0"/>
          <w:i/>
          <w:sz w:val="20"/>
        </w:rPr>
        <w:t xml:space="preserve"> </w:t>
      </w:r>
      <w:r>
        <w:rPr>
          <w:rFonts w:ascii="Times New Roman" w:hAnsi="Times New Roman"/>
          <w:b w:val="0"/>
          <w:i/>
          <w:iCs/>
          <w:sz w:val="20"/>
        </w:rPr>
        <w:t xml:space="preserve">Cent. Eur. J. Energ. Mater. 11(4)</w:t>
      </w:r>
      <w:r>
        <w:rPr>
          <w:rFonts w:ascii="Times New Roman" w:hAnsi="Times New Roman"/>
          <w:b w:val="0"/>
          <w:i/>
          <w:sz w:val="20"/>
        </w:rPr>
        <w:t xml:space="preserve">:459–474.</w:t>
      </w:r>
      <w:bookmarkEnd w:id="81"/>
    </w:p>
    <w:p>
      <w:pPr>
        <w:pStyle w:val="Subtitle"/>
        <w:numPr>
          <w:ilvl w:val="0"/>
          <w:numId w:val="1004"/>
        </w:numPr>
        <w:spacing w:before="0" w:after="160"/>
        <w:ind w:left="360" w:hanging="259"/>
        <w:jc w:val="center"/>
        <w:keepNext w:val="0"/>
        <w:keepLines/>
        <w:widowControl w:val="1"/>
      </w:pPr>
      <w:bookmarkStart w:id="82" w:name="ref-mathieu2017sensitivity"/>
      <w:r>
        <w:rPr>
          <w:rFonts w:ascii="Times New Roman" w:hAnsi="Times New Roman"/>
          <w:b w:val="0"/>
          <w:i/>
          <w:sz w:val="20"/>
        </w:rPr>
        <w:t xml:space="preserve">Mathieu, D. (2017). Sensitivity of Energetic Materials: Theoretical Relationships to Detonation Performance and Molecular Structure.</w:t>
      </w:r>
      <w:r>
        <w:rPr>
          <w:rFonts w:ascii="Times New Roman" w:hAnsi="Times New Roman"/>
          <w:b w:val="0"/>
          <w:i/>
          <w:sz w:val="20"/>
        </w:rPr>
        <w:t xml:space="preserve"> </w:t>
      </w:r>
      <w:r>
        <w:rPr>
          <w:rFonts w:ascii="Times New Roman" w:hAnsi="Times New Roman"/>
          <w:b w:val="0"/>
          <w:i/>
          <w:iCs/>
          <w:sz w:val="20"/>
        </w:rPr>
        <w:t xml:space="preserve">Ind. Eng. Chem. Res. 56(31)</w:t>
      </w:r>
      <w:r>
        <w:rPr>
          <w:rFonts w:ascii="Times New Roman" w:hAnsi="Times New Roman"/>
          <w:b w:val="0"/>
          <w:i/>
          <w:sz w:val="20"/>
        </w:rPr>
        <w:t xml:space="preserve">:8191–8201. doi:10.1021/acs.iecr.7b02021.</w:t>
      </w:r>
      <w:bookmarkEnd w:id="82"/>
    </w:p>
    <w:p>
      <w:pPr>
        <w:pStyle w:val="Subtitle"/>
        <w:numPr>
          <w:ilvl w:val="0"/>
          <w:numId w:val="1004"/>
        </w:numPr>
        <w:spacing w:before="0" w:after="160"/>
        <w:ind w:left="360" w:hanging="259"/>
        <w:jc w:val="center"/>
        <w:keepNext w:val="0"/>
        <w:keepLines/>
        <w:widowControl w:val="1"/>
      </w:pPr>
      <w:bookmarkStart w:id="83" w:name="ref-suceska2018explo5"/>
      <w:r>
        <w:rPr>
          <w:rFonts w:ascii="Times New Roman" w:hAnsi="Times New Roman"/>
          <w:b w:val="0"/>
          <w:i/>
          <w:sz w:val="20"/>
        </w:rP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83"/>
    </w:p>
    <w:p>
      <w:pPr>
        <w:pStyle w:val="Subtitle"/>
        <w:numPr>
          <w:ilvl w:val="0"/>
          <w:numId w:val="1004"/>
        </w:numPr>
        <w:spacing w:before="0" w:after="160"/>
        <w:ind w:left="360" w:hanging="259"/>
        <w:jc w:val="center"/>
        <w:keepNext w:val="0"/>
        <w:keepLines/>
        <w:widowControl w:val="1"/>
      </w:pPr>
      <w:bookmarkStart w:id="84" w:name="ref-fried2014cheetah"/>
      <w:r>
        <w:rPr>
          <w:rFonts w:ascii="Times New Roman" w:hAnsi="Times New Roman"/>
          <w:b w:val="0"/>
          <w:i/>
          <w:sz w:val="20"/>
        </w:rPr>
        <w:t xml:space="preserve">Fried, L. E., Howard, W. M., Souers, P. C., &amp; Vitello, P. A. (2014). Cheetah 7.0 User's Manual. Lawrence Livermore National Laboratory technical report LLNL-SM-664002. Thermochemical-equilibrium detonation code with JCZ3 / BKWS covolume EOS.</w:t>
      </w:r>
      <w:bookmarkEnd w:id="84"/>
    </w:p>
    <w:p>
      <w:pPr>
        <w:pStyle w:val="Subtitle"/>
        <w:numPr>
          <w:ilvl w:val="0"/>
          <w:numId w:val="1004"/>
        </w:numPr>
        <w:spacing w:before="0" w:after="160"/>
        <w:ind w:left="360" w:hanging="259"/>
        <w:jc w:val="center"/>
        <w:keepNext w:val="0"/>
        <w:keepLines/>
        <w:widowControl w:val="1"/>
      </w:pPr>
      <w:bookmarkStart w:id="85" w:name="ref-choi2023prep"/>
      <w:r>
        <w:rPr>
          <w:rFonts w:ascii="Times New Roman" w:hAnsi="Times New Roman"/>
          <w:b w:val="0"/>
          <w:i/>
          <w:sz w:val="20"/>
        </w:rPr>
        <w:t xml:space="preserve">Choi, J. B., Nguyen, P. C. H., Sen, O., Udaykumar, H. S., &amp; Baek, S. (2023). Artificial Intelligence Approaches for Energetic Materials by Design: State of the Art, Challenges, and Future Directions.</w:t>
      </w:r>
      <w:r>
        <w:rPr>
          <w:rFonts w:ascii="Times New Roman" w:hAnsi="Times New Roman"/>
          <w:b w:val="0"/>
          <w:i/>
          <w:sz w:val="20"/>
        </w:rPr>
        <w:t xml:space="preserve"> </w:t>
      </w:r>
      <w:r>
        <w:rPr>
          <w:rFonts w:ascii="Times New Roman" w:hAnsi="Times New Roman"/>
          <w:b w:val="0"/>
          <w:i/>
          <w:iCs/>
          <w:sz w:val="20"/>
        </w:rPr>
        <w:t xml:space="preserve">Propellants, Explosives, Pyrotechnics 48(4)</w:t>
      </w:r>
      <w:r>
        <w:rPr>
          <w:rFonts w:ascii="Times New Roman" w:hAnsi="Times New Roman"/>
          <w:b w:val="0"/>
          <w:i/>
          <w:sz w:val="20"/>
        </w:rPr>
        <w:t xml:space="preserve">, e202200276. doi:10.1002/prep.202200276.</w:t>
      </w:r>
      <w:bookmarkEnd w:id="85"/>
    </w:p>
    <w:p>
      <w:pPr>
        <w:pStyle w:val="Subtitle"/>
        <w:numPr>
          <w:ilvl w:val="0"/>
          <w:numId w:val="1004"/>
        </w:numPr>
        <w:spacing w:before="0" w:after="160"/>
        <w:ind w:left="360" w:hanging="259"/>
        <w:jc w:val="center"/>
        <w:keepNext w:val="0"/>
        <w:keepLines/>
        <w:widowControl w:val="1"/>
      </w:pPr>
      <w:bookmarkStart w:id="86" w:name="ref-mlcrystdens-cm-2024"/>
      <w:r>
        <w:rPr>
          <w:rFonts w:ascii="Times New Roman" w:hAnsi="Times New Roman"/>
          <w:b w:val="0"/>
          <w:i/>
          <w:sz w:val="20"/>
        </w:rPr>
        <w:t xml:space="preserve">Davis, J. V., Marrs III, F. W., Cawkwell, M. J., &amp; Manner, V. W. (2024). Machine Learning Models for High Explosive Crystal Density and Performance.</w:t>
      </w:r>
      <w:r>
        <w:rPr>
          <w:rFonts w:ascii="Times New Roman" w:hAnsi="Times New Roman"/>
          <w:b w:val="0"/>
          <w:i/>
          <w:sz w:val="20"/>
        </w:rPr>
        <w:t xml:space="preserve"> </w:t>
      </w:r>
      <w:r>
        <w:rPr>
          <w:rFonts w:ascii="Times New Roman" w:hAnsi="Times New Roman"/>
          <w:b w:val="0"/>
          <w:i/>
          <w:iCs/>
          <w:sz w:val="20"/>
        </w:rPr>
        <w:t xml:space="preserve">Chemistry of Materials 36(22)</w:t>
      </w:r>
      <w:r>
        <w:rPr>
          <w:rFonts w:ascii="Times New Roman" w:hAnsi="Times New Roman"/>
          <w:b w:val="0"/>
          <w:i/>
          <w:sz w:val="20"/>
        </w:rPr>
        <w:t xml:space="preserve">, 11109–11118. doi:10.1021/acs.chemmater.4c01978.</w:t>
      </w:r>
      <w:bookmarkEnd w:id="86"/>
    </w:p>
    <w:p>
      <w:pPr>
        <w:pStyle w:val="Subtitle"/>
        <w:numPr>
          <w:ilvl w:val="0"/>
          <w:numId w:val="1004"/>
        </w:numPr>
        <w:spacing w:before="0" w:after="160"/>
        <w:ind w:left="360" w:hanging="259"/>
        <w:jc w:val="center"/>
        <w:keepNext w:val="0"/>
        <w:keepLines/>
        <w:widowControl w:val="1"/>
      </w:pPr>
      <w:bookmarkStart w:id="87" w:name="ref-nefati1996ann"/>
      <w:r>
        <w:rPr>
          <w:rFonts w:ascii="Times New Roman" w:hAnsi="Times New Roman"/>
          <w:b w:val="0"/>
          <w:i/>
          <w:sz w:val="20"/>
        </w:rPr>
        <w:t xml:space="preserve">Nefati, H., Cense, J.-M., &amp; Legendre, J.-J. (1996). Prediction of the Impact Sensitivity by Neural Networks.</w:t>
      </w:r>
      <w:r>
        <w:rPr>
          <w:rFonts w:ascii="Times New Roman" w:hAnsi="Times New Roman"/>
          <w:b w:val="0"/>
          <w:i/>
          <w:sz w:val="20"/>
        </w:rPr>
        <w:t xml:space="preserve"> </w:t>
      </w:r>
      <w:r>
        <w:rPr>
          <w:rFonts w:ascii="Times New Roman" w:hAnsi="Times New Roman"/>
          <w:b w:val="0"/>
          <w:i/>
          <w:iCs/>
          <w:sz w:val="20"/>
        </w:rPr>
        <w:t xml:space="preserve">J. Chem. Inf. Comput. Sci. 36(4)</w:t>
      </w:r>
      <w:r>
        <w:rPr>
          <w:rFonts w:ascii="Times New Roman" w:hAnsi="Times New Roman"/>
          <w:b w:val="0"/>
          <w:i/>
          <w:sz w:val="20"/>
        </w:rPr>
        <w:t xml:space="preserve">:804–810. doi:10.1021/ci950223m.</w:t>
      </w:r>
      <w:bookmarkEnd w:id="87"/>
    </w:p>
    <w:p>
      <w:pPr>
        <w:pStyle w:val="Subtitle"/>
        <w:numPr>
          <w:ilvl w:val="0"/>
          <w:numId w:val="1004"/>
        </w:numPr>
        <w:spacing w:before="0" w:after="160"/>
        <w:ind w:left="360" w:hanging="259"/>
        <w:jc w:val="center"/>
        <w:keepNext w:val="0"/>
        <w:keepLines/>
        <w:widowControl w:val="1"/>
      </w:pPr>
      <w:bookmarkStart w:id="88" w:name="ref-huang2021applying"/>
      <w:r>
        <w:rPr>
          <w:rFonts w:ascii="Times New Roman" w:hAnsi="Times New Roman"/>
          <w:b w:val="0"/>
          <w:i/>
          <w:sz w:val="20"/>
        </w:rPr>
        <w:t xml:space="preserve">Huang, X. et al. (2021). Applying Machine Learning to Balance Performance and Stability of High Energy Density Materials.</w:t>
      </w:r>
      <w:r>
        <w:rPr>
          <w:rFonts w:ascii="Times New Roman" w:hAnsi="Times New Roman"/>
          <w:b w:val="0"/>
          <w:i/>
          <w:sz w:val="20"/>
        </w:rPr>
        <w:t xml:space="preserve"> </w:t>
      </w:r>
      <w:r>
        <w:rPr>
          <w:rFonts w:ascii="Times New Roman" w:hAnsi="Times New Roman"/>
          <w:b w:val="0"/>
          <w:i/>
          <w:iCs/>
          <w:sz w:val="20"/>
        </w:rPr>
        <w:t xml:space="preserve">iScience 24</w:t>
      </w:r>
      <w:r>
        <w:rPr>
          <w:rFonts w:ascii="Times New Roman" w:hAnsi="Times New Roman"/>
          <w:b w:val="0"/>
          <w:i/>
          <w:sz w:val="20"/>
        </w:rPr>
        <w:t xml:space="preserve">:102240.</w:t>
      </w:r>
      <w:bookmarkEnd w:id="88"/>
    </w:p>
    <w:p>
      <w:pPr>
        <w:pStyle w:val="Subtitle"/>
        <w:numPr>
          <w:ilvl w:val="0"/>
          <w:numId w:val="1004"/>
        </w:numPr>
        <w:spacing w:before="0" w:after="160"/>
        <w:ind w:left="360" w:hanging="259"/>
        <w:jc w:val="center"/>
        <w:keepNext w:val="0"/>
        <w:keepLines/>
        <w:widowControl w:val="1"/>
      </w:pPr>
      <w:bookmarkStart w:id="89" w:name="ref-klapotke2017nitrogen"/>
      <w:r>
        <w:rPr>
          <w:rFonts w:ascii="Times New Roman" w:hAnsi="Times New Roman"/>
          <w:b w:val="0"/>
          <w:i/>
          <w:sz w:val="20"/>
        </w:rPr>
        <w:t xml:space="preserve">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doi:10.1515/9783110624571.</w:t>
      </w:r>
      <w:bookmarkEnd w:id="89"/>
    </w:p>
    <w:p>
      <w:pPr>
        <w:pStyle w:val="Subtitle"/>
        <w:numPr>
          <w:ilvl w:val="0"/>
          <w:numId w:val="1004"/>
        </w:numPr>
        <w:spacing w:before="0" w:after="160"/>
        <w:ind w:left="360" w:hanging="259"/>
        <w:jc w:val="center"/>
        <w:keepNext w:val="0"/>
        <w:keepLines/>
        <w:widowControl w:val="1"/>
      </w:pPr>
      <w:bookmarkStart w:id="90" w:name="ref-griffiths2020constrained"/>
      <w:r>
        <w:rPr>
          <w:rFonts w:ascii="Times New Roman" w:hAnsi="Times New Roman"/>
          <w:b w:val="0"/>
          <w:i/>
          <w:sz w:val="20"/>
        </w:rPr>
        <w:t xml:space="preserve">Griffiths, R.-R., &amp; Hernández-Lobato, J. M. (2020). Constrained Bayesian optimization for automatic chemical design using variational autoencoders.</w:t>
      </w:r>
      <w:r>
        <w:rPr>
          <w:rFonts w:ascii="Times New Roman" w:hAnsi="Times New Roman"/>
          <w:b w:val="0"/>
          <w:i/>
          <w:sz w:val="20"/>
        </w:rPr>
        <w:t xml:space="preserve"> </w:t>
      </w:r>
      <w:r>
        <w:rPr>
          <w:rFonts w:ascii="Times New Roman" w:hAnsi="Times New Roman"/>
          <w:b w:val="0"/>
          <w:i/>
          <w:iCs/>
          <w:sz w:val="20"/>
        </w:rPr>
        <w:t xml:space="preserve">Chem. Sci. 11(2)</w:t>
      </w:r>
      <w:r>
        <w:rPr>
          <w:rFonts w:ascii="Times New Roman" w:hAnsi="Times New Roman"/>
          <w:b w:val="0"/>
          <w:i/>
          <w:sz w:val="20"/>
        </w:rPr>
        <w:t xml:space="preserve">:577–586. doi:10.1039/C9SC04026A.</w:t>
      </w:r>
      <w:bookmarkEnd w:id="90"/>
    </w:p>
    <w:p>
      <w:pPr>
        <w:pStyle w:val="Subtitle"/>
        <w:numPr>
          <w:ilvl w:val="0"/>
          <w:numId w:val="1004"/>
        </w:numPr>
        <w:spacing w:before="0" w:after="160"/>
        <w:ind w:left="360" w:hanging="259"/>
        <w:jc w:val="center"/>
        <w:keepNext w:val="0"/>
        <w:keepLines/>
        <w:widowControl w:val="1"/>
      </w:pPr>
      <w:bookmarkStart w:id="91" w:name="ref-npjcompmat2025"/>
      <w:r>
        <w:rPr>
          <w:rFonts w:ascii="Times New Roman" w:hAnsi="Times New Roman"/>
          <w:b w:val="0"/>
          <w:i/>
          <w:sz w:val="20"/>
        </w:rPr>
        <w:t xml:space="preserve">Liu, J., et al. (2025). De novo multi-objective generation framework for energetic materials with trading off energy and stability.</w:t>
      </w:r>
      <w:r>
        <w:rPr>
          <w:rFonts w:ascii="Times New Roman" w:hAnsi="Times New Roman"/>
          <w:b w:val="0"/>
          <w:i/>
          <w:sz w:val="20"/>
        </w:rPr>
        <w:t xml:space="preserve"> </w:t>
      </w:r>
      <w:r>
        <w:rPr>
          <w:rFonts w:ascii="Times New Roman" w:hAnsi="Times New Roman"/>
          <w:b w:val="0"/>
          <w:i/>
          <w:iCs/>
          <w:sz w:val="20"/>
        </w:rPr>
        <w:t xml:space="preserve">npj Computational Materials</w:t>
      </w:r>
      <w:r>
        <w:rPr>
          <w:rFonts w:ascii="Times New Roman" w:hAnsi="Times New Roman"/>
          <w:b w:val="0"/>
          <w:i/>
          <w:sz w:val="20"/>
        </w:rPr>
        <w:t xml:space="preserve">. doi:10.1038/s41524-025-01845-6.</w:t>
      </w:r>
      <w:bookmarkEnd w:id="91"/>
    </w:p>
    <w:p>
      <w:pPr>
        <w:pStyle w:val="Subtitle"/>
        <w:numPr>
          <w:ilvl w:val="0"/>
          <w:numId w:val="1004"/>
        </w:numPr>
        <w:spacing w:before="0" w:after="160"/>
        <w:ind w:left="360" w:hanging="259"/>
        <w:jc w:val="center"/>
        <w:keepNext w:val="0"/>
        <w:keepLines/>
        <w:widowControl w:val="1"/>
      </w:pPr>
      <w:bookmarkStart w:id="92" w:name="ref-yang2019chemprop"/>
      <w:r>
        <w:rPr>
          <w:rFonts w:ascii="Times New Roman" w:hAnsi="Times New Roman"/>
          <w:b w:val="0"/>
          <w:i/>
          <w:sz w:val="20"/>
        </w:rPr>
        <w:t xml:space="preserve">Yang, K. et al. (2019). Analyzing Learned Molecular Representations for Property Prediction.</w:t>
      </w:r>
      <w:r>
        <w:rPr>
          <w:rFonts w:ascii="Times New Roman" w:hAnsi="Times New Roman"/>
          <w:b w:val="0"/>
          <w:i/>
          <w:sz w:val="20"/>
        </w:rPr>
        <w:t xml:space="preserve"> </w:t>
      </w:r>
      <w:r>
        <w:rPr>
          <w:rFonts w:ascii="Times New Roman" w:hAnsi="Times New Roman"/>
          <w:b w:val="0"/>
          <w:i/>
          <w:iCs/>
          <w:sz w:val="20"/>
        </w:rPr>
        <w:t xml:space="preserve">J. Chem. Inf. Model. 59(8)</w:t>
      </w:r>
      <w:r>
        <w:rPr>
          <w:rFonts w:ascii="Times New Roman" w:hAnsi="Times New Roman"/>
          <w:b w:val="0"/>
          <w:i/>
          <w:sz w:val="20"/>
        </w:rPr>
        <w:t xml:space="preserve">:3370–3388. doi:10.1021/acs.jcim.9b00237.</w:t>
      </w:r>
      <w:bookmarkEnd w:id="92"/>
    </w:p>
    <w:p>
      <w:pPr>
        <w:pStyle w:val="Subtitle"/>
        <w:numPr>
          <w:ilvl w:val="0"/>
          <w:numId w:val="1004"/>
        </w:numPr>
        <w:spacing w:before="0" w:after="160"/>
        <w:ind w:left="360" w:hanging="259"/>
        <w:jc w:val="center"/>
        <w:keepNext w:val="0"/>
        <w:keepLines/>
        <w:widowControl w:val="1"/>
      </w:pPr>
      <w:bookmarkStart w:id="93" w:name="ref-schutt2018schnet"/>
      <w:r>
        <w:rPr>
          <w:rFonts w:ascii="Times New Roman" w:hAnsi="Times New Roman"/>
          <w:b w:val="0"/>
          <w:i/>
          <w:sz w:val="20"/>
        </w:rPr>
        <w:t xml:space="preserve">Schütt, K. T., Sauceda, H. E., Kindermans, P.-J., Tkatchenko, A., &amp; Müller, K.-R. (2018). SchNet: A deep learning architecture for molecules and materials.</w:t>
      </w:r>
      <w:r>
        <w:rPr>
          <w:rFonts w:ascii="Times New Roman" w:hAnsi="Times New Roman"/>
          <w:b w:val="0"/>
          <w:i/>
          <w:sz w:val="20"/>
        </w:rPr>
        <w:t xml:space="preserve"> </w:t>
      </w:r>
      <w:r>
        <w:rPr>
          <w:rFonts w:ascii="Times New Roman" w:hAnsi="Times New Roman"/>
          <w:b w:val="0"/>
          <w:i/>
          <w:iCs/>
          <w:sz w:val="20"/>
        </w:rPr>
        <w:t xml:space="preserve">J. Chem. Phys. 148</w:t>
      </w:r>
      <w:r>
        <w:rPr>
          <w:rFonts w:ascii="Times New Roman" w:hAnsi="Times New Roman"/>
          <w:b w:val="0"/>
          <w:i/>
          <w:sz w:val="20"/>
        </w:rPr>
        <w:t xml:space="preserve">:241722. doi:10.1063/1.5019779.</w:t>
      </w:r>
      <w:bookmarkEnd w:id="93"/>
    </w:p>
    <w:p>
      <w:pPr>
        <w:pStyle w:val="Subtitle"/>
        <w:numPr>
          <w:ilvl w:val="0"/>
          <w:numId w:val="1004"/>
        </w:numPr>
        <w:spacing w:before="0" w:after="160"/>
        <w:ind w:left="360" w:hanging="259"/>
        <w:jc w:val="center"/>
        <w:keepNext w:val="0"/>
        <w:keepLines/>
        <w:widowControl w:val="1"/>
      </w:pPr>
      <w:bookmarkStart w:id="94" w:name="ref-qiao2020orbnet"/>
      <w:r>
        <w:rPr>
          <w:rFonts w:ascii="Times New Roman" w:hAnsi="Times New Roman"/>
          <w:b w:val="0"/>
          <w:i/>
          <w:sz w:val="20"/>
        </w:rPr>
        <w:t xml:space="preserve">Qiao, Z., Welborn, M., Anandkumar, A., Manby, F. R., &amp; Miller III, T. F. (2020). OrbNet: Deep learning for quantum chemistry using symmetry-adapted atomic-orbital features.</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:124111. doi:10.1063/5.0021955.</w:t>
      </w:r>
      <w:bookmarkEnd w:id="94"/>
    </w:p>
    <w:p>
      <w:pPr>
        <w:pStyle w:val="Subtitle"/>
        <w:numPr>
          <w:ilvl w:val="0"/>
          <w:numId w:val="1004"/>
        </w:numPr>
        <w:spacing w:before="0" w:after="160"/>
        <w:ind w:left="360" w:hanging="259"/>
        <w:jc w:val="center"/>
        <w:keepNext w:val="0"/>
        <w:keepLines/>
        <w:widowControl w:val="1"/>
      </w:pPr>
      <w:bookmarkStart w:id="95" w:name="ref-polykovskiy2020moses"/>
      <w:r>
        <w:rPr>
          <w:rFonts w:ascii="Times New Roman" w:hAnsi="Times New Roman"/>
          <w:b w:val="0"/>
          <w:i/>
          <w:sz w:val="20"/>
        </w:rPr>
        <w:t xml:space="preserve">Polykovskiy, D. et al. (2020). Molecular Sets (MOSES): A Benchmarking Platform for Molecular Generation Models.</w:t>
      </w:r>
      <w:r>
        <w:rPr>
          <w:rFonts w:ascii="Times New Roman" w:hAnsi="Times New Roman"/>
          <w:b w:val="0"/>
          <w:i/>
          <w:sz w:val="20"/>
        </w:rPr>
        <w:t xml:space="preserve"> </w:t>
      </w:r>
      <w:r>
        <w:rPr>
          <w:rFonts w:ascii="Times New Roman" w:hAnsi="Times New Roman"/>
          <w:b w:val="0"/>
          <w:i/>
          <w:iCs/>
          <w:sz w:val="20"/>
        </w:rPr>
        <w:t xml:space="preserve">Frontiers in Pharmacology 11</w:t>
      </w:r>
      <w:r>
        <w:rPr>
          <w:rFonts w:ascii="Times New Roman" w:hAnsi="Times New Roman"/>
          <w:b w:val="0"/>
          <w:i/>
          <w:sz w:val="20"/>
        </w:rPr>
        <w:t xml:space="preserve">:565644. doi:10.3389/fphar.2020.565644.</w:t>
      </w:r>
      <w:bookmarkEnd w:id="95"/>
    </w:p>
    <w:p>
      <w:pPr>
        <w:pStyle w:val="Subtitle"/>
        <w:numPr>
          <w:ilvl w:val="0"/>
          <w:numId w:val="1004"/>
        </w:numPr>
        <w:spacing w:before="0" w:after="160"/>
        <w:ind w:left="360" w:hanging="259"/>
        <w:jc w:val="center"/>
        <w:keepNext w:val="0"/>
        <w:keepLines/>
        <w:widowControl w:val="1"/>
      </w:pPr>
      <w:bookmarkStart w:id="96" w:name="ref-brown2019guacamol"/>
      <w:r>
        <w:rPr>
          <w:rFonts w:ascii="Times New Roman" w:hAnsi="Times New Roman"/>
          <w:b w:val="0"/>
          <w:i/>
          <w:sz w:val="20"/>
        </w:rPr>
        <w:t xml:space="preserve">Brown, N., Fiscato, M., Segler, M. H. S., &amp; Vaucher, A. C. (2019). GuacaMol: Benchmarking Models for de Novo Molecular Design.</w:t>
      </w:r>
      <w:r>
        <w:rPr>
          <w:rFonts w:ascii="Times New Roman" w:hAnsi="Times New Roman"/>
          <w:b w:val="0"/>
          <w:i/>
          <w:sz w:val="20"/>
        </w:rPr>
        <w:t xml:space="preserve"> </w:t>
      </w:r>
      <w:r>
        <w:rPr>
          <w:rFonts w:ascii="Times New Roman" w:hAnsi="Times New Roman"/>
          <w:b w:val="0"/>
          <w:i/>
          <w:iCs/>
          <w:sz w:val="20"/>
        </w:rPr>
        <w:t xml:space="preserve">J. Chem. Inf. Model. 59(3)</w:t>
      </w:r>
      <w:r>
        <w:rPr>
          <w:rFonts w:ascii="Times New Roman" w:hAnsi="Times New Roman"/>
          <w:b w:val="0"/>
          <w:i/>
          <w:sz w:val="20"/>
        </w:rPr>
        <w:t xml:space="preserve">:1096–1108. doi:10.1021/acs.jcim.8b00839.</w:t>
      </w:r>
      <w:bookmarkEnd w:id="96"/>
    </w:p>
    <w:p>
      <w:pPr>
        <w:pStyle w:val="Subtitle"/>
        <w:numPr>
          <w:ilvl w:val="0"/>
          <w:numId w:val="1004"/>
        </w:numPr>
        <w:spacing w:before="0" w:after="160"/>
        <w:ind w:left="360" w:hanging="259"/>
        <w:jc w:val="center"/>
        <w:keepNext w:val="0"/>
        <w:keepLines/>
        <w:widowControl w:val="1"/>
      </w:pPr>
      <w:bookmarkStart w:id="97" w:name="ref-preuer2018fcd"/>
      <w:r>
        <w:rPr>
          <w:rFonts w:ascii="Times New Roman" w:hAnsi="Times New Roman"/>
          <w:b w:val="0"/>
          <w:i/>
          <w:sz w:val="20"/>
        </w:rPr>
        <w:t xml:space="preserve">Preuer, K., Renz, P., Unterthiner, T., Hochreiter, S., &amp; Klambauer, G. (2018). Fréchet ChemNet Distance: A Metric for Generative Models for Molecules in Drug Discovery.</w:t>
      </w:r>
      <w:r>
        <w:rPr>
          <w:rFonts w:ascii="Times New Roman" w:hAnsi="Times New Roman"/>
          <w:b w:val="0"/>
          <w:i/>
          <w:sz w:val="20"/>
        </w:rPr>
        <w:t xml:space="preserve"> </w:t>
      </w:r>
      <w:r>
        <w:rPr>
          <w:rFonts w:ascii="Times New Roman" w:hAnsi="Times New Roman"/>
          <w:b w:val="0"/>
          <w:i/>
          <w:iCs/>
          <w:sz w:val="20"/>
        </w:rPr>
        <w:t xml:space="preserve">J. Chem. Inf. Model. 58(9)</w:t>
      </w:r>
      <w:r>
        <w:rPr>
          <w:rFonts w:ascii="Times New Roman" w:hAnsi="Times New Roman"/>
          <w:b w:val="0"/>
          <w:i/>
          <w:sz w:val="20"/>
        </w:rPr>
        <w:t xml:space="preserve">:1736–1741.</w:t>
      </w:r>
      <w:bookmarkEnd w:id="97"/>
    </w:p>
    <w:p>
      <w:pPr>
        <w:pStyle w:val="Subtitle"/>
        <w:numPr>
          <w:ilvl w:val="0"/>
          <w:numId w:val="1004"/>
        </w:numPr>
        <w:spacing w:before="0" w:after="160"/>
        <w:ind w:left="360" w:hanging="259"/>
        <w:jc w:val="center"/>
        <w:keepNext w:val="0"/>
        <w:keepLines/>
        <w:widowControl w:val="1"/>
      </w:pPr>
      <w:bookmarkStart w:id="98" w:name="ref-reymond2015gdb"/>
      <w:r>
        <w:rPr>
          <w:rFonts w:ascii="Times New Roman" w:hAnsi="Times New Roman"/>
          <w:b w:val="0"/>
          <w:i/>
          <w:sz w:val="20"/>
        </w:rPr>
        <w:t xml:space="preserve">Reymond, J.-L. (2015). The chemical space project.</w:t>
      </w:r>
      <w:r>
        <w:rPr>
          <w:rFonts w:ascii="Times New Roman" w:hAnsi="Times New Roman"/>
          <w:b w:val="0"/>
          <w:i/>
          <w:sz w:val="20"/>
        </w:rPr>
        <w:t xml:space="preserve"> </w:t>
      </w:r>
      <w:r>
        <w:rPr>
          <w:rFonts w:ascii="Times New Roman" w:hAnsi="Times New Roman"/>
          <w:b w:val="0"/>
          <w:i/>
          <w:iCs/>
          <w:sz w:val="20"/>
        </w:rPr>
        <w:t xml:space="preserve">Acc. Chem. Res. 48(3)</w:t>
      </w:r>
      <w:r>
        <w:rPr>
          <w:rFonts w:ascii="Times New Roman" w:hAnsi="Times New Roman"/>
          <w:b w:val="0"/>
          <w:i/>
          <w:sz w:val="20"/>
        </w:rPr>
        <w:t xml:space="preserve">:722–730.</w:t>
      </w:r>
      <w:bookmarkEnd w:id="98"/>
    </w:p>
    <w:p>
      <w:pPr>
        <w:pStyle w:val="Subtitle"/>
        <w:numPr>
          <w:ilvl w:val="0"/>
          <w:numId w:val="1004"/>
        </w:numPr>
        <w:spacing w:before="0" w:after="160"/>
        <w:ind w:left="360" w:hanging="259"/>
        <w:jc w:val="center"/>
        <w:keepNext w:val="0"/>
        <w:keepLines/>
        <w:widowControl w:val="1"/>
      </w:pPr>
      <w:bookmarkStart w:id="99" w:name="ref-ertl2009sa"/>
      <w:r>
        <w:rPr>
          <w:rFonts w:ascii="Times New Roman" w:hAnsi="Times New Roman"/>
          <w:b w:val="0"/>
          <w:i/>
          <w:sz w:val="20"/>
        </w:rPr>
        <w:t xml:space="preserve">Ertl, P., &amp; Schuffenhauer, A. (2009). Estimation of Synthetic Accessibility Score of Drug-Like Molecules Based on Molecular Complexity and Fragment Contributions.</w:t>
      </w:r>
      <w:r>
        <w:rPr>
          <w:rFonts w:ascii="Times New Roman" w:hAnsi="Times New Roman"/>
          <w:b w:val="0"/>
          <w:i/>
          <w:sz w:val="20"/>
        </w:rPr>
        <w:t xml:space="preserve"> </w:t>
      </w:r>
      <w:r>
        <w:rPr>
          <w:rFonts w:ascii="Times New Roman" w:hAnsi="Times New Roman"/>
          <w:b w:val="0"/>
          <w:i/>
          <w:iCs/>
          <w:sz w:val="20"/>
        </w:rPr>
        <w:t xml:space="preserve">J. Cheminform. 1</w:t>
      </w:r>
      <w:r>
        <w:rPr>
          <w:rFonts w:ascii="Times New Roman" w:hAnsi="Times New Roman"/>
          <w:b w:val="0"/>
          <w:i/>
          <w:sz w:val="20"/>
        </w:rPr>
        <w:t xml:space="preserve">:8.</w:t>
      </w:r>
      <w:bookmarkEnd w:id="99"/>
    </w:p>
    <w:p>
      <w:pPr>
        <w:pStyle w:val="Subtitle"/>
        <w:numPr>
          <w:ilvl w:val="0"/>
          <w:numId w:val="1004"/>
        </w:numPr>
        <w:spacing w:before="0" w:after="160"/>
        <w:ind w:left="360" w:hanging="259"/>
        <w:jc w:val="center"/>
        <w:keepNext w:val="0"/>
        <w:keepLines/>
        <w:widowControl w:val="1"/>
      </w:pPr>
      <w:bookmarkStart w:id="100" w:name="ref-coley2018scscore"/>
      <w:r>
        <w:rPr>
          <w:rFonts w:ascii="Times New Roman" w:hAnsi="Times New Roman"/>
          <w:b w:val="0"/>
          <w:i/>
          <w:sz w:val="20"/>
        </w:rPr>
        <w:t xml:space="preserve">Coley, C. W., Rogers, L., Green, W. H., &amp; Jensen, K. F. (2018). SCScore: Synthetic Complexity Learned from a Reaction Corpus.</w:t>
      </w:r>
      <w:r>
        <w:rPr>
          <w:rFonts w:ascii="Times New Roman" w:hAnsi="Times New Roman"/>
          <w:b w:val="0"/>
          <w:i/>
          <w:sz w:val="20"/>
        </w:rPr>
        <w:t xml:space="preserve"> </w:t>
      </w:r>
      <w:r>
        <w:rPr>
          <w:rFonts w:ascii="Times New Roman" w:hAnsi="Times New Roman"/>
          <w:b w:val="0"/>
          <w:i/>
          <w:iCs/>
          <w:sz w:val="20"/>
        </w:rPr>
        <w:t xml:space="preserve">J. Chem. Inf. Model. 58(2)</w:t>
      </w:r>
      <w:r>
        <w:rPr>
          <w:rFonts w:ascii="Times New Roman" w:hAnsi="Times New Roman"/>
          <w:b w:val="0"/>
          <w:i/>
          <w:sz w:val="20"/>
        </w:rPr>
        <w:t xml:space="preserve">:252–261.</w:t>
      </w:r>
      <w:bookmarkEnd w:id="100"/>
    </w:p>
    <w:p>
      <w:pPr>
        <w:pStyle w:val="Subtitle"/>
        <w:numPr>
          <w:ilvl w:val="0"/>
          <w:numId w:val="1004"/>
        </w:numPr>
        <w:spacing w:before="0" w:after="160"/>
        <w:ind w:left="360" w:hanging="259"/>
        <w:jc w:val="center"/>
        <w:keepNext w:val="0"/>
        <w:keepLines/>
        <w:widowControl w:val="1"/>
      </w:pPr>
      <w:bookmarkStart w:id="101" w:name="ref-rogers1960computer"/>
      <w:r>
        <w:rPr>
          <w:rFonts w:ascii="Times New Roman" w:hAnsi="Times New Roman"/>
          <w:b w:val="0"/>
          <w:i/>
          <w:sz w:val="20"/>
        </w:rPr>
        <w:t xml:space="preserve">Rogers, D. J., &amp; Tanimoto, T. T. (1960). A Computer Program for Classifying Plants.</w:t>
      </w:r>
      <w:r>
        <w:rPr>
          <w:rFonts w:ascii="Times New Roman" w:hAnsi="Times New Roman"/>
          <w:b w:val="0"/>
          <w:i/>
          <w:sz w:val="20"/>
        </w:rPr>
        <w:t xml:space="preserve"> </w:t>
      </w:r>
      <w:r>
        <w:rPr>
          <w:rFonts w:ascii="Times New Roman" w:hAnsi="Times New Roman"/>
          <w:b w:val="0"/>
          <w:i/>
          <w:iCs/>
          <w:sz w:val="20"/>
        </w:rPr>
        <w:t xml:space="preserve">Science 132(3434)</w:t>
      </w:r>
      <w:r>
        <w:rPr>
          <w:rFonts w:ascii="Times New Roman" w:hAnsi="Times New Roman"/>
          <w:b w:val="0"/>
          <w:i/>
          <w:sz w:val="20"/>
        </w:rPr>
        <w:t xml:space="preserve">:1115–1118.</w:t>
      </w:r>
      <w:bookmarkEnd w:id="101"/>
    </w:p>
    <w:p>
      <w:pPr>
        <w:pStyle w:val="Subtitle"/>
        <w:numPr>
          <w:ilvl w:val="0"/>
          <w:numId w:val="1004"/>
        </w:numPr>
        <w:spacing w:before="0" w:after="160"/>
        <w:ind w:left="360" w:hanging="259"/>
        <w:jc w:val="center"/>
        <w:keepNext w:val="0"/>
        <w:keepLines/>
        <w:widowControl w:val="1"/>
      </w:pPr>
      <w:bookmarkStart w:id="102" w:name="ref-bannwarth2019gfn2"/>
      <w:r>
        <w:rPr>
          <w:rFonts w:ascii="Times New Roman" w:hAnsi="Times New Roman"/>
          <w:b w:val="0"/>
          <w:i/>
          <w:sz w:val="20"/>
        </w:rPr>
        <w:t xml:space="preserve">Bannwarth, C., Ehlert, S., &amp; Grimme, S. (2019). GFN2-xTB: An Accurate and Broadly Parametrized Self-Consistent Tight-Binding Quantum Chemical Method with Multipole Electrostatics and Density-Dependent Dispersion Contributions.</w:t>
      </w:r>
      <w:r>
        <w:rPr>
          <w:rFonts w:ascii="Times New Roman" w:hAnsi="Times New Roman"/>
          <w:b w:val="0"/>
          <w:i/>
          <w:sz w:val="20"/>
        </w:rPr>
        <w:t xml:space="preserve"> </w:t>
      </w:r>
      <w:r>
        <w:rPr>
          <w:rFonts w:ascii="Times New Roman" w:hAnsi="Times New Roman"/>
          <w:b w:val="0"/>
          <w:i/>
          <w:iCs/>
          <w:sz w:val="20"/>
        </w:rPr>
        <w:t xml:space="preserve">J. Chem. Theory Comput. 15(3)</w:t>
      </w:r>
      <w:r>
        <w:rPr>
          <w:rFonts w:ascii="Times New Roman" w:hAnsi="Times New Roman"/>
          <w:b w:val="0"/>
          <w:i/>
          <w:sz w:val="20"/>
        </w:rPr>
        <w:t xml:space="preserve">:1652–1671. doi:10.1021/acs.jctc.8b01176.</w:t>
      </w:r>
      <w:bookmarkEnd w:id="102"/>
    </w:p>
    <w:p>
      <w:pPr>
        <w:pStyle w:val="Subtitle"/>
        <w:numPr>
          <w:ilvl w:val="0"/>
          <w:numId w:val="1004"/>
        </w:numPr>
        <w:spacing w:before="0" w:after="160"/>
        <w:ind w:left="360" w:hanging="259"/>
        <w:jc w:val="center"/>
        <w:keepNext w:val="0"/>
        <w:keepLines/>
        <w:widowControl w:val="1"/>
      </w:pPr>
      <w:bookmarkStart w:id="103" w:name="ref-sun2020pyscf"/>
      <w:r>
        <w:rPr>
          <w:rFonts w:ascii="Times New Roman" w:hAnsi="Times New Roman"/>
          <w:b w:val="0"/>
          <w:i/>
          <w:sz w:val="20"/>
        </w:rPr>
        <w:t xml:space="preserve">Sun, Q., Zhang, X., Banerjee, S., Bao, P., et al. (2020). Recent developments in the PySCF program package.</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:024109. doi:10.1063/5.0006074.</w:t>
      </w:r>
      <w:bookmarkEnd w:id="103"/>
    </w:p>
    <w:p>
      <w:pPr>
        <w:pStyle w:val="Subtitle"/>
        <w:numPr>
          <w:ilvl w:val="0"/>
          <w:numId w:val="1004"/>
        </w:numPr>
        <w:spacing w:before="0" w:after="160"/>
        <w:ind w:left="360" w:hanging="259"/>
        <w:jc w:val="center"/>
        <w:keepNext w:val="0"/>
        <w:keepLines/>
        <w:widowControl w:val="1"/>
      </w:pPr>
      <w:bookmarkStart w:id="104" w:name="ref-genheden2020aizynth"/>
      <w:r>
        <w:rPr>
          <w:rFonts w:ascii="Times New Roman" w:hAnsi="Times New Roman"/>
          <w:b w:val="0"/>
          <w:i/>
          <w:sz w:val="20"/>
        </w:rPr>
        <w:t xml:space="preserve">Genheden, S., Thakkar, A., Chadimová, V., Reymond, J.-L., Engkvist, O., &amp; Bjerrum, E. J. (2020). AiZynthFinder: a fast, robust and flexible open-source software for retrosynthetic planning.</w:t>
      </w:r>
      <w:r>
        <w:rPr>
          <w:rFonts w:ascii="Times New Roman" w:hAnsi="Times New Roman"/>
          <w:b w:val="0"/>
          <w:i/>
          <w:sz w:val="20"/>
        </w:rPr>
        <w:t xml:space="preserve"> </w:t>
      </w:r>
      <w:r>
        <w:rPr>
          <w:rFonts w:ascii="Times New Roman" w:hAnsi="Times New Roman"/>
          <w:b w:val="0"/>
          <w:i/>
          <w:iCs/>
          <w:sz w:val="20"/>
        </w:rPr>
        <w:t xml:space="preserve">Journal of Cheminformatics 12</w:t>
      </w:r>
      <w:r>
        <w:rPr>
          <w:rFonts w:ascii="Times New Roman" w:hAnsi="Times New Roman"/>
          <w:b w:val="0"/>
          <w:i/>
          <w:sz w:val="20"/>
        </w:rPr>
        <w:t xml:space="preserve">:70. doi:10.1186/s13321-020-00472-1.</w:t>
      </w:r>
      <w:bookmarkEnd w:id="104"/>
    </w:p>
    <w:p>
      <w:pPr>
        <w:pStyle w:val="Subtitle"/>
        <w:numPr>
          <w:ilvl w:val="0"/>
          <w:numId w:val="1004"/>
        </w:numPr>
        <w:spacing w:before="0" w:after="160"/>
        <w:ind w:left="360" w:hanging="259"/>
        <w:jc w:val="center"/>
        <w:keepNext w:val="0"/>
        <w:keepLines/>
        <w:widowControl w:val="1"/>
      </w:pPr>
      <w:bookmarkStart w:id="105" w:name="ref-goerigk2017benchmark"/>
      <w:r>
        <w:rPr>
          <w:rFonts w:ascii="Times New Roman" w:hAnsi="Times New Roman"/>
          <w:b w:val="0"/>
          <w:i/>
          <w:sz w:val="20"/>
        </w:rPr>
        <w:t xml:space="preserve">Goerigk, L., Hansen, A., Bauer, C., Ehrlich, S., Najibi, A., &amp; Grimme, S. (2017). A look at the density functional theory zoo with the advanced GMTKN55 database for general main group thermochemistry, kinetics and noncovalent interactions.</w:t>
      </w:r>
      <w:r>
        <w:rPr>
          <w:rFonts w:ascii="Times New Roman" w:hAnsi="Times New Roman"/>
          <w:b w:val="0"/>
          <w:i/>
          <w:sz w:val="20"/>
        </w:rPr>
        <w:t xml:space="preserve"> </w:t>
      </w:r>
      <w:r>
        <w:rPr>
          <w:rFonts w:ascii="Times New Roman" w:hAnsi="Times New Roman"/>
          <w:b w:val="0"/>
          <w:i/>
          <w:iCs/>
          <w:sz w:val="20"/>
        </w:rPr>
        <w:t xml:space="preserve">Phys. Chem. Chem. Phys. 19(48)</w:t>
      </w:r>
      <w:r>
        <w:rPr>
          <w:rFonts w:ascii="Times New Roman" w:hAnsi="Times New Roman"/>
          <w:b w:val="0"/>
          <w:i/>
          <w:sz w:val="20"/>
        </w:rPr>
        <w:t xml:space="preserve">:32184–32215. doi:10.1039/C7CP04913G.</w:t>
      </w:r>
      <w:bookmarkEnd w:id="105"/>
    </w:p>
    <w:p>
      <w:pPr>
        <w:pStyle w:val="Subtitle"/>
        <w:numPr>
          <w:ilvl w:val="0"/>
          <w:numId w:val="1004"/>
        </w:numPr>
        <w:spacing w:before="0" w:after="160"/>
        <w:ind w:left="360" w:hanging="259"/>
        <w:jc w:val="center"/>
        <w:keepNext w:val="0"/>
        <w:keepLines/>
        <w:widowControl w:val="1"/>
      </w:pPr>
      <w:bookmarkStart w:id="107" w:name="ref-landrum2024rdkit"/>
      <w:r>
        <w:rPr>
          <w:rFonts w:ascii="Times New Roman" w:hAnsi="Times New Roman"/>
          <w:b w:val="0"/>
          <w:i/>
          <w:sz w:val="20"/>
        </w:rPr>
        <w:t xml:space="preserve">Landrum, G., &amp; contributors. RDKit: Open-source cheminformatics.</w:t>
      </w:r>
      <w:r>
        <w:rPr>
          <w:rFonts w:ascii="Times New Roman" w:hAnsi="Times New Roman"/>
          <w:b w:val="0"/>
          <w:i/>
          <w:sz w:val="20"/>
        </w:rPr>
        <w:t xml:space="preserve"> </w:t>
      </w:r>
      <w:hyperlink r:id="rId106">
        <w:r>
          <w:rPr>
            <w:rStyle w:val="Hyperlink"/>
          </w:rPr>
          <w:t xml:space="preserve">rdkit.org</w:t>
        </w:r>
      </w:hyperlink>
      <w:r>
        <w:rPr>
          <w:rFonts w:ascii="Times New Roman" w:hAnsi="Times New Roman"/>
          <w:b w:val="0"/>
          <w:i/>
          <w:sz w:val="20"/>
        </w:rPr>
        <w:t xml:space="preserve">.</w:t>
      </w:r>
      <w:bookmarkEnd w:id="107"/>
    </w:p>
    <w:p>
      <w:pPr>
        <w:pStyle w:val="Subtitle"/>
        <w:numPr>
          <w:ilvl w:val="0"/>
          <w:numId w:val="1004"/>
        </w:numPr>
        <w:spacing w:before="0" w:after="160"/>
        <w:ind w:left="360" w:hanging="259"/>
        <w:jc w:val="center"/>
        <w:keepNext w:val="0"/>
        <w:keepLines/>
        <w:widowControl w:val="1"/>
      </w:pPr>
      <w:bookmarkStart w:id="109" w:name="ref-daylight-smarts"/>
      <w:r>
        <w:rPr>
          <w:rFonts w:ascii="Times New Roman" w:hAnsi="Times New Roman"/>
          <w:b w:val="0"/>
          <w:i/>
          <w:sz w:val="20"/>
        </w:rPr>
        <w:t xml:space="preserve">Daylight Chemical Information Systems. (2007). SMARTS: A Language for Describing Molecular Patterns. Daylight Theory Manual, Aliso Viejo, CA.</w:t>
      </w:r>
      <w:r>
        <w:rPr>
          <w:rFonts w:ascii="Times New Roman" w:hAnsi="Times New Roman"/>
          <w:b w:val="0"/>
          <w:i/>
          <w:sz w:val="20"/>
        </w:rPr>
        <w:t xml:space="preserve"> </w:t>
      </w:r>
      <w:hyperlink r:id="rId108">
        <w:r>
          <w:rPr>
            <w:rStyle w:val="Hyperlink"/>
          </w:rPr>
          <w:t xml:space="preserve">daylight.com/dayhtml/doc/theory/theory.smarts.html</w:t>
        </w:r>
      </w:hyperlink>
      <w:r>
        <w:rPr>
          <w:rFonts w:ascii="Times New Roman" w:hAnsi="Times New Roman"/>
          <w:b w:val="0"/>
          <w:i/>
          <w:sz w:val="20"/>
        </w:rPr>
        <w:t xml:space="preserve">. SMARTS = SMILES Arbitrary Target Specification: a pattern language extending SMILES that matches molecular substructures, used by RDKit and other cheminformatics toolkits to evaluate hard-reject catalogs (this work, §4.7).</w:t>
      </w:r>
      <w:bookmarkEnd w:id="109"/>
    </w:p>
    <w:p>
      <w:pPr>
        <w:pStyle w:val="Subtitle"/>
        <w:numPr>
          <w:ilvl w:val="0"/>
          <w:numId w:val="1004"/>
        </w:numPr>
        <w:spacing w:before="0" w:after="160"/>
        <w:ind w:left="360" w:hanging="259"/>
        <w:jc w:val="center"/>
        <w:keepNext w:val="0"/>
        <w:keepLines/>
        <w:widowControl w:val="1"/>
      </w:pPr>
      <w:bookmarkStart w:id="110" w:name="ref-sabatini2018"/>
      <w:r>
        <w:rPr>
          <w:rFonts w:ascii="Times New Roman" w:hAnsi="Times New Roman"/>
          <w:b w:val="0"/>
          <w:i/>
          <w:sz w:val="20"/>
        </w:rPr>
        <w:t xml:space="preserve">Sabatini, J. J., &amp; Oyler, K. D. (2016). Recent Advances in the Synthesis of High Explosive Materials.</w:t>
      </w:r>
      <w:r>
        <w:rPr>
          <w:rFonts w:ascii="Times New Roman" w:hAnsi="Times New Roman"/>
          <w:b w:val="0"/>
          <w:i/>
          <w:sz w:val="20"/>
        </w:rPr>
        <w:t xml:space="preserve"> </w:t>
      </w:r>
      <w:r>
        <w:rPr>
          <w:rFonts w:ascii="Times New Roman" w:hAnsi="Times New Roman"/>
          <w:b w:val="0"/>
          <w:i/>
          <w:iCs/>
          <w:sz w:val="20"/>
        </w:rPr>
        <w:t xml:space="preserve">Crystals</w:t>
      </w:r>
      <w:r>
        <w:rPr>
          <w:rFonts w:ascii="Times New Roman" w:hAnsi="Times New Roman"/>
          <w:b w:val="0"/>
          <w:i/>
          <w:sz w:val="20"/>
        </w:rPr>
        <w:t xml:space="preserve"> </w:t>
      </w:r>
      <w:r>
        <w:rPr>
          <w:rFonts w:ascii="Times New Roman" w:hAnsi="Times New Roman"/>
          <w:b w:val="0"/>
          <w:i/>
          <w:sz w:val="20"/>
        </w:rPr>
        <w:t xml:space="preserve">6(1):5. doi:10.3390/cryst6010005.</w:t>
      </w:r>
      <w:bookmarkEnd w:id="110"/>
    </w:p>
    <w:p>
      <w:pPr>
        <w:pStyle w:val="Subtitle"/>
        <w:numPr>
          <w:ilvl w:val="0"/>
          <w:numId w:val="1004"/>
        </w:numPr>
        <w:spacing w:before="0" w:after="160"/>
        <w:ind w:left="360" w:hanging="259"/>
        <w:jc w:val="center"/>
        <w:keepNext w:val="0"/>
        <w:keepLines/>
        <w:widowControl w:val="1"/>
      </w:pPr>
      <w:bookmarkStart w:id="111" w:name="ref-konnov2025nitroisoxazole"/>
      <w:r>
        <w:rPr>
          <w:rFonts w:ascii="Times New Roman" w:hAnsi="Times New Roman"/>
          <w:b w:val="0"/>
          <w:i/>
          <w:sz w:val="20"/>
        </w:rPr>
        <w:t xml:space="preserve">Konnov, A. A., Lisyutkin, A. D., Vinogradov, D. B., Nazarova, A. A., Pivkina, A. N., &amp; Fershtat, L. L. (2025). Synthesis of 4-Nitroisoxazole-Based Energetic Materials.</w:t>
      </w:r>
      <w:r>
        <w:rPr>
          <w:rFonts w:ascii="Times New Roman" w:hAnsi="Times New Roman"/>
          <w:b w:val="0"/>
          <w:i/>
          <w:sz w:val="20"/>
        </w:rPr>
        <w:t xml:space="preserve"> </w:t>
      </w:r>
      <w:r>
        <w:rPr>
          <w:rFonts w:ascii="Times New Roman" w:hAnsi="Times New Roman"/>
          <w:b w:val="0"/>
          <w:i/>
          <w:iCs/>
          <w:sz w:val="20"/>
        </w:rPr>
        <w:t xml:space="preserve">Org. Lett. 27(14)</w:t>
      </w:r>
      <w:r>
        <w:rPr>
          <w:rFonts w:ascii="Times New Roman" w:hAnsi="Times New Roman"/>
          <w:b w:val="0"/>
          <w:i/>
          <w:sz w:val="20"/>
        </w:rPr>
        <w:t xml:space="preserve">:3795–3799. doi:10.1021/acs.orglett.5c01074.</w:t>
      </w:r>
      <w:bookmarkEnd w:id="111"/>
    </w:p>
    <w:p>
      <w:pPr>
        <w:pStyle w:val="Subtitle"/>
        <w:numPr>
          <w:ilvl w:val="0"/>
          <w:numId w:val="1004"/>
        </w:numPr>
        <w:spacing w:before="0" w:after="160"/>
        <w:ind w:left="360" w:hanging="259"/>
        <w:jc w:val="center"/>
        <w:keepNext w:val="0"/>
        <w:keepLines/>
        <w:widowControl w:val="1"/>
      </w:pPr>
      <w:bookmarkStart w:id="112" w:name="ref-herve2010"/>
      <w:r>
        <w:rPr>
          <w:rFonts w:ascii="Times New Roman" w:hAnsi="Times New Roman"/>
          <w:b w:val="0"/>
          <w:i/>
          <w:sz w:val="20"/>
        </w:rPr>
        <w:t xml:space="preserve">Hervé, G., Roussel, C., &amp; Graindorge, H. (2010). Selective Preparation of 3,4,5-Trinitro-1H-pyrazole: A Stable All-Carbon-Substituted Trinitro Heterocycle, and Related Trinitroisoxazole Chemistry.</w:t>
      </w:r>
      <w:r>
        <w:rPr>
          <w:rFonts w:ascii="Times New Roman" w:hAnsi="Times New Roman"/>
          <w:b w:val="0"/>
          <w:i/>
          <w:sz w:val="20"/>
        </w:rPr>
        <w:t xml:space="preserve"> </w:t>
      </w:r>
      <w:r>
        <w:rPr>
          <w:rFonts w:ascii="Times New Roman" w:hAnsi="Times New Roman"/>
          <w:b w:val="0"/>
          <w:i/>
          <w:iCs/>
          <w:sz w:val="20"/>
        </w:rPr>
        <w:t xml:space="preserve">Angew. Chem. Int. Ed. 49(18)</w:t>
      </w:r>
      <w:r>
        <w:rPr>
          <w:rFonts w:ascii="Times New Roman" w:hAnsi="Times New Roman"/>
          <w:b w:val="0"/>
          <w:i/>
          <w:sz w:val="20"/>
        </w:rPr>
        <w:t xml:space="preserve">:3177–3181. doi:10.1002/anie.201000764.</w:t>
      </w:r>
      <w:bookmarkEnd w:id="112"/>
    </w:p>
    <w:p>
      <w:pPr>
        <w:pStyle w:val="Subtitle"/>
        <w:numPr>
          <w:ilvl w:val="0"/>
          <w:numId w:val="1004"/>
        </w:numPr>
        <w:spacing w:before="0" w:after="160"/>
        <w:ind w:left="360" w:hanging="259"/>
        <w:jc w:val="center"/>
        <w:keepNext w:val="0"/>
        <w:keepLines/>
        <w:widowControl w:val="1"/>
      </w:pPr>
      <w:bookmarkStart w:id="113" w:name="ref-kim2023pubchem"/>
      <w:r>
        <w:rPr>
          <w:rFonts w:ascii="Times New Roman" w:hAnsi="Times New Roman"/>
          <w:b w:val="0"/>
          <w:i/>
          <w:sz w:val="20"/>
        </w:rPr>
        <w:t xml:space="preserve">Kim, S. et al. (2023). PubChem 2023 Update.</w:t>
      </w:r>
      <w:r>
        <w:rPr>
          <w:rFonts w:ascii="Times New Roman" w:hAnsi="Times New Roman"/>
          <w:b w:val="0"/>
          <w:i/>
          <w:sz w:val="20"/>
        </w:rPr>
        <w:t xml:space="preserve"> </w:t>
      </w:r>
      <w:r>
        <w:rPr>
          <w:rFonts w:ascii="Times New Roman" w:hAnsi="Times New Roman"/>
          <w:b w:val="0"/>
          <w:i/>
          <w:iCs/>
          <w:sz w:val="20"/>
        </w:rPr>
        <w:t xml:space="preserve">Nucleic Acids Res. 51(D1)</w:t>
      </w:r>
      <w:r>
        <w:rPr>
          <w:rFonts w:ascii="Times New Roman" w:hAnsi="Times New Roman"/>
          <w:b w:val="0"/>
          <w:i/>
          <w:sz w:val="20"/>
        </w:rPr>
        <w:t xml:space="preserve">:D1373–D1380.</w:t>
      </w:r>
      <w:bookmarkEnd w:id="113"/>
    </w:p>
    <w:p>
      <w:pPr>
        <w:pStyle w:val="Subtitle"/>
        <w:numPr>
          <w:ilvl w:val="0"/>
          <w:numId w:val="1004"/>
        </w:numPr>
        <w:spacing w:before="0" w:after="160"/>
        <w:ind w:left="360" w:hanging="259"/>
        <w:jc w:val="center"/>
        <w:keepNext w:val="0"/>
        <w:keepLines/>
        <w:widowControl w:val="1"/>
      </w:pPr>
      <w:bookmarkStart w:id="114" w:name="ref-emdb"/>
      <w:r>
        <w:rPr>
          <w:rFonts w:ascii="Times New Roman" w:hAnsi="Times New Roman"/>
          <w:b w:val="0"/>
          <w:i/>
          <w:sz w:val="20"/>
        </w:rPr>
        <w:t xml:space="preserve">Hand-compilation of measured density, heat of formation, and detonation properties for ~3 000 known energetic CHNO compounds, assembled in this work from secondary literature compilations: 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Cooper, P. W.</w:t>
      </w:r>
      <w:r>
        <w:rPr>
          <w:rFonts w:ascii="Times New Roman" w:hAnsi="Times New Roman"/>
          <w:b w:val="0"/>
          <w:i/>
          <w:sz w:val="20"/>
        </w:rPr>
        <w:t xml:space="preserve"> </w:t>
      </w:r>
      <w:r>
        <w:rPr>
          <w:rFonts w:ascii="Times New Roman" w:hAnsi="Times New Roman"/>
          <w:b w:val="0"/>
          <w:i/>
          <w:iCs/>
          <w:sz w:val="20"/>
        </w:rPr>
        <w:t xml:space="preserve">Explosives Engineering</w:t>
      </w:r>
      <w:r>
        <w:rPr>
          <w:rFonts w:ascii="Times New Roman" w:hAnsi="Times New Roman"/>
          <w:b w:val="0"/>
          <w:i/>
          <w:sz w:val="20"/>
        </w:rPr>
        <w:t xml:space="preserve"> </w:t>
      </w:r>
      <w:r>
        <w:rPr>
          <w:rFonts w:ascii="Times New Roman" w:hAnsi="Times New Roman"/>
          <w:b w:val="0"/>
          <w:i/>
          <w:sz w:val="20"/>
        </w:rPr>
        <w:t xml:space="preserve">(Wiley-VCH, 1996); and Dobratz, B. M. &amp; Crawford, P. C.</w:t>
      </w:r>
      <w:r>
        <w:rPr>
          <w:rFonts w:ascii="Times New Roman" w:hAnsi="Times New Roman"/>
          <w:b w:val="0"/>
          <w:i/>
          <w:sz w:val="20"/>
        </w:rPr>
        <w:t xml:space="preserve"> </w:t>
      </w:r>
      <w:r>
        <w:rPr>
          <w:rFonts w:ascii="Times New Roman" w:hAnsi="Times New Roman"/>
          <w:b w:val="0"/>
          <w:i/>
          <w:iCs/>
          <w:sz w:val="20"/>
        </w:rPr>
        <w:t xml:space="preserve">LLNL Explosives Handbook: Properties of Chemical Explosives and Explosive Simulants</w:t>
      </w:r>
      <w:r>
        <w:rPr>
          <w:rFonts w:ascii="Times New Roman" w:hAnsi="Times New Roman"/>
          <w:b w:val="0"/>
          <w:i/>
          <w:sz w:val="20"/>
        </w:rPr>
        <w:t xml:space="preserve">, UCRL-52997, Rev. 2 (Lawrence Livermore National Laboratory, 1985). Per-row provenance documented in Appendix A.1.</w:t>
      </w:r>
      <w:bookmarkEnd w:id="114"/>
    </w:p>
    <w:p>
      <w:pPr>
        <w:pStyle w:val="Subtitle"/>
        <w:numPr>
          <w:ilvl w:val="0"/>
          <w:numId w:val="1004"/>
        </w:numPr>
        <w:spacing w:before="0" w:after="160"/>
        <w:ind w:left="360" w:hanging="259"/>
        <w:jc w:val="center"/>
        <w:keepNext w:val="0"/>
        <w:keepLines/>
        <w:widowControl w:val="1"/>
      </w:pPr>
      <w:bookmarkStart w:id="115" w:name="ref-sterling2015zinc"/>
      <w:r>
        <w:rPr>
          <w:rFonts w:ascii="Times New Roman" w:hAnsi="Times New Roman"/>
          <w:b w:val="0"/>
          <w:i/>
          <w:sz w:val="20"/>
        </w:rPr>
        <w:t xml:space="preserve">Sterling, T., &amp; Irwin, J. J. (2015). ZINC 15: Ligand Discovery for Everyone.</w:t>
      </w:r>
      <w:r>
        <w:rPr>
          <w:rFonts w:ascii="Times New Roman" w:hAnsi="Times New Roman"/>
          <w:b w:val="0"/>
          <w:i/>
          <w:sz w:val="20"/>
        </w:rPr>
        <w:t xml:space="preserve"> </w:t>
      </w:r>
      <w:r>
        <w:rPr>
          <w:rFonts w:ascii="Times New Roman" w:hAnsi="Times New Roman"/>
          <w:b w:val="0"/>
          <w:i/>
          <w:iCs/>
          <w:sz w:val="20"/>
        </w:rPr>
        <w:t xml:space="preserve">J. Chem. Inf. Model. 55(11)</w:t>
      </w:r>
      <w:r>
        <w:rPr>
          <w:rFonts w:ascii="Times New Roman" w:hAnsi="Times New Roman"/>
          <w:b w:val="0"/>
          <w:i/>
          <w:sz w:val="20"/>
        </w:rPr>
        <w:t xml:space="preserve">:2324–2337.</w:t>
      </w:r>
      <w:bookmarkEnd w:id="115"/>
    </w:p>
    <w:p>
      <w:pPr>
        <w:pStyle w:val="Subtitle"/>
        <w:numPr>
          <w:ilvl w:val="0"/>
          <w:numId w:val="1004"/>
        </w:numPr>
        <w:spacing w:before="0" w:after="40"/>
        <w:ind w:left="360" w:hanging="259"/>
        <w:jc w:val="center"/>
        <w:keepNext/>
        <w:keepLines/>
        <w:widowControl w:val="1"/>
      </w:pPr>
      <w:bookmarkStart w:id="117" w:name="ref-cameo"/>
      <w:r>
        <w:rPr>
          <w:rFonts w:ascii="Times New Roman" w:hAnsi="Times New Roman"/>
          <w:b/>
          <w:i w:val="0"/>
          <w:sz w:val="24"/>
        </w:rPr>
        <w:t xml:space="preserve">NIST CAMEO Chemicals: Database of Hazardous Materials and Reactivity.</w:t>
      </w:r>
      <w:r>
        <w:rPr>
          <w:rFonts w:ascii="Times New Roman" w:hAnsi="Times New Roman"/>
          <w:b/>
          <w:i w:val="0"/>
          <w:sz w:val="24"/>
        </w:rPr>
        <w:t xml:space="preserve"> </w:t>
      </w:r>
      <w:hyperlink r:id="rId116">
        <w:r>
          <w:rPr>
            <w:rStyle w:val="Hyperlink"/>
          </w:rPr>
          <w:t xml:space="preserve">cameochemicals.noaa.gov</w:t>
        </w:r>
      </w:hyperlink>
      <w:r>
        <w:rPr>
          <w:rFonts w:ascii="Times New Roman" w:hAnsi="Times New Roman"/>
          <w:b/>
          <w:i w:val="0"/>
          <w:sz w:val="24"/>
        </w:rPr>
        <w:t xml:space="preserve">.</w:t>
      </w:r>
      <w:bookmarkEnd w:id="117"/>
    </w:p>
    <w:p>
      <w:pPr>
        <w:pStyle w:val="Subtitle"/>
        <w:numPr>
          <w:ilvl w:val="0"/>
          <w:numId w:val="1004"/>
        </w:numPr>
        <w:spacing w:before="0" w:after="160"/>
        <w:ind w:left="360" w:hanging="259"/>
        <w:jc w:val="center"/>
        <w:keepNext w:val="0"/>
        <w:keepLines/>
        <w:widowControl w:val="1"/>
      </w:pPr>
      <w:bookmarkStart w:id="118" w:name="ref-bruns2020watson"/>
      <w:r>
        <w:rPr>
          <w:rFonts w:ascii="Times New Roman" w:hAnsi="Times New Roman"/>
          <w:b w:val="0"/>
          <w:i/>
          <w:sz w:val="20"/>
        </w:rPr>
        <w:t xml:space="preserve">Bruns, R. F., &amp; Watson, I. A. (2012). Rules for identifying potentially reactive or promiscuous compounds.</w:t>
      </w:r>
      <w:r>
        <w:rPr>
          <w:rFonts w:ascii="Times New Roman" w:hAnsi="Times New Roman"/>
          <w:b w:val="0"/>
          <w:i/>
          <w:sz w:val="20"/>
        </w:rPr>
        <w:t xml:space="preserve"> </w:t>
      </w:r>
      <w:r>
        <w:rPr>
          <w:rFonts w:ascii="Times New Roman" w:hAnsi="Times New Roman"/>
          <w:b w:val="0"/>
          <w:i/>
          <w:iCs/>
          <w:sz w:val="20"/>
        </w:rPr>
        <w:t xml:space="preserve">J. Med. Chem.</w:t>
      </w:r>
      <w:r>
        <w:rPr>
          <w:rFonts w:ascii="Times New Roman" w:hAnsi="Times New Roman"/>
          <w:b w:val="0"/>
          <w:i/>
          <w:sz w:val="20"/>
        </w:rPr>
        <w:t xml:space="preserve"> </w:t>
      </w:r>
      <w:r>
        <w:rPr>
          <w:rFonts w:ascii="Times New Roman" w:hAnsi="Times New Roman"/>
          <w:b w:val="0"/>
          <w:i/>
          <w:sz w:val="20"/>
        </w:rPr>
        <w:t xml:space="preserve">55(22):9763–9772. doi:10.1021/jm301008n. Used here as a SMARTS-based reactivity-demerit source.</w:t>
      </w:r>
      <w:bookmarkEnd w:id="118"/>
    </w:p>
    <w:p>
      <w:pPr>
        <w:pStyle w:val="Subtitle"/>
        <w:numPr>
          <w:ilvl w:val="0"/>
          <w:numId w:val="1004"/>
        </w:numPr>
        <w:spacing w:before="0" w:after="160"/>
        <w:ind w:left="360" w:hanging="259"/>
        <w:jc w:val="center"/>
        <w:keepNext w:val="0"/>
        <w:keepLines/>
        <w:widowControl w:val="1"/>
      </w:pPr>
      <w:bookmarkStart w:id="119" w:name="ref-bondi1964vdw"/>
      <w:r>
        <w:rPr>
          <w:rFonts w:ascii="Times New Roman" w:hAnsi="Times New Roman"/>
          <w:b w:val="0"/>
          <w:i/>
          <w:sz w:val="20"/>
        </w:rPr>
        <w:t xml:space="preserve">Bondi, A. (1964). van der Waals Volumes and Radii.</w:t>
      </w:r>
      <w:r>
        <w:rPr>
          <w:rFonts w:ascii="Times New Roman" w:hAnsi="Times New Roman"/>
          <w:b w:val="0"/>
          <w:i/>
          <w:sz w:val="20"/>
        </w:rPr>
        <w:t xml:space="preserve"> </w:t>
      </w:r>
      <w:r>
        <w:rPr>
          <w:rFonts w:ascii="Times New Roman" w:hAnsi="Times New Roman"/>
          <w:b w:val="0"/>
          <w:i/>
          <w:iCs/>
          <w:sz w:val="20"/>
        </w:rPr>
        <w:t xml:space="preserve">J. Phys. Chem. 68(3)</w:t>
      </w:r>
      <w:r>
        <w:rPr>
          <w:rFonts w:ascii="Times New Roman" w:hAnsi="Times New Roman"/>
          <w:b w:val="0"/>
          <w:i/>
          <w:sz w:val="20"/>
        </w:rPr>
        <w:t xml:space="preserve">:441–451. doi:10.1021/j100785a001.</w:t>
      </w:r>
      <w:bookmarkEnd w:id="119"/>
    </w:p>
    <w:p>
      <w:pPr>
        <w:pStyle w:val="Subtitle"/>
        <w:numPr>
          <w:ilvl w:val="0"/>
          <w:numId w:val="1004"/>
        </w:numPr>
        <w:spacing w:before="0" w:after="160"/>
        <w:ind w:left="360" w:hanging="259"/>
        <w:jc w:val="center"/>
        <w:keepNext w:val="0"/>
        <w:keepLines/>
        <w:widowControl w:val="1"/>
      </w:pPr>
      <w:bookmarkStart w:id="120" w:name="ref-csp-cgd-2023"/>
      <w:r>
        <w:rPr>
          <w:rFonts w:ascii="Times New Roman" w:hAnsi="Times New Roman"/>
          <w:b w:val="0"/>
          <w:i/>
          <w:sz w:val="20"/>
        </w:rPr>
        <w:t xml:space="preserve">Arnold, J. E., &amp; Day, G. M. (2023). Crystal Structure Prediction of Energetic Materials.</w:t>
      </w:r>
      <w:r>
        <w:rPr>
          <w:rFonts w:ascii="Times New Roman" w:hAnsi="Times New Roman"/>
          <w:b w:val="0"/>
          <w:i/>
          <w:sz w:val="20"/>
        </w:rPr>
        <w:t xml:space="preserve"> </w:t>
      </w:r>
      <w:r>
        <w:rPr>
          <w:rFonts w:ascii="Times New Roman" w:hAnsi="Times New Roman"/>
          <w:b w:val="0"/>
          <w:i/>
          <w:iCs/>
          <w:sz w:val="20"/>
        </w:rPr>
        <w:t xml:space="preserve">Crystal Growth &amp; Design</w:t>
      </w:r>
      <w:r>
        <w:rPr>
          <w:rFonts w:ascii="Times New Roman" w:hAnsi="Times New Roman"/>
          <w:b w:val="0"/>
          <w:i/>
          <w:sz w:val="20"/>
        </w:rPr>
        <w:t xml:space="preserve">. doi:10.1021/acs.cgd.3c00706.</w:t>
      </w:r>
      <w:bookmarkEnd w:id="120"/>
    </w:p>
    <w:bookmarkEnd w:id="121"/>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38" Type="http://schemas.openxmlformats.org/officeDocument/2006/relationships/image" Target="media/rId38.png"/><Relationship Id="rId26" Type="http://schemas.openxmlformats.org/officeDocument/2006/relationships/image" Target="media/rId26.png"/><Relationship Id="rId11" Type="http://schemas.openxmlformats.org/officeDocument/2006/relationships/image" Target="media/rId11.png"/><Relationship Id="rId116"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108" Type="http://schemas.openxmlformats.org/officeDocument/2006/relationships/hyperlink" Target="https://www.daylight.com/dayhtml/doc/theory/theory.smarts.html" TargetMode="External"/><Relationship Id="rId106"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6"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108" Type="http://schemas.openxmlformats.org/officeDocument/2006/relationships/hyperlink" Target="https://www.daylight.com/dayhtml/doc/theory/theory.smarts.html" TargetMode="External"/><Relationship Id="rId106"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2026-07-31T20:59:04Z</dcterms:created>
  <dcterms:modified xsi:type="dcterms:W3CDTF">2026-07-31T20:59:04Z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