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second-family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seven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 L3–L5)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gate had admitted as a lead; we reclassify it as reference R2 (Table C.1c) and exclude it, leaving 11 chem-pass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(second-family candidate).</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the two top-ranked leads, from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(§6). L1 and E1 are two leads from two distinct scaffold families produced on a single sampling run, so the productive-quadrant coverage spans multiple chemotypes.</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2026-08-01T00:54:04Z</dcterms:created>
  <dcterms:modified xsi:type="dcterms:W3CDTF">2026-08-01T00:54:04Z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