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w:t>
            </w:r>
            <w:r>
              <w:rPr>
                <w:rFonts w:ascii="Times New Roman" w:hAnsi="Times New Roman"/>
                <w:sz w:val="19"/>
              </w:rPr>
              <w:t xml:space="preserve"> </w:t>
            </w:r>
            <w:hyperlink w:anchor="ref-cameo">
              <w:r>
                <w:rPr>
                  <w:rStyle w:val="Hyperlink"/>
                </w:rPr>
                <w:t xml:space="preserve">[00]</w:t>
              </w:r>
            </w:hyperlink>
            <w:r>
              <w:rPr>
                <w:rFonts w:ascii="Times New Roman" w:hAnsi="Times New Roman"/>
                <w:sz w:val="19"/>
              </w:rPr>
              <w:t xml:space="preserve"> </w:t>
            </w:r>
            <w:r>
              <w:rPr>
                <w:rFonts w:ascii="Times New Roman" w:hAnsi="Times New Roman"/>
                <w:sz w:val="19"/>
              </w:rPr>
              <w:t xml:space="preserve">+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B.1b, and B.1c (LIMO VAE; denoiser + score model; label sources + reranker, respectively).</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the Materials and Methods (§4).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the Materials and Methods (§4).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~2069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ZINC-15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2-model scaffold-split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Uni-Mol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(§5.3)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a 2-anchor fit (RDX/TATB only) is under-determined, which is why the 6-anchor panel is used.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11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1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11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1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 R2 (the N-nitroimine oxime-nitrate-imidazoline) was initially admitted as a production lead but is reclassified here as a reject and excluded from the lead set:</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11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11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Uni-Mol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Uni-Mol</w:t>
      </w:r>
      <w:r>
        <w:rPr>
          <w:rFonts w:ascii="Times New Roman" w:hAnsi="Times New Roman"/>
          <w:b w:val="0"/>
          <w:i/>
          <w:sz w:val="20"/>
        </w:rPr>
        <w:t xml:space="preserve"> </w:t>
      </w:r>
      <m:oMath>
        <m:r>
          <m:t>D</m:t>
        </m:r>
      </m:oMath>
      <w:r>
        <w:rPr>
          <w:rFonts w:ascii="Times New Roman" w:hAnsi="Times New Roman"/>
          <w:b w:val="0"/>
          <w:i/>
          <w:sz w:val="20"/>
        </w:rPr>
        <w:t xml:space="preserve">. All 11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1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Uni-Mol surrogate (</w:t>
      </w:r>
      <m:oMath>
        <m:r>
          <m:rPr>
            <m:sty m:val="p"/>
          </m:rPr>
          <m:t>−</m:t>
        </m:r>
        <m:r>
          <m:t>1.22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1.69</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Uni-Mol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(Uni-Mol</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Uni-Mol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reflects the open-form Q approximation (Q ≈ ΔHf/MW without product-side subtraction); the per-lead Table C.2 values use the closed-form K-J, for which the residual stays negative across this regime.</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Uni-Mol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312b1e540ba401b2ae6391b9eda3d5a926d9c43"/>
    <w:p>
      <w:pPr>
        <w:pStyle w:val="Subtitle"/>
        <w:spacing w:before="0" w:after="40"/>
        <w:jc w:val="center"/>
        <w:keepNext/>
        <w:keepLines/>
        <w:widowControl w:val="1"/>
      </w:pPr>
      <w:r>
        <w:rPr>
          <w:rFonts w:ascii="Times New Roman" w:hAnsi="Times New Roman"/>
          <w:b/>
          <w:i w:val="0"/>
          <w:sz w:val="24"/>
        </w:rPr>
        <w:t xml:space="preserve">D. Reproducibility details and extended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supporting configuration detail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NTO)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we quantify generalisation separately by 5-fold cross-validation across all 196 hazard-dataset rows, which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template-coverage discussion for L4, L5, and the eight extension leads, and the drug-domain template-bias argument. The headline is reported in §5.4 (1/11 USPTO-template hit rate; L1 reachable in 4 steps with state score 0.50; eight-lead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Template coverage for L4, L5, and the eight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result is stable to search budget: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NTO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Appendix D.9; the SC-gradient sweep and the heuristic-vs-literature sensitivity-head ablation (Appendix B.2) are in Appendix D.6.</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so E1 is reproduced by two independent sampling routes.</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 Appendix D.6.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nearly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Uni-Mol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4"/>
    </w:p>
    <w:p>
      <w:pPr>
        <w:pStyle w:val="Subtitle"/>
        <w:numPr>
          <w:ilvl w:val="0"/>
          <w:numId w:val="1004"/>
        </w:numPr>
        <w:spacing w:before="0" w:after="160"/>
        <w:ind w:left="360" w:hanging="259"/>
        <w:jc w:val="center"/>
        <w:keepNext w:val="0"/>
        <w:keepLines/>
        <w:widowControl w:val="1"/>
      </w:pPr>
      <w:bookmarkStart w:id="115"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5"/>
    </w:p>
    <w:p>
      <w:pPr>
        <w:pStyle w:val="Subtitle"/>
        <w:numPr>
          <w:ilvl w:val="0"/>
          <w:numId w:val="1004"/>
        </w:numPr>
        <w:spacing w:before="0" w:after="40"/>
        <w:ind w:left="360" w:hanging="259"/>
        <w:jc w:val="center"/>
        <w:keepNext/>
        <w:keepLines/>
        <w:widowControl w:val="1"/>
      </w:pPr>
      <w:bookmarkStart w:id="117"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6">
        <w:r>
          <w:rPr>
            <w:rStyle w:val="Hyperlink"/>
          </w:rPr>
          <w:t xml:space="preserve">cameochemicals.noaa.gov</w:t>
        </w:r>
      </w:hyperlink>
      <w:r>
        <w:rPr>
          <w:rFonts w:ascii="Times New Roman" w:hAnsi="Times New Roman"/>
          <w:b/>
          <w:i w:val="0"/>
          <w:sz w:val="24"/>
        </w:rPr>
        <w:t xml:space="preserve">.</w:t>
      </w:r>
      <w:bookmarkEnd w:id="117"/>
    </w:p>
    <w:p>
      <w:pPr>
        <w:pStyle w:val="Subtitle"/>
        <w:numPr>
          <w:ilvl w:val="0"/>
          <w:numId w:val="1004"/>
        </w:numPr>
        <w:spacing w:before="0" w:after="160"/>
        <w:ind w:left="360" w:hanging="259"/>
        <w:jc w:val="center"/>
        <w:keepNext w:val="0"/>
        <w:keepLines/>
        <w:widowControl w:val="1"/>
      </w:pPr>
      <w:bookmarkStart w:id="118"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8"/>
    </w:p>
    <w:p>
      <w:pPr>
        <w:pStyle w:val="Subtitle"/>
        <w:numPr>
          <w:ilvl w:val="0"/>
          <w:numId w:val="1004"/>
        </w:numPr>
        <w:spacing w:before="0" w:after="160"/>
        <w:ind w:left="360" w:hanging="259"/>
        <w:jc w:val="center"/>
        <w:keepNext w:val="0"/>
        <w:keepLines/>
        <w:widowControl w:val="1"/>
      </w:pPr>
      <w:bookmarkStart w:id="119"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9"/>
    </w:p>
    <w:p>
      <w:pPr>
        <w:pStyle w:val="Subtitle"/>
        <w:numPr>
          <w:ilvl w:val="0"/>
          <w:numId w:val="1004"/>
        </w:numPr>
        <w:spacing w:before="0" w:after="160"/>
        <w:ind w:left="360" w:hanging="259"/>
        <w:jc w:val="center"/>
        <w:keepNext w:val="0"/>
        <w:keepLines/>
        <w:widowControl w:val="1"/>
      </w:pPr>
      <w:bookmarkStart w:id="120"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2026-08-01T00:54:07Z</dcterms:created>
  <dcterms:modified xsi:type="dcterms:W3CDTF">2026-08-01T00:54:07Z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