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Casey et al. 2020 detonation-property dataset (curated CHNO + CHNOClF subset, B3LYP/6-31G* HOF + experimentally-anchored densities)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 (in-house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19"/>
              </w:rPr>
              <w:t xml:space="preserve">) used to label rows that have no other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The per-source counts in the table above are pre-overlap. 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w:t>
      </w:r>
      <w:r>
        <w:rPr>
          <w:rFonts w:ascii="Times New Roman" w:hAnsi="Times New Roman"/>
          <w:b w:val="0"/>
          <w:i/>
          <w:sz w:val="20"/>
        </w:rPr>
        <w:t xml:space="preserve"> </w:t>
      </w:r>
      <w:r>
        <w:rPr>
          <w:rFonts w:ascii="Times New Roman" w:hAnsi="Times New Roman"/>
          <w:b w:val="0"/>
          <w:i/>
          <w:sz w:val="20"/>
        </w:rPr>
        <w:t xml:space="preserve">The 6-anchor calibration on (RDX, TATB, HMX, PETN, FOX-7, NTO) gives</w:t>
      </w:r>
      <w:r>
        <w:rPr>
          <w:rFonts w:ascii="Times New Roman" w:hAnsi="Times New Roman"/>
          <w:b w:val="0"/>
          <w:i/>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oMath>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leave-one-out RMS residuals of</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calibrated HOF.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P.,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:102803.</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H., &amp; Watson, P. (2020). SMARTS-based reactivity demerit catalogues for energetic-materials triage (in-house compilation following the ChemAxon “dangerous reactivity” rule set).</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2026-07-23T06:48:56Z</dcterms:created>
  <dcterms:modified xsi:type="dcterms:W3CDTF">2026-07-23T06:48:56Z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