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Article</w:t>
      </w:r>
    </w:p>
    <w:bookmarkStart w:id="9" w:name="Xaf40fb37500ea8ba5a66e69da036c33fe6ca622"/>
    <w:p>
      <w:pPr>
        <w:pStyle w:val="Title"/>
        <w:spacing w:before="0" w:after="160"/>
        <w:jc w:val="center"/>
        <w:keepNext/>
        <w:keepLines/>
        <w:widowControl w:val="1"/>
      </w:pPr>
      <w:r>
        <w:t xml:space="preserve">Domain-Gated Latent Diffusion: Generative Inverse Design of HMX-Class Energetic Materials with First-Principles Validation</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rPr>
        <w:t xml:space="preserve"> </w:t>
      </w:r>
      <w:r>
        <w:rPr>
          <w:rFonts w:ascii="Times New Roman" w:hAnsi="Times New Roman"/>
          <w:b w:val="0"/>
          <w:i/>
          <w:sz w:val="20"/>
          <w:vertAlign w:val="superscript"/>
        </w:rPr>
        <w:t xml:space="preserve">1,</w:t>
      </w:r>
      <w:r>
        <w:rPr>
          <w:rFonts w:ascii="Times New Roman" w:hAnsi="Times New Roman"/>
          <w:b w:val="0"/>
          <w:i/>
          <w:sz w:val="20"/>
        </w:rPr>
        <w:t xml:space="preserve">* and Alexander Apartsin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Department of Intelligent Systems, Afeka Tel-Aviv College of Engineering, Tel-Aviv, Israel</w:t>
      </w:r>
    </w:p>
    <w:p>
      <w:pPr>
        <w:pStyle w:val="BodyText"/>
        <w:jc w:val="both"/>
        <w:keepNext w:val="0"/>
        <w:keepLines w:val="0"/>
        <w:widowControl w:val="1"/>
      </w:pPr>
      <w:r>
        <w:rPr>
          <w:vertAlign w:val="superscript"/>
        </w:rPr>
        <w:t xml:space="preserve">2</w:t>
      </w:r>
      <w:r>
        <w:t xml:space="preserve"> </w:t>
      </w:r>
      <w:r>
        <w:t xml:space="preserve">School of Computer Science, Faculty of Sciences, Holon Institute of Technology (HIT), Holon, Israel</w:t>
      </w:r>
    </w:p>
    <w:p>
      <w:pPr>
        <w:pStyle w:val="BodyText"/>
        <w:jc w:val="both"/>
        <w:keepNext w:val="0"/>
        <w:keepLines w:val="0"/>
        <w:widowControl w:val="1"/>
      </w:pPr>
      <w:r>
        <w:t xml:space="preserve">* Correspondence: apersteiny@afeka.ac.il</w:t>
      </w:r>
    </w:p>
    <w:bookmarkEnd w:id="9"/>
    <w:p>
      <w:pPr>
        <w:pStyle w:val="BodyText"/>
        <w:jc w:val="both"/>
        <w:keepNext w:val="0"/>
        <w:keepLines w:val="0"/>
        <w:widowControl w:val="1"/>
      </w:pPr>
      <w:r>
        <w:t xml:space="preserve">Abstract:</w:t>
      </w:r>
      <w:r>
        <w:t xml:space="preserve"> </w:t>
      </w:r>
      <w:r>
        <w:t xml:space="preserve">Energetic materials power mining, demolition, propulsion and</w:t>
      </w:r>
      <w:r>
        <w:t xml:space="preserve"> </w:t>
      </w:r>
      <w:r>
        <w:t xml:space="preserve">airbags, yet today’s compounds were designed decades ago. A successor must combine high energy</w:t>
      </w:r>
      <w:r>
        <w:t xml:space="preserve"> </w:t>
      </w:r>
      <w:r>
        <w:t xml:space="preserve">release, low sensitivity to accidental initiation and a practical synthesis route, found within an</w:t>
      </w:r>
      <w:r>
        <w:t xml:space="preserve"> </w:t>
      </w:r>
      <w:r>
        <w:t xml:space="preserve">astronomically large molecular space. Generative models are the natural search tool, but their training</w:t>
      </w:r>
      <w:r>
        <w:t xml:space="preserve"> </w:t>
      </w:r>
      <w:r>
        <w:t xml:space="preserve">data is mostly untrustworthy: of ~66,000 molecules with recorded properties, only ~3,000 were measured</w:t>
      </w:r>
      <w:r>
        <w:t xml:space="preserve"> </w:t>
      </w:r>
      <w:r>
        <w:t xml:space="preserve">or computed from first principles. Models trained on all of them imitate the rough estimates and</w:t>
      </w:r>
      <w:r>
        <w:t xml:space="preserve"> </w:t>
      </w:r>
      <w:r>
        <w:t xml:space="preserve">propose molecules that collapse under real physics. We introduce</w:t>
      </w:r>
      <w:r>
        <w:t xml:space="preserve"> </w:t>
      </w:r>
      <w:r>
        <w:rPr>
          <w:b/>
          <w:bCs/>
        </w:rPr>
        <w:t xml:space="preserve">Domain-Gated Latent Diffusion (DGLD)</w:t>
      </w:r>
      <w:r>
        <w:t xml:space="preserve">, a diffusion model that treats data reliability</w:t>
      </w:r>
      <w:r>
        <w:t xml:space="preserve"> </w:t>
      </w:r>
      <w:r>
        <w:t xml:space="preserve">as an explicit design parameter: labels are sorted into four trust tiers, and only trustworthy ones</w:t>
      </w:r>
      <w:r>
        <w:t xml:space="preserve"> </w:t>
      </w:r>
      <w:r>
        <w:t xml:space="preserve">steer generation, while the unreliable majority still teaches the model what a plausible molecule looks</w:t>
      </w:r>
      <w:r>
        <w:t xml:space="preserve"> </w:t>
      </w:r>
      <w:r>
        <w:t xml:space="preserve">like. Learned controls tune performance, safety and viability independently, and every</w:t>
      </w:r>
      <w:r>
        <w:t xml:space="preserve"> </w:t>
      </w:r>
      <w:r>
        <w:t xml:space="preserve">proposal passes a four-stage screen ending in quantum-chemical (DFT) audit. DGLD proposes 10 molecules</w:t>
      </w:r>
      <w:r>
        <w:t xml:space="preserve"> </w:t>
      </w:r>
      <w:r>
        <w:t xml:space="preserve">unknown to PubChem that survive it. The best, 3,4,5-trinitro-1,2-isoxazole, matches benchmark</w:t>
      </w:r>
      <w:r>
        <w:t xml:space="preserve"> </w:t>
      </w:r>
      <w:r>
        <w:t xml:space="preserve">explosives HMX and PETN on calculated detonation performance, is unlike its training set, and has a</w:t>
      </w:r>
      <w:r>
        <w:t xml:space="preserve"> </w:t>
      </w:r>
      <w:r>
        <w:t xml:space="preserve">four-step synthesis route. Trust gating is chemistry-independent, applying wherever abundant weak data</w:t>
      </w:r>
      <w:r>
        <w:t xml:space="preserve"> </w:t>
      </w:r>
      <w:r>
        <w:t xml:space="preserve">surrounds a reliable core.</w:t>
      </w:r>
    </w:p>
    <w:p>
      <w:pPr>
        <w:pStyle w:val="Keywords"/>
        <w:jc w:val="both"/>
        <w:keepNext w:val="0"/>
        <w:keepLines w:val="0"/>
        <w:widowControl w:val="1"/>
      </w:pPr>
      <w:r>
        <w:rPr>
          <w:b/>
        </w:rPr>
        <w:t xml:space="preserve">Keywords:</w:t>
      </w:r>
      <w:r>
        <w:t xml:space="preserve"> </w:t>
      </w:r>
      <w:r>
        <w:t xml:space="preserve">generative models; latent diffusion; inverse molecular design; energetic materials; density functional theory; data-driven discovery</w:t>
      </w:r>
    </w:p>
    <w:bookmarkStart w:id="14"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for launch and mining applications, safer and more efficient automotive gas-generators, and lower-mass payloads across the field,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density functional theory (DFT) label on the target detonation properties, with the rest supplying empirical-formula or Uni-Mol-surrogate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0"/>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oMath>
      <m:oMath>
        <m:r>
          <m:t>D</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(DGLD points on the  panel are Uni-Mol surrogate scores and the anchors are at their reported literature ; only the DFT-calibrated Kamlet–Jacobs values for the DGLD leads, in Supplementary Table S30, are directly scale-matched to the anchors). SMILES-LSTM (red X) is exact rediscovery (Tanimoto = 1.0); MolMIM 70 M (gold) is novel but at  km s−1; REINVENT 4 (green square) reaches  km s−1 at novelty 0.43 (Table 2); SELFIES-GA (purple) shows a surrogate-to-DFT collapse on the  panel inset ( km s−1).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leads in the HMX/PETN band (Kamlet–Jacobs relative ranking).</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the SureChEMBL patent corpus</w:t>
      </w:r>
      <w:r>
        <w:t xml:space="preserve"> </w:t>
      </w:r>
      <w:hyperlink w:anchor="ref-surechembl">
        <w:r>
          <w:rPr>
            <w:rStyle w:val="Hyperlink"/>
          </w:rPr>
          <w:t xml:space="preserve">[5]</w:t>
        </w:r>
      </w:hyperlink>
      <w:r>
        <w:t xml:space="preserve">,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w:pPr>
        <w:pStyle w:val="FirstParagraph"/>
        <w:jc w:val="both"/>
        <w:keepNext w:val="0"/>
        <w:keepLines w:val="0"/>
        <w:widowControl w:val="1"/>
      </w:pPr>
      <w:r>
        <w:t xml:space="preserve">Taken together, these contributions sit on three axes of generative modelling for chemistry discovery: how a diffusion prior should consume unevenly reliable property labels, how the generative loop couples to quantum-chemical simulation as a validation stage rather than a post-hoc check, and what either buys on an advanced-materials target whose design objectives (energy release, stability, and synthesisability) are in direct conflict.</w:t>
      </w:r>
    </w:p>
    <w:bookmarkStart w:id="13" w:name="related-work"/>
    <w:p>
      <w:pPr>
        <w:pStyle w:val="Heading3"/>
        <w:keepNext/>
        <w:keepLines/>
        <w:widowControl w:val="1"/>
      </w:pPr>
      <w:r>
        <w:t xml:space="preserve">1.1. Related Work</w:t>
      </w:r>
    </w:p>
    <w:p>
      <w:pPr>
        <w:pStyle w:val="FirstParagraph"/>
        <w:jc w:val="both"/>
        <w:keepNext w:val="0"/>
        <w:keepLines w:val="0"/>
        <w:widowControl w:val="1"/>
      </w:pPr>
      <w:r>
        <w:t xml:space="preserve">DGLD sits at the intersection of molecular generative modelling, diffusion models with classifier-style guidance, and property prediction for energetic materials; an extended survey is given in the Supplementary Note (Extended Related Work). VAE-based generators learn a continuous latent over string or graph representations and navigate it for property optimisation</w:t>
      </w:r>
      <w:r>
        <w:t xml:space="preserve"> </w:t>
      </w:r>
      <w:hyperlink w:anchor="ref-gomez2018automatic">
        <w:r>
          <w:rPr>
            <w:rStyle w:val="Hyperlink"/>
          </w:rPr>
          <w:t xml:space="preserve">[6]</w:t>
        </w:r>
      </w:hyperlink>
      <w:hyperlink w:anchor="ref-jin2018junction">
        <w:r>
          <w:rPr>
            <w:rStyle w:val="Hyperlink"/>
          </w:rPr>
          <w:t xml:space="preserve">[7]</w:t>
        </w:r>
      </w:hyperlink>
      <w:r>
        <w:t xml:space="preserve">; we adopt the syntactically robust SELFIES representation</w:t>
      </w:r>
      <w:r>
        <w:t xml:space="preserve"> </w:t>
      </w:r>
      <w:hyperlink w:anchor="ref-krenn2020selfies">
        <w:r>
          <w:rPr>
            <w:rStyle w:val="Hyperlink"/>
          </w:rPr>
          <w:t xml:space="preserve">[8]</w:t>
        </w:r>
      </w:hyperlink>
      <w:r>
        <w:t xml:space="preserve"> </w:t>
      </w:r>
      <w:r>
        <w:t xml:space="preserve">and fine-tune the LIMO MLP-VAE</w:t>
      </w:r>
      <w:r>
        <w:t xml:space="preserve"> </w:t>
      </w:r>
      <w:hyperlink w:anchor="ref-eckmann2022limo">
        <w:r>
          <w:rPr>
            <w:rStyle w:val="Hyperlink"/>
          </w:rPr>
          <w:t xml:space="preserve">[9]</w:t>
        </w:r>
      </w:hyperlink>
      <w:r>
        <w:t xml:space="preserve"> </w:t>
      </w:r>
      <w:r>
        <w:t xml:space="preserve">as the frozen encoder; MolMIM</w:t>
      </w:r>
      <w:r>
        <w:t xml:space="preserve"> </w:t>
      </w:r>
      <w:hyperlink w:anchor="ref-reidenbach2023molmim">
        <w:r>
          <w:rPr>
            <w:rStyle w:val="Hyperlink"/>
          </w:rPr>
          <w:t xml:space="preserve">[10]</w:t>
        </w:r>
      </w:hyperlink>
      <w:r>
        <w:t xml:space="preserve"> </w:t>
      </w:r>
      <w:r>
        <w:t xml:space="preserve">and the RL-based REINVENT 4</w:t>
      </w:r>
      <w:r>
        <w:t xml:space="preserve"> </w:t>
      </w:r>
      <w:hyperlink w:anchor="ref-olivecrona2017reinvent">
        <w:r>
          <w:rPr>
            <w:rStyle w:val="Hyperlink"/>
          </w:rPr>
          <w:t xml:space="preserve">[11]</w:t>
        </w:r>
      </w:hyperlink>
      <w:hyperlink w:anchor="ref-loeffler2024reinvent4">
        <w:r>
          <w:rPr>
            <w:rStyle w:val="Hyperlink"/>
          </w:rPr>
          <w:t xml:space="preserve">[12]</w:t>
        </w:r>
      </w:hyperlink>
      <w:r>
        <w:t xml:space="preserve"> </w:t>
      </w:r>
      <w:r>
        <w:t xml:space="preserve">are among the comparative no-diffusion baselines (Section 4.16). On the graph side, DiGress</w:t>
      </w:r>
      <w:r>
        <w:t xml:space="preserve"> </w:t>
      </w:r>
      <w:hyperlink w:anchor="ref-vignac2023digress">
        <w:r>
          <w:rPr>
            <w:rStyle w:val="Hyperlink"/>
          </w:rPr>
          <w:t xml:space="preserve">[13]</w:t>
        </w:r>
      </w:hyperlink>
      <w:r>
        <w:t xml:space="preserve"> </w:t>
      </w:r>
      <w:r>
        <w:t xml:space="preserve">performs discrete denoising diffusion directly on molecular graphs, achieving exact validity at the cost of re-introducing property conditioning through a separate guidance term. On the generative-prior side, DGLD builds on denoising diffusion probabilistic models</w:t>
      </w:r>
      <w:r>
        <w:t xml:space="preserve"> </w:t>
      </w:r>
      <w:hyperlink w:anchor="ref-ho2020ddpm">
        <w:r>
          <w:rPr>
            <w:rStyle w:val="Hyperlink"/>
          </w:rPr>
          <w:t xml:space="preserve">[14]</w:t>
        </w:r>
      </w:hyperlink>
      <w:r>
        <w:t xml:space="preserve"> </w:t>
      </w:r>
      <w:r>
        <w:t xml:space="preserve">and the score-based/SDE formulation</w:t>
      </w:r>
      <w:r>
        <w:t xml:space="preserve"> </w:t>
      </w:r>
      <w:hyperlink w:anchor="ref-song2021sde">
        <w:r>
          <w:rPr>
            <w:rStyle w:val="Hyperlink"/>
          </w:rPr>
          <w:t xml:space="preserve">[15]</w:t>
        </w:r>
      </w:hyperlink>
      <w:r>
        <w:t xml:space="preserve">, transplants the latent-diffusion recipe</w:t>
      </w:r>
      <w:r>
        <w:t xml:space="preserve"> </w:t>
      </w:r>
      <w:hyperlink w:anchor="ref-rombach2022ldm">
        <w:r>
          <w:rPr>
            <w:rStyle w:val="Hyperlink"/>
          </w:rPr>
          <w:t xml:space="preserve">[16]</w:t>
        </w:r>
      </w:hyperlink>
      <w:r>
        <w:t xml:space="preserve"> </w:t>
      </w:r>
      <w:r>
        <w:t xml:space="preserve">from images to molecules, and combines classifier-free guidance</w:t>
      </w:r>
      <w:r>
        <w:t xml:space="preserve"> </w:t>
      </w:r>
      <w:hyperlink w:anchor="ref-ho2022cfg">
        <w:r>
          <w:rPr>
            <w:rStyle w:val="Hyperlink"/>
          </w:rPr>
          <w:t xml:space="preserve">[4]</w:t>
        </w:r>
      </w:hyperlink>
      <w:r>
        <w:t xml:space="preserve"> </w:t>
      </w:r>
      <w:r>
        <w:t xml:space="preserve">with the noise-conditional classifier-guidance regime</w:t>
      </w:r>
      <w:r>
        <w:t xml:space="preserve"> </w:t>
      </w:r>
      <w:hyperlink w:anchor="ref-dhariwal2021diffusion">
        <w:r>
          <w:rPr>
            <w:rStyle w:val="Hyperlink"/>
          </w:rPr>
          <w:t xml:space="preserve">[17]</w:t>
        </w:r>
      </w:hyperlink>
      <w:r>
        <w:t xml:space="preserve">, injected through FiLM conditioning</w:t>
      </w:r>
      <w:r>
        <w:t xml:space="preserve"> </w:t>
      </w:r>
      <w:hyperlink w:anchor="ref-perez2018film">
        <w:r>
          <w:rPr>
            <w:rStyle w:val="Hyperlink"/>
          </w:rPr>
          <w:t xml:space="preserve">[18]</w:t>
        </w:r>
      </w:hyperlink>
      <w:r>
        <w:t xml:space="preserve">. Unlike 3D pocket-conditioned molecular diffusion (EDM</w:t>
      </w:r>
      <w:r>
        <w:t xml:space="preserve"> </w:t>
      </w:r>
      <w:hyperlink w:anchor="ref-hoogeboom2022edm">
        <w:r>
          <w:rPr>
            <w:rStyle w:val="Hyperlink"/>
          </w:rPr>
          <w:t xml:space="preserve">[19]</w:t>
        </w:r>
      </w:hyperlink>
      <w:r>
        <w:t xml:space="preserve">, GeoLDM</w:t>
      </w:r>
      <w:r>
        <w:t xml:space="preserve"> </w:t>
      </w:r>
      <w:hyperlink w:anchor="ref-xu2023geoldm">
        <w:r>
          <w:rPr>
            <w:rStyle w:val="Hyperlink"/>
          </w:rPr>
          <w:t xml:space="preserve">[20]</w:t>
        </w:r>
      </w:hyperlink>
      <w:r>
        <w:t xml:space="preserve">), DGLD diffuses a 1D string-derived latent, so conditioning is a function of the molecule’s identity rather than of any particular conformer.</w:t>
      </w:r>
    </w:p>
    <w:p>
      <w:pPr>
        <w:pStyle w:val="BodyText"/>
        <w:jc w:val="both"/>
        <w:keepNext w:val="0"/>
        <w:keepLines w:val="0"/>
        <w:widowControl w:val="1"/>
      </w:pPr>
      <w:r>
        <w:t xml:space="preserve">On the property side, the Kamlet–Jacobs equations</w:t>
      </w:r>
      <w:r>
        <w:t xml:space="preserve"> </w:t>
      </w:r>
      <w:hyperlink w:anchor="ref-kamlet1968detonation">
        <w:r>
          <w:rPr>
            <w:rStyle w:val="Hyperlink"/>
          </w:rPr>
          <w:t xml:space="preserve">[1]</w:t>
        </w:r>
      </w:hyperlink>
      <w:r>
        <w:t xml:space="preserve"> </w:t>
      </w:r>
      <w:r>
        <w:t xml:space="preserve">supply fast closed-form Tier-C detonation labels; 3D-CNN</w:t>
      </w:r>
      <w:r>
        <w:t xml:space="preserve"> </w:t>
      </w:r>
      <w:hyperlink w:anchor="ref-casey2020prediction">
        <w:r>
          <w:rPr>
            <w:rStyle w:val="Hyperlink"/>
          </w:rPr>
          <w:t xml:space="preserve">[2]</w:t>
        </w:r>
      </w:hyperlink>
      <w:r>
        <w:t xml:space="preserve"> </w:t>
      </w:r>
      <w:r>
        <w:t xml:space="preserve">and Uni-Mol</w:t>
      </w:r>
      <w:r>
        <w:t xml:space="preserve"> </w:t>
      </w:r>
      <w:hyperlink w:anchor="ref-zhou2023unimol">
        <w:r>
          <w:rPr>
            <w:rStyle w:val="Hyperlink"/>
          </w:rPr>
          <w:t xml:space="preserve">[3]</w:t>
        </w:r>
      </w:hyperlink>
      <w:r>
        <w:t xml:space="preserve"> </w:t>
      </w:r>
      <w:r>
        <w:t xml:space="preserve">property predictors provide the surrogate scoring family; Politzer–Murray BDE correlations</w:t>
      </w:r>
      <w:r>
        <w:t xml:space="preserve"> </w:t>
      </w:r>
      <w:hyperlink w:anchor="ref-politzer2014some">
        <w:r>
          <w:rPr>
            <w:rStyle w:val="Hyperlink"/>
          </w:rPr>
          <w:t xml:space="preserve">[21]</w:t>
        </w:r>
      </w:hyperlink>
      <w:r>
        <w:t xml:space="preserve"> </w:t>
      </w:r>
      <w:r>
        <w:t xml:space="preserve">and the sensitivity literature</w:t>
      </w:r>
      <w:r>
        <w:t xml:space="preserve"> </w:t>
      </w:r>
      <w:hyperlink w:anchor="ref-mathieu2017sensitivity">
        <w:r>
          <w:rPr>
            <w:rStyle w:val="Hyperlink"/>
          </w:rPr>
          <w:t xml:space="preserve">[22]</w:t>
        </w:r>
      </w:hyperlink>
      <w:hyperlink w:anchor="ref-nefati1996ann">
        <w:r>
          <w:rPr>
            <w:rStyle w:val="Hyperlink"/>
          </w:rPr>
          <w:t xml:space="preserve">[23]</w:t>
        </w:r>
      </w:hyperlink>
      <w:hyperlink w:anchor="ref-huang2021applying">
        <w:r>
          <w:rPr>
            <w:rStyle w:val="Hyperlink"/>
          </w:rPr>
          <w:t xml:space="preserve">[24]</w:t>
        </w:r>
      </w:hyperlink>
      <w:r>
        <w:t xml:space="preserve"> </w:t>
      </w:r>
      <w:r>
        <w:t xml:space="preserve">ground the h</w:t>
      </w:r>
      <w:r>
        <w:rPr>
          <w:vertAlign w:val="subscript"/>
        </w:rPr>
        <w:t xml:space="preserve">50</w:t>
      </w:r>
      <w:r>
        <w:t xml:space="preserve"> </w:t>
      </w:r>
      <w:r>
        <w:t xml:space="preserve">hazard head; thermochemical-equilibrium codes (EXPLO5</w:t>
      </w:r>
      <w:r>
        <w:t xml:space="preserve"> </w:t>
      </w:r>
      <w:hyperlink w:anchor="ref-suceska2018explo5">
        <w:r>
          <w:rPr>
            <w:rStyle w:val="Hyperlink"/>
          </w:rPr>
          <w:t xml:space="preserve">[25]</w:t>
        </w:r>
      </w:hyperlink>
      <w:r>
        <w:t xml:space="preserve">, Cheetah</w:t>
      </w:r>
      <w:r>
        <w:t xml:space="preserve"> </w:t>
      </w:r>
      <w:hyperlink w:anchor="ref-fried2014cheetah">
        <w:r>
          <w:rPr>
            <w:rStyle w:val="Hyperlink"/>
          </w:rPr>
          <w:t xml:space="preserve">[26]</w:t>
        </w:r>
      </w:hyperlink>
      <w:r>
        <w:t xml:space="preserve">) remain the absolute-value-grade reference against which our calibrated K-J estimates are scoped; and the Choi et al. review</w:t>
      </w:r>
      <w:r>
        <w:t xml:space="preserve"> </w:t>
      </w:r>
      <w:hyperlink w:anchor="ref-choi2023prep">
        <w:r>
          <w:rPr>
            <w:rStyle w:val="Hyperlink"/>
          </w:rPr>
          <w:t xml:space="preserve">[27]</w:t>
        </w:r>
      </w:hyperlink>
      <w:r>
        <w:t xml:space="preserve"> </w:t>
      </w:r>
      <w:r>
        <w:t xml:space="preserve">codifies the field’s challenges. Prior generative work on the energetic high-energy tail is scarce and label-limited</w:t>
      </w:r>
      <w:r>
        <w:t xml:space="preserve"> </w:t>
      </w:r>
      <w:hyperlink w:anchor="ref-griffiths2020constrained">
        <w:r>
          <w:rPr>
            <w:rStyle w:val="Hyperlink"/>
          </w:rPr>
          <w:t xml:space="preserve">[28]</w:t>
        </w:r>
      </w:hyperlink>
      <w:hyperlink w:anchor="ref-klapotke2017nitrogen">
        <w:r>
          <w:rPr>
            <w:rStyle w:val="Hyperlink"/>
          </w:rPr>
          <w:t xml:space="preserve">[29]</w:t>
        </w:r>
      </w:hyperlink>
      <w:r>
        <w:t xml:space="preserve">; the most direct contemporary competitor is a property-conditioned RNN coupled to QM validation</w:t>
      </w:r>
      <w:r>
        <w:t xml:space="preserve"> </w:t>
      </w:r>
      <w:hyperlink w:anchor="ref-npjcompmat2025">
        <w:r>
          <w:rPr>
            <w:rStyle w:val="Hyperlink"/>
          </w:rPr>
          <w:t xml:space="preserve">[30]</w:t>
        </w:r>
      </w:hyperlink>
      <w:r>
        <w:t xml:space="preserve">, which differs from DGLD in prior (autoregressive SMILES vs latent diffusion), supervision (single-tier regression vs four-tier trust gating), and validation depth (QM-only vs the four-stage SMARTS → Pareto → GFN2-xTB → DFT funnel).</w:t>
      </w:r>
    </w:p>
    <w:p>
      <w:pPr>
        <w:pStyle w:val="BodyText"/>
        <w:jc w:val="both"/>
        <w:keepNext w:val="0"/>
        <w:keepLines w:val="0"/>
        <w:widowControl w:val="1"/>
      </w:pPr>
      <w:r>
        <w:t xml:space="preserve">Evaluation and validation draw on MOSES/GuacaMol distribution-learning benchmarks</w:t>
      </w:r>
      <w:r>
        <w:t xml:space="preserve"> </w:t>
      </w:r>
      <w:hyperlink w:anchor="ref-polykovskiy2020moses">
        <w:r>
          <w:rPr>
            <w:rStyle w:val="Hyperlink"/>
          </w:rPr>
          <w:t xml:space="preserve">[31]</w:t>
        </w:r>
      </w:hyperlink>
      <w:hyperlink w:anchor="ref-brown2019guacamol">
        <w:r>
          <w:rPr>
            <w:rStyle w:val="Hyperlink"/>
          </w:rPr>
          <w:t xml:space="preserve">[32]</w:t>
        </w:r>
      </w:hyperlink>
      <w:r>
        <w:t xml:space="preserve"> </w:t>
      </w:r>
      <w:r>
        <w:t xml:space="preserve">and the Fréchet ChemNet Distance</w:t>
      </w:r>
      <w:r>
        <w:t xml:space="preserve"> </w:t>
      </w:r>
      <w:hyperlink w:anchor="ref-preuer2018fcd">
        <w:r>
          <w:rPr>
            <w:rStyle w:val="Hyperlink"/>
          </w:rPr>
          <w:t xml:space="preserve">[33]</w:t>
        </w:r>
      </w:hyperlink>
      <w:r>
        <w:t xml:space="preserve"> </w:t>
      </w:r>
      <w:r>
        <w:t xml:space="preserve">(read as a chemistry-class-transfer signal, since ChemNet is trained on drug-like ZINC</w:t>
      </w:r>
      <w:r>
        <w:t xml:space="preserve"> </w:t>
      </w:r>
      <w:hyperlink w:anchor="ref-sterling2015zinc">
        <w:r>
          <w:rPr>
            <w:rStyle w:val="Hyperlink"/>
          </w:rPr>
          <w:t xml:space="preserve">[34]</w:t>
        </w:r>
      </w:hyperlink>
      <w:r>
        <w:t xml:space="preserve">+PubChem chemistry); SA</w:t>
      </w:r>
      <w:r>
        <w:t xml:space="preserve"> </w:t>
      </w:r>
      <w:hyperlink w:anchor="ref-ertl2009sa">
        <w:r>
          <w:rPr>
            <w:rStyle w:val="Hyperlink"/>
          </w:rPr>
          <w:t xml:space="preserve">[35]</w:t>
        </w:r>
      </w:hyperlink>
      <w:r>
        <w:t xml:space="preserve"> </w:t>
      </w:r>
      <w:r>
        <w:t xml:space="preserve">and SCScore</w:t>
      </w:r>
      <w:r>
        <w:t xml:space="preserve"> </w:t>
      </w:r>
      <w:hyperlink w:anchor="ref-coley2018scscore">
        <w:r>
          <w:rPr>
            <w:rStyle w:val="Hyperlink"/>
          </w:rPr>
          <w:t xml:space="preserve">[36]</w:t>
        </w:r>
      </w:hyperlink>
      <w:r>
        <w:t xml:space="preserve"> </w:t>
      </w:r>
      <w:r>
        <w:t xml:space="preserve">as synthesisability caps and Tanimoto similarity</w:t>
      </w:r>
      <w:r>
        <w:t xml:space="preserve"> </w:t>
      </w:r>
      <w:hyperlink w:anchor="ref-rogers1960computer">
        <w:r>
          <w:rPr>
            <w:rStyle w:val="Hyperlink"/>
          </w:rPr>
          <w:t xml:space="preserve">[37]</w:t>
        </w:r>
      </w:hyperlink>
      <w:r>
        <w:t xml:space="preserve"> </w:t>
      </w:r>
      <w:r>
        <w:t xml:space="preserve">as the novelty bound; and the external validation stack GFN2-xTB</w:t>
      </w:r>
      <w:r>
        <w:t xml:space="preserve"> </w:t>
      </w:r>
      <w:hyperlink w:anchor="ref-bannwarth2019gfn2">
        <w:r>
          <w:rPr>
            <w:rStyle w:val="Hyperlink"/>
          </w:rPr>
          <w:t xml:space="preserve">[38]</w:t>
        </w:r>
      </w:hyperlink>
      <w:r>
        <w:t xml:space="preserve">, PySCF/gpu4pyscf</w:t>
      </w:r>
      <w:r>
        <w:t xml:space="preserve"> </w:t>
      </w:r>
      <w:hyperlink w:anchor="ref-sun2020pyscf">
        <w:r>
          <w:rPr>
            <w:rStyle w:val="Hyperlink"/>
          </w:rPr>
          <w:t xml:space="preserve">[39]</w:t>
        </w:r>
      </w:hyperlink>
      <w:r>
        <w:t xml:space="preserve">, AiZynthFinder</w:t>
      </w:r>
      <w:r>
        <w:t xml:space="preserve"> </w:t>
      </w:r>
      <w:hyperlink w:anchor="ref-genheden2020aizynth">
        <w:r>
          <w:rPr>
            <w:rStyle w:val="Hyperlink"/>
          </w:rPr>
          <w:t xml:space="preserve">[40]</w:t>
        </w:r>
      </w:hyperlink>
      <w:r>
        <w:t xml:space="preserve">, with functional/basis choices grounded in GMTKN55</w:t>
      </w:r>
      <w:r>
        <w:t xml:space="preserve"> </w:t>
      </w:r>
      <w:hyperlink w:anchor="ref-goerigk2017benchmark">
        <w:r>
          <w:rPr>
            <w:rStyle w:val="Hyperlink"/>
          </w:rPr>
          <w:t xml:space="preserve">[41]</w:t>
        </w:r>
      </w:hyperlink>
      <w:r>
        <w:t xml:space="preserve">.</w:t>
      </w:r>
    </w:p>
    <w:bookmarkEnd w:id="13"/>
    <w:bookmarkEnd w:id="14"/>
    <w:bookmarkStart w:id="36" w:name="sec-results"/>
    <w:p>
      <w:pPr>
        <w:pStyle w:val="Heading2"/>
        <w:keepNext/>
        <w:keepLines/>
        <w:widowControl w:val="1"/>
      </w:pPr>
      <w:r>
        <w:t xml:space="preserve">2. Results</w:t>
      </w:r>
    </w:p>
    <w:bookmarkStart w:id="15" w:name="roadmap-and-headline-targets"/>
    <w:p>
      <w:pPr>
        <w:pStyle w:val="Heading3"/>
        <w:keepNext/>
        <w:keepLines/>
        <w:widowControl w:val="1"/>
      </w:pPr>
      <w:r>
        <w:t xml:space="preserve">2.1 Roadmap and headline targets</w:t>
      </w:r>
    </w:p>
    <w:p>
      <w:pPr>
        <w:pStyle w:val="FirstParagraph"/>
        <w:jc w:val="both"/>
        <w:keepNext w:val="0"/>
        <w:keepLines w:val="0"/>
        <w:widowControl w:val="1"/>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The performance targets are assessed by anchor-relative ranking on a common calibrated Kamlet–Jacobs scale, on which the headline lead L1 reaches</w:t>
      </w:r>
      <w:r>
        <w:t xml:space="preserve"> </w:t>
      </w:r>
      <m:oMath>
        <m:r>
          <m:t>D</m:t>
        </m:r>
        <m:r>
          <m:rPr>
            <m:sty m:val="p"/>
          </m:rPr>
          <m:t>=</m:t>
        </m:r>
        <m:r>
          <m:t>8.25</m:t>
        </m:r>
      </m:oMath>
      <w:r>
        <w:t xml:space="preserve"> km s</w:t>
      </w:r>
      <w:r>
        <w:rPr>
          <w:vertAlign w:val="superscript"/>
        </w:rPr>
        <w:t xml:space="preserve">−1</w:t>
      </w:r>
      <w:r>
        <w:t xml:space="preserve"> </w:t>
      </w:r>
      <w:r>
        <w:t xml:space="preserve">and</w:t>
      </w:r>
      <w:r>
        <w:t xml:space="preserve"> </w:t>
      </w:r>
      <m:oMath>
        <m:r>
          <m:t>P</m:t>
        </m:r>
        <m:r>
          <m:rPr>
            <m:sty m:val="p"/>
          </m:rPr>
          <m:t>=</m:t>
        </m:r>
        <m:r>
          <m:t>32.9</m:t>
        </m:r>
      </m:oMath>
      <w:r>
        <w:t xml:space="preserve"> GPa against HMX at 7.52 and PETN at 8.24 km s</w:t>
      </w:r>
      <w:r>
        <w:rPr>
          <w:vertAlign w:val="superscript"/>
        </w:rPr>
        <w:t xml:space="preserve">−1</w:t>
      </w:r>
      <w:r>
        <w:t xml:space="preserve"> </w:t>
      </w:r>
      <w:r>
        <w:t xml:space="preserve">under the identical recipe, placing it in the HMX/PETN band. The calibrated scale is uniformly compressed relative to literature values across anchors and leads alike (literature-scale equivalents of the targets:</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so all performance claims in this paper are anchor-relative rankings on a common scale rather than absolute-value predictions (Section 2.3) (Supplementary Fig. S20).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(Supplementary Table S5) and are not re-derived here.</w:t>
      </w:r>
    </w:p>
    <w:bookmarkEnd w:id="15"/>
    <w:bookmarkStart w:id="20" w:name="X44f1f51bcdec0f0d500c05572a47919d181fce8"/>
    <w:p>
      <w:pPr>
        <w:pStyle w:val="Heading3"/>
        <w:keepNext/>
        <w:keepLines/>
        <w:widowControl w:val="1"/>
      </w:pPr>
      <w:r>
        <w:t xml:space="preserve">2.2 Top leads from the gated Pareto reranker (Stages 1+2)</w:t>
      </w:r>
    </w:p>
    <w:p>
      <w:pPr>
        <w:pStyle w:val="FirstParagraph"/>
        <w:jc w:val="both"/>
        <w:keepNext w:val="0"/>
        <w:keepLines w:val="0"/>
        <w:widowControl w:val="1"/>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(Supplementary Fig. S6). The eleven chem-pass leads are shown in Figure 2.</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bookmarkStart w:id="19" w:name="fig-lead-cards-grid"/>
    <w:p>
      <w:pPr>
        <w:pStyle w:val="BodyText"/>
        <w:jc w:val="center"/>
        <w:keepNext/>
        <w:keepLines/>
        <w:widowControl w:val="1"/>
      </w:pPr>
      <w:r>
        <w:drawing>
          <wp:inline>
            <wp:extent cx="5943600" cy="5063204"/>
            <wp:effectExtent b="0" l="0" r="0" t="0"/>
            <wp:docPr descr="Eleven DGLD lead cards in a grid" title="" id="17" name="Picture"/>
            <a:graphic>
              <a:graphicData uri="http://schemas.openxmlformats.org/drawingml/2006/picture">
                <pic:pic>
                  <pic:nvPicPr>
                    <pic:cNvPr descr="../figs/fig_lead_cards_grid.png" id="18" name="Picture"/>
                    <pic:cNvPicPr>
                      <a:picLocks noChangeArrowheads="1" noChangeAspect="1"/>
                    </pic:cNvPicPr>
                  </pic:nvPicPr>
                  <pic:blipFill>
                    <a:blip r:embed="rId16"/>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rPr>
            <m:sty m:val="p"/>
          </m:rPr>
          <m:t>≥</m:t>
        </m:r>
        <m:r>
          <m:t>1.5</m:t>
        </m:r>
      </m:oMath>
      <m:oMath>
        <m:r>
          <m:rPr>
            <m:sty m:val="p"/>
          </m:rPr>
          <m:t>&lt;</m:t>
        </m:r>
        <m:r>
          <m:t>1.5</m:t>
        </m:r>
      </m:oMath>
      <w:r>
        <w:rPr>
          <w:b/>
          <w:i/>
        </w:rPr>
        <w:t>Figure 2.</w:t>
      </w:r>
      <w:r>
        <w:rPr>
          <w:b w:val="0"/>
          <w:i/>
        </w:rPr>
        <w:t xml:space="preserve"> </w:t>
      </w:r>
      <w:r>
        <w:rPr>
          <w:b w:val="0"/>
          <w:i/>
        </w:rPr>
        <w:t>Eleven chem-pass DGLD leads (L1, L3, L4, L5, L9, L11, L13, L16, L18, L19, L20). Each card shows the RDKit 2D depiction, chemotype label, molecular formula, and 6-anchor-calibrated DFT/Kamlet–Jacobs values (, , , HOF). The status bar reports the four validation gates: SMARTS pass, Pareto rank (“Pareto –” for L20, added from the pool=80k extension set and not assigned a top-100 rank), xTB HOMO–LUMO status, and DFT. Border and fill colour encode electronic stability: blue = xTB gap  eV (pass); orange = gap  eV (fail, L3/L16). The bottom-right marker is a filled circle (DFT-converged minimum) or a triangle (xTB-gap fail, L3/L16); the top-right asterisk marks a DFT-confirmed real minimum (any “graph altered” label in the status bar is a zwitterionic-nitro canonical-SMILES round-trip artefact, not a real change).</w:t>
      </w:r>
    </w:p>
    <w:bookmarkEnd w:id="19"/>
    <w:p>
      <w:pPr>
        <w:pStyle w:val="BodyText"/>
        <w:jc w:val="both"/>
        <w:keepNext w:val="0"/>
        <w:keepLines w:val="0"/>
        <w:widowControl w:val="1"/>
      </w:pPr>
      <w:r>
        <w:t xml:space="preserve">The top leads (Figure 2,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(Supplementary Fig. S6);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(Supplementary Fig. S5). Unguided single-objective ranking (without the gating layer) puts a polynitro-on-C2 gaming molecule (a surrogate-gaming false positive: high predicted score, physically implausible) at the top; the gates correctly reject it (full SMARTS-trace and rejected-candidate property tabulation in Supplementary Section D.7).</w:t>
      </w:r>
    </w:p>
    <w:bookmarkEnd w:id="20"/>
    <w:bookmarkStart w:id="25" w:name="Xf6b2c372450e114420fe9f50105be8ff34efab6"/>
    <w:p>
      <w:pPr>
        <w:pStyle w:val="Heading3"/>
        <w:keepNext/>
        <w:keepLines/>
        <w:widowControl w:val="1"/>
      </w:pPr>
      <w:r>
        <w:t xml:space="preserve">2.3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robustness:</w:t>
      </w:r>
      <w:r>
        <w:t xml:space="preserve"> </w:t>
      </w:r>
      <w:r>
        <w:t xml:space="preserve">repeating the xTB triage on the gated top-15 of an unguided pool=80 000 run gives</w:t>
      </w:r>
      <w:r>
        <w:t xml:space="preserve"> </w:t>
      </w:r>
      <w:r>
        <w:rPr>
          <w:b/>
          <w:bCs/>
        </w:rPr>
        <w:t xml:space="preserve">13/15 survivors</w:t>
      </w:r>
      <w:r>
        <w:t xml:space="preserve">, matching the 85/100 rate of the production merged set; the 1.5 eV electronic-stability gate therefore holds its pass rate across pool size and guidance configuration. A larger unguided pool with the same gating yields the more physically-credible final set, which is the production configuration.</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BodyText"/>
        <w:jc w:val="both"/>
        <w:keepNext w:val="0"/>
        <w:keepLines w:val="0"/>
        <w:widowControl w:val="1"/>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 This calibrated density carries the largest single uncertainty in the paper and propagates into every derived</w:t>
      </w:r>
      <w:r>
        <w:t xml:space="preserve"> </w:t>
      </w:r>
      <m:oMath>
        <m:r>
          <m:t>D</m:t>
        </m:r>
      </m:oMath>
      <w:r>
        <w:t xml:space="preserve"> </w:t>
      </w:r>
      <w:r>
        <w:t xml:space="preserve">and</w:t>
      </w:r>
      <w:r>
        <w:t xml:space="preserve"> </w:t>
      </w:r>
      <m:oMath>
        <m:r>
          <m:t>P</m:t>
        </m:r>
      </m:oMath>
      <w:r>
        <w:t xml:space="preserve">: it is a gas-phase-derived estimate, and the independent Bondi van-der-Waals packing bracket for L1 spans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(Supplementary Section C.9), below the calibrated value. The applicability domain of the correction is also narrow: the six anchors span</w:t>
      </w:r>
      <w:r>
        <w:t xml:space="preserve"> </w:t>
      </w:r>
      <m:oMath>
        <m:sSub>
          <m:e>
            <m:r>
              <m:t>ρ</m:t>
            </m:r>
          </m:e>
          <m:sub>
            <m:r>
              <m:rPr>
                <m:nor/>
                <m:sty m:val="p"/>
              </m:rPr>
              <m:t>DFT</m:t>
            </m:r>
          </m:sub>
        </m:sSub>
        <m:r>
          <m:rPr>
            <m:sty m:val="p"/>
          </m:rPr>
          <m:t>∈</m:t>
        </m:r>
        <m:r>
          <m:rPr>
            <m:sty m:val="p"/>
          </m:rPr>
          <m:t>[</m:t>
        </m:r>
        <m:r>
          <m:t>1.613</m:t>
        </m:r>
        <m:r>
          <m:rPr>
            <m:sty m:val="p"/>
          </m:rPr>
          <m:t>,</m:t>
        </m:r>
        <m:r>
          <m:t>1.689</m:t>
        </m:r>
        <m:r>
          <m:rPr>
            <m:sty m:val="p"/>
          </m:rPr>
          <m:t>]</m:t>
        </m:r>
      </m:oMath>
      <w:r>
        <w:t xml:space="preserve"> g cm</w:t>
      </w:r>
      <w:r>
        <w:rPr>
          <w:vertAlign w:val="superscript"/>
        </w:rPr>
        <w:t xml:space="preserve">−3</w:t>
      </w:r>
      <w:r>
        <w:t xml:space="preserve">, mapped onto an experimental range of 1.77–1.94 g cm</w:t>
      </w:r>
      <w:r>
        <w:rPr>
          <w:vertAlign w:val="superscript"/>
        </w:rPr>
        <w:t xml:space="preserve">−3</w:t>
      </w:r>
      <w:r>
        <w:t xml:space="preserve">, so a short raw interval is stretched by the fitted slope of 1.392. Six of the eleven leads lie above that window and are therefore extrapolations rather than interpolations, L1 furthest at 6.6 % above the highest anchor (per-lead positions in Supplementary Table S36). Read against the literature,</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would place L1 above</w:t>
      </w:r>
      <w:r>
        <w:t xml:space="preserve"> </w:t>
      </w:r>
      <m:oMath>
        <m:r>
          <m:t>ε</m:t>
        </m:r>
      </m:oMath>
      <w:r>
        <w:t xml:space="preserve">-CL-20 (2.04 g cm</w:t>
      </w:r>
      <w:r>
        <w:rPr>
          <w:vertAlign w:val="superscript"/>
        </w:rPr>
        <w:t xml:space="preserve">−3</w:t>
      </w:r>
      <w:r>
        <w:t xml:space="preserve">), the densest CHNO explosive in practical use, which for a monocyclic trinitro-isoxazole is better read as an upper bound than as an expectation: the Bondi bracket and the anchor-domain excursion both point to a lower true crystal density. Crystal-structure prediction or experimental single-crystal X-ray diffraction remains the critical missing step before any density-based performance claim here can be treated as quantitative (Section 3).</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(Supplementary Table S30):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(Supplementary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3).</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 nitrogen atom fraction</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over all eleven leads and all six anchors characterises product composition and energy release, and resolves a distinct axis from Kamlet–Jacobs: an ideal-gas product EOS is nearly insensitive to condensed-phase density, so the two orderings are independent (Spearman</w:t>
      </w:r>
      <w:r>
        <w:t xml:space="preserve"> </w:t>
      </w:r>
      <m:oMath>
        <m:sSub>
          <m:e>
            <m:r>
              <m:t>ρ</m:t>
            </m:r>
          </m:e>
          <m:sub>
            <m:r>
              <m:t>s</m:t>
            </m:r>
          </m:sub>
        </m:sSub>
        <m:r>
          <m:rPr>
            <m:sty m:val="p"/>
          </m:rPr>
          <m:t>=</m:t>
        </m:r>
        <m:r>
          <m:rPr>
            <m:sty m:val="p"/>
          </m:rPr>
          <m:t>−</m:t>
        </m:r>
        <m:r>
          <m:t>0.62</m:t>
        </m:r>
      </m:oMath>
      <w:r>
        <w:t xml:space="preserve">) and the recompute quantifies the covolume requirement (Supplementary Section C.13); absolute</w:t>
      </w:r>
      <w:r>
        <w:t xml:space="preserve"> </w:t>
      </w:r>
      <m:oMath>
        <m:r>
          <m:t>D</m:t>
        </m:r>
      </m:oMath>
      <w:r>
        <w:t xml:space="preserve"> </w:t>
      </w:r>
      <w:r>
        <w:t xml:space="preserve">values require BKW/JCZ3 covolume corrections (Section 3), full discussion in Supplementary Section C.13.</w:t>
      </w:r>
    </w:p>
    <w:bookmarkStart w:id="24" w:name="fig-dft-dumbbell"/>
    <w:p>
      <w:pPr>
        <w:pStyle w:val="BodyText"/>
        <w:jc w:val="center"/>
        <w:keepNext/>
        <w:keepLines/>
        <w:widowControl w:val="1"/>
      </w:pPr>
      <w:r>
        <w:drawing>
          <wp:inline>
            <wp:extent cx="5943600" cy="2667190"/>
            <wp:effectExtent b="0" l="0" r="0" t="0"/>
            <wp:docPr descr="DFT dumbbell + N-fraction residual scatter" title="" id="22" name="Picture"/>
            <a:graphic>
              <a:graphicData uri="http://schemas.openxmlformats.org/drawingml/2006/picture">
                <pic:pic>
                  <pic:nvPicPr>
                    <pic:cNvPr descr="../figs/fig_dft_dumbbell.png" id="23" name="Picture"/>
                    <pic:cNvPicPr>
                      <a:picLocks noChangeArrowheads="1" noChangeAspect="1"/>
                    </pic:cNvPicPr>
                  </pic:nvPicPr>
                  <pic:blipFill>
                    <a:blip r:embed="rId21"/>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D</m:t>
        </m:r>
        <m:r>
          <m:rPr>
            <m:sty m:val="p"/>
          </m:rPr>
          <m:t>=</m:t>
        </m:r>
        <m:r>
          <m:t>9.0</m:t>
        </m:r>
      </m:oMath>
      <m:oMath>
        <m:r>
          <m:t>r</m:t>
        </m:r>
        <m:r>
          <m:rPr>
            <m:sty m:val="p"/>
          </m:rPr>
          <m:t>=</m:t>
        </m:r>
        <m:r>
          <m:t>0.20</m:t>
        </m:r>
      </m:oMath>
      <m:oMath>
        <m:r>
          <m:t>r</m:t>
        </m:r>
        <m:r>
          <m:rPr>
            <m:sty m:val="p"/>
          </m:rPr>
          <m:t>=</m:t>
        </m:r>
        <m:r>
          <m:t>0.43</m:t>
        </m:r>
      </m:oMath>
      <w:r>
        <w:rPr>
          <w:b/>
          <w:i/>
        </w:rPr>
        <w:t>Figure 3.</w:t>
      </w:r>
      <w:r>
        <w:rPr>
          <w:b w:val="0"/>
          <w:i/>
        </w:rPr>
        <w:t xml:space="preserve"> </w:t>
      </w:r>
      <w:r>
        <w:rPr>
          <w:b w:val="0"/>
          <w:i/>
        </w:rPr>
        <w:t>Left: dumbbell plot connecting Uni-Mol-predicted  (blue) to anchor-calibrated DFT–K-J  (orange) for each DFT-converged lead; dotted green line is the literature-scale HMX target of  km s−1 (the 6-anchor-calibrated HMX anchor is 7.52 km s−1, Section 2.3, so L1's calibrated 8.25 sits below it). Right: per-lead residual vs N-fraction with linear fit (Pearson  across the leads and reference compounds shown); the panel title reports the global 575-row Tier-A correlation (, Supplementary Table S12).</w:t>
      </w:r>
    </w:p>
    <w:bookmarkEnd w:id="24"/>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1.</w:t>
      </w:r>
      <w:r>
        <w:rPr>
          <w:b w:val="0"/>
          <w:i/>
        </w:rPr>
        <w:t xml:space="preserve"> </w:t>
      </w:r>
      <w:r>
        <w:rPr>
          <w:b w:val="0"/>
          <w:i/>
        </w:rPr>
        <w:t>6-anchor DFT calibration (RDX, TATB, HMX, PETN, FOX-7, NTO). Linear corrections  and HOFHOF kJ mol−1; LOO RMS  g cm−3 and  kJ mol−1.</w:t>
      </w:r>
    </w:p>
    <w:tbl>
      <w:tblPr>
        <w:tblStyle w:val="Table"/>
        <w:tblW w:type="pct" w:w="5000"/>
        <w:jc w:val="center"/>
        <w:tblLook w:firstRow="1" w:lastRow="0" w:firstColumn="0" w:lastColumn="0" w:noHBand="0" w:noVBand="0" w:val="0020"/>
        <w:tblCaption w:val="Table 1. 6-anchor DFT calibration (RDX, TATB, HMX, PETN, FOX-7, NTO). Linear corrections \rho_{\text{cal}} = 1.392\,\rho_{\text{DFT}} - 0.415 and HOF_{\text{cal}} =HOF_{\text{DFT}} - 206.7 kJ mol−1; LOO RMS \pm 0.078 g cm−3 and \pm 64.6 kJ mol−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 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 mol</w:t>
            </w:r>
            <w:r>
              <w:rPr>
                <w:rFonts w:ascii="Times New Roman" w:hAnsi="Times New Roman"/>
                <w:b/>
                <w:sz w:val="19"/>
                <w:vertAlign w:val="superscript"/>
              </w:rPr>
              <w:t xml:space="preserve">−1</w:t>
            </w:r>
            <w:r>
              <w:rPr>
                <w:rFonts w:ascii="Times New Roman" w:hAnsi="Times New Roman"/>
                <w:b/>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 mol</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depending on measurement method; the chosen value is within the ±64.6 kJ mol</w:t>
            </w:r>
            <w:r>
              <w:rPr>
                <w:rFonts w:ascii="Times New Roman" w:hAnsi="Times New Roman"/>
                <w:sz w:val="19"/>
                <w:vertAlign w:val="superscript"/>
              </w:rPr>
              <w:t xml:space="preserve">−1</w:t>
            </w:r>
            <w:r>
              <w:rPr>
                <w:rFonts w:ascii="Times New Roman" w:hAnsi="Times New Roman"/>
                <w:sz w:val="19"/>
              </w:rPr>
              <w:t xml:space="preserve"> </w:t>
            </w:r>
            <w:r>
              <w:rPr>
                <w:rFonts w:ascii="Times New Roman" w:hAnsi="Times New Roman"/>
                <w:sz w:val="19"/>
              </w:rPr>
              <w:t xml:space="preserve">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6">
        <w:r>
          <w:rPr>
            <w:rStyle w:val="Hyperlink"/>
          </w:rPr>
          <w:t xml:space="preserve">[42]</w:t>
        </w:r>
      </w:hyperlink>
      <w:hyperlink w:anchor="ref-konnov2025nitroisoxazole">
        <w:r>
          <w:rPr>
            <w:rStyle w:val="Hyperlink"/>
          </w:rPr>
          <w:t xml:space="preserve">[43]</w:t>
        </w:r>
      </w:hyperlink>
      <w:r>
        <w:t xml:space="preserve">); the isomeric 3,4,5-trinitro-1</w:t>
      </w:r>
      <w:r>
        <w:rPr>
          <w:i/>
          <w:iCs/>
        </w:rPr>
        <w:t xml:space="preserve">H</w:t>
      </w:r>
      <w:r>
        <w:t xml:space="preserve">-pyrazole</w:t>
      </w:r>
      <w:r>
        <w:t xml:space="preserve"> </w:t>
      </w:r>
      <w:hyperlink w:anchor="ref-herve2010">
        <w:r>
          <w:rPr>
            <w:rStyle w:val="Hyperlink"/>
          </w:rPr>
          <w:t xml:space="preserve">[44]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25"/>
    <w:bookmarkStart w:id="29" w:name="Xff096dc9d95493d9c90836cf42ed6eee3df8cdf"/>
    <w:p>
      <w:pPr>
        <w:pStyle w:val="Heading3"/>
        <w:keepNext/>
        <w:keepLines/>
        <w:widowControl w:val="1"/>
      </w:pPr>
      <w:r>
        <w:t xml:space="preserve">2.4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A scaffold-diversity audit shows DGLD spans a chemotype distribution (the scaffold-distinct E-set extension, E1–E10: 10 DFT-validated candidates (7 novel, 3 known) / 8 Bemis–Murcko scaffolds / 7 families), not a single isoxazole hit.</w:t>
      </w:r>
    </w:p>
    <w:bookmarkStart w:id="26"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[45]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(Supplementary Table S31); of the three that do (dinitramide, 1,2-dinitrohydrazine, N,N′-dinitrocarbodiimide), one is an exact match, and all three are established high-density CHNO motifs the model recovers. Novelty here is assessed against PubChem, the SureChEMBL patent corpus, and the labelled master; all eleven leads are absent from these sources, though a full CAS Registry (SciFinder) check is recommended before a formal novelty claim.</w:t>
      </w:r>
      <w:r>
        <w:t xml:space="preserve"> </w:t>
      </w:r>
      <w:r>
        <w:rPr>
          <w:b/>
          <w:bCs/>
        </w:rPr>
        <w:t xml:space="preserve">Zero of the 100 candidates lie within Tanimoto 0.70 of any augmented-corpus row, and zero are exact matches in the 694 518-row augmented corpus</w:t>
      </w:r>
      <w:r>
        <w:t xml:space="preserve"> </w:t>
      </w:r>
      <w:r>
        <w:t xml:space="preserve">(Supplementary Table S31);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(Supplementary Table S8), not a chem-pass lead, so the confirmed set is 11 leads (10 unique). We distinguish two roles within this set: L1 is the single synthesis-actionable lead, being the only member for which a productive retrosynthetic route was recovered (Section 2.4), while the remaining leads are reported as a scaffold-diversity result, establishing that the sampler reaches multiple distinct energetic chemotypes rather than concentrating on one.</w:t>
      </w:r>
    </w:p>
    <w:bookmarkEnd w:id="26"/>
    <w:bookmarkStart w:id="27"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[40]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(Supplementary Table S32). L4, L5, and the eight extension leads return zero productive routes within budget; reproduced at 5× budget (1000 MCTS iter, 1800 s) on L4/L5. The L1 disconnection sequence (electrophilic ring-nitration; Boc protection; diphenylphosphoryl azide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bookmarkEnd w:id="27"/>
    <w:bookmarkStart w:id="28"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BodyText"/>
        <w:jc w:val="both"/>
        <w:keepNext w:val="0"/>
        <w:keepLines w:val="0"/>
        <w:widowControl w:val="1"/>
      </w:pPr>
      <w:r>
        <w:t xml:space="preserve">†E2 D and P are flagged: OB = +28.9 % exceeds the +25 % K-J reliability limit; these values are upper-bound estimates only. E9 K-J is undefined (OB &lt; −200 %).</w:t>
      </w:r>
    </w:p>
    <w:p>
      <w:pPr>
        <w:pStyle w:val="BodyText"/>
        <w:jc w:val="both"/>
        <w:keepNext w:val="0"/>
        <w:keepLines w:val="0"/>
        <w:widowControl w:val="1"/>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We therefore assign E1 a single role throughout this paper: it is an external-validation signal on the sampler’s scaffold reach, not a lead. Because the 6-anchor set contains no oxatriazole-class member, its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outside the anchor chemical space and is read as an upper bound, pending both a dedicated stability screen and an oxatriazole-class anchor extension (with a thermochemical-equilibrium CJ recompute on calibrated inputs, scoped as future work in Section 3). It is not counted among the synthesis-actionable results.</w:t>
      </w:r>
    </w:p>
    <w:p>
      <w:pPr>
        <w:pStyle w:val="BodyText"/>
        <w:jc w:val="both"/>
        <w:keepNext w:val="0"/>
        <w:keepLines w:val="0"/>
        <w:widowControl w:val="1"/>
      </w:pPr>
      <w:r>
        <w:t xml:space="preserve">Of the 10 E-set candidates (Supplementary Tables S33 and S34),</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bookmarkEnd w:id="28"/>
    <w:bookmarkEnd w:id="29"/>
    <w:bookmarkStart w:id="34" w:name="comparison-with-no-diffusion-baselines"/>
    <w:p>
      <w:pPr>
        <w:pStyle w:val="Heading3"/>
        <w:keepNext/>
        <w:keepLines/>
        <w:widowControl w:val="1"/>
      </w:pPr>
      <w:r>
        <w:t xml:space="preserve">2.5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2 and Supplementary Fig. S7.</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2.</w:t>
      </w:r>
      <w:r>
        <w:rPr>
          <w:b w:val="0"/>
          <w:i/>
        </w:rPr>
        <w:t xml:space="preserve"> </w:t>
      </w:r>
      <w:r>
        <w:rPr>
          <w:b w:val="0"/>
          <w:i/>
        </w:rPr>
        <w:t>Top-1 comparison: SMILES-LSTM, MolMIM 70 M, SELFIES-GA, and REINVENT 4 no-diffusion baselines vs. unguided and best-novel DGLD conditions (head-to-head in Supplementary Section F.4).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2. Top-1 comparison: SMILES-LSTM, MolMIM 70 M, SELFIES-GA, and REINVENT 4 no-diffusion baselines vs. unguided and best-novel DGLD conditions (head-to-head in Supplementary Section F.4).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 s</w:t>
            </w:r>
            <w:r>
              <w:rPr>
                <w:rFonts w:ascii="Times New Roman" w:hAnsi="Times New Roman"/>
                <w:b/>
                <w:sz w:val="18"/>
                <w:vertAlign w:val="superscript"/>
              </w:rPr>
              <w:t xml:space="preserve">−1</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 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p>
      <w:pPr>
        <w:pStyle w:val="BodyText"/>
        <w:spacing w:before="240"/>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bookmarkStart w:id="33" w:name="fig-quadrant-scatter"/>
    <w:p>
      <w:pPr>
        <w:pStyle w:val="BodyText"/>
        <w:jc w:val="center"/>
        <w:keepNext/>
        <w:keepLines/>
        <w:widowControl w:val="1"/>
      </w:pPr>
      <w:r>
        <w:drawing>
          <wp:inline>
            <wp:extent cx="5943600" cy="4771512"/>
            <wp:effectExtent b="0" l="0" r="0" t="0"/>
            <wp:docPr descr="Productive-quadrant scatter: S vs viability for DFT-confirmed leads" title="" id="31" name="Picture"/>
            <a:graphic>
              <a:graphicData uri="http://schemas.openxmlformats.org/drawingml/2006/picture">
                <pic:pic>
                  <pic:nvPicPr>
                    <pic:cNvPr descr="../figs/fig_quadrant_scatter.png" id="32" name="Picture"/>
                    <pic:cNvPicPr>
                      <a:picLocks noChangeArrowheads="1" noChangeAspect="1"/>
                    </pic:cNvPicPr>
                  </pic:nvPicPr>
                  <pic:blipFill>
                    <a:blip r:embed="rId30"/>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4.</w:t>
      </w:r>
      <w:r>
        <w:rPr>
          <w:b w:val="0"/>
          <w:i/>
        </w:rPr>
        <w:t xml:space="preserve"> </w:t>
      </w:r>
      <w:r>
        <w:rPr>
          <w:b w:val="0"/>
          <w:i/>
        </w:rPr>
        <w:t>Productive-quadrant scatter for the 11 DFT-confirmed lead cards (10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L3–L5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 s−1), REINVENT 4 (green square, N-fraction RL; top-1  km s−1, novel), SELFIES-GA (purple, surrogate  DFT collapse: top-1 falls from  to  km s−1 under DFT audit). Source: /viab for L1, L3–L5 from Section 2.2 prose;  from Supplementary Table S7; baselines from Table 2.</w:t>
      </w:r>
    </w:p>
    <w:bookmarkEnd w:id="33"/>
    <w:p>
      <w:pPr>
        <w:pStyle w:val="BodyText"/>
        <w:jc w:val="both"/>
        <w:keepNext w:val="0"/>
        <w:keepLines w:val="0"/>
        <w:widowControl w:val="1"/>
      </w:pPr>
      <w:r>
        <w:rPr>
          <w:b/>
          <w:bCs/>
        </w:rPr>
        <w:t xml:space="preserve">Note on Figure 4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2, Supplementary Fig. S7, and Supplementary Table S27.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Supplementary Fig. S8, with per-condition values in Supplementary Section D.11.</w:t>
      </w:r>
    </w:p>
    <w:bookmarkEnd w:id="34"/>
    <w:bookmarkStart w:id="35" w:name="ablation-summary"/>
    <w:p>
      <w:pPr>
        <w:pStyle w:val="Heading3"/>
        <w:keepNext/>
        <w:keepLines/>
        <w:widowControl w:val="1"/>
      </w:pPr>
      <w:r>
        <w:t xml:space="preserve">2.6 Ablation summary</w:t>
      </w:r>
    </w:p>
    <w:p>
      <w:pPr>
        <w:pStyle w:val="FirstParagraph"/>
        <w:jc w:val="both"/>
        <w:keepNext w:val="0"/>
        <w:keepLines w:val="0"/>
        <w:widowControl w:val="1"/>
      </w:pPr>
      <w:r>
        <w:t xml:space="preserve">Seven ablations measure the contribution of each system component to the headline. Supplementary Table S35 lists the headline result of each; full prose, sub-tables, and figures are in Supplementary Section F. The forest plot of effect sizes (Supplementary Fig. S9) summarises the guidance-axis ablations visually.</w:t>
      </w:r>
    </w:p>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Stage-1+2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(Supplementary Table S27,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SA and SC heads serve as multi-task trunk regularisers rather than sample-time gradients; the steering bus invokes the three domain-native heads. Both heads add</w:t>
      </w:r>
      <w:r>
        <w:t xml:space="preserve"> </w:t>
      </w:r>
      <m:oMath>
        <m:r>
          <m:rPr>
            <m:sty m:val="p"/>
          </m:rPr>
          <m:t>∼</m:t>
        </m:r>
      </m:oMath>
      <w:r>
        <w:t xml:space="preserve">2 × 256k parameters of trunk-regularisation supervision during training (Supplementary Section B.4 contains the full SA / SC drug-domain transfer-head story).</w:t>
      </w:r>
    </w:p>
    <w:bookmarkEnd w:id="35"/>
    <w:bookmarkEnd w:id="36"/>
    <w:bookmarkStart w:id="37" w:name="sec-discussion"/>
    <w:p>
      <w:pPr>
        <w:pStyle w:val="Heading2"/>
        <w:keepNext/>
        <w:keepLines/>
        <w:widowControl w:val="1"/>
      </w:pPr>
      <w:r>
        <w:t xml:space="preserve">3. Discussion</w:t>
      </w:r>
    </w:p>
    <w:p>
      <w:pPr>
        <w:pStyle w:val="FirstParagraph"/>
        <w:jc w:val="both"/>
        <w:keepNext w:val="0"/>
        <w:keepLines w:val="0"/>
        <w:widowControl w:val="1"/>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BodyText"/>
        <w:jc w:val="both"/>
        <w:keepNext w:val="0"/>
        <w:keepLines w:val="0"/>
        <w:widowControl w:val="1"/>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BodyText"/>
        <w:jc w:val="both"/>
        <w:keepNext w:val="0"/>
        <w:keepLines w:val="0"/>
        <w:widowControl w:val="1"/>
      </w:pPr>
      <w:r>
        <w:rPr>
          <w:b/>
          <w:bCs/>
        </w:rPr>
        <w:t xml:space="preserve">Limitations.</w:t>
      </w:r>
      <w:r>
        <w:t xml:space="preserve"> </w:t>
      </w: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(Supplementary Table S30)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[46]</w:t>
        </w:r>
      </w:hyperlink>
      <w:r>
        <w:t xml:space="preserve"> </w:t>
      </w:r>
      <w:r>
        <w:t xml:space="preserve">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BodyText"/>
        <w:jc w:val="both"/>
        <w:keepNext w:val="0"/>
        <w:keepLines w:val="0"/>
        <w:widowControl w:val="1"/>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sSub>
          <m:e>
            <m:r>
              <m:t>ρ</m:t>
            </m:r>
          </m:e>
          <m:sub>
            <m:r>
              <m:rPr>
                <m:nor/>
                <m:sty m:val="p"/>
              </m:rPr>
              <m:t>cal</m:t>
            </m:r>
          </m:sub>
        </m:sSub>
        <m:r>
          <m:rPr>
            <m:sty m:val="p"/>
          </m:rPr>
          <m:t>≈</m:t>
        </m:r>
        <m:r>
          <m:t>1.94</m:t>
        </m:r>
      </m:oMath>
      <w:r>
        <w:t xml:space="preserve"> g cm</w:t>
      </w:r>
      <w:r>
        <w:rPr>
          <w:vertAlign w:val="superscript"/>
        </w:rPr>
        <w:t xml:space="preserve">−3</w:t>
      </w:r>
      <w:r>
        <w:t xml:space="preserve"> </w:t>
      </w:r>
      <w:r>
        <w:t xml:space="preserve">on the calibrated scale, equivalently the raw Bondi value</w:t>
      </w:r>
      <w:r>
        <w:t xml:space="preserve"> </w:t>
      </w:r>
      <m:oMath>
        <m:r>
          <m:t>ρ</m:t>
        </m:r>
        <m:r>
          <m:rPr>
            <m:sty m:val="p"/>
          </m:rPr>
          <m:t>≈</m:t>
        </m:r>
        <m:r>
          <m:t>1.69</m:t>
        </m:r>
      </m:oMath>
      <w:r>
        <w:t xml:space="preserve"> g cm</w:t>
      </w:r>
      <w:r>
        <w:rPr>
          <w:vertAlign w:val="superscript"/>
        </w:rPr>
        <w:t xml:space="preserve">−3</w:t>
      </w:r>
      <w:r>
        <w:t xml:space="preserve"> </w:t>
      </w:r>
      <w:r>
        <w:t xml:space="preserve">quoted in Supplementary Section C.9 before the 6-anchor calibration is applied,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BodyText"/>
        <w:jc w:val="both"/>
        <w:keepNext w:val="0"/>
        <w:keepLines w:val="0"/>
        <w:widowControl w:val="1"/>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BodyText"/>
        <w:jc w:val="both"/>
        <w:keepNext w:val="0"/>
        <w:keepLines w:val="0"/>
        <w:widowControl w:val="1"/>
      </w:pPr>
      <w:r>
        <w:rPr>
          <w:b/>
          <w:bCs/>
        </w:rPr>
        <w:t xml:space="preserve">Conclusions.</w:t>
      </w:r>
      <w:r>
        <w:t xml:space="preserve"> </w:t>
      </w: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see Limitations above.)</w:t>
      </w:r>
    </w:p>
    <w:p>
      <w:pPr>
        <w:pStyle w:val="BodyText"/>
        <w:jc w:val="both"/>
        <w:keepNext w:val="0"/>
        <w:keepLines w:val="0"/>
        <w:widowControl w:val="1"/>
      </w:pPr>
      <w:r>
        <w:t xml:space="preserve">On the same sampling run the sampler recovered the known oxatriazole E1 (Section 2.4), whose calibrated</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comes from a scaffold family disjoint from L1; its recovery validates the sampler's scaffold reach rather than adding a novel lead, and its calibrated D is an upper bound pending thermal stability confirmation and a 1,2,3,5-oxatriazole-class DFT anchor (see Limitations above).</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SureChEMBL patent structures,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(see Limitations above)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(see the Data Availability statement), so the next compound to enter the HMX-class band can be discovered, validated, and recommended for synthesis at the cost of a few GPU-days.</w:t>
      </w:r>
    </w:p>
    <w:bookmarkEnd w:id="37"/>
    <w:bookmarkStart w:id="59" w:name="sec-methods"/>
    <w:p>
      <w:pPr>
        <w:pStyle w:val="Heading2"/>
        <w:keepNext/>
        <w:keepLines/>
        <w:widowControl w:val="1"/>
      </w:pPr>
      <w:r>
        <w:t xml:space="preserve">4. Methods</w:t>
      </w:r>
    </w:p>
    <w:p>
      <w:pPr>
        <w:pStyle w:val="FirstParagraph"/>
        <w:jc w:val="both"/>
        <w:keepNext w:val="0"/>
        <w:keepLines w:val="0"/>
        <w:widowControl w:val="1"/>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BodyText"/>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Supplementary Figs S10 and S11; the label-tier composition (Supplementary Fig. S12) sits alongside the four-tier table in Section 4.1; atom-composition statistics over a 30k subsample are shown in Fig S1.</w:t>
      </w:r>
    </w:p>
    <w:bookmarkStart w:id="38" w:name="four-tier-label-hierarchy"/>
    <w:p>
      <w:pPr>
        <w:pStyle w:val="Heading3"/>
        <w:keepNext/>
        <w:keepLines/>
        <w:widowControl w:val="1"/>
      </w:pPr>
      <w:r>
        <w:t xml:space="preserve">4.1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 (Table 3):</w:t>
      </w:r>
    </w:p>
    <w:p>
      <w:pPr>
        <w:pStyle w:val="TableCaption"/>
        <w:spacing w:before="280" w:after="60" w:line="240" w:lineRule="auto"/>
        <w:jc w:val="center"/>
        <w:keepNext/>
        <w:keepLines/>
        <w:widowControl w:val="1"/>
      </w:pPr>
      <m:oMath>
        <m:r>
          <m:t>D</m:t>
        </m:r>
      </m:oMath>
      <m:oMath>
        <m:r>
          <m:t>P</m:t>
        </m:r>
      </m:oMath>
      <w:r>
        <w:rPr>
          <w:b/>
          <w:i/>
        </w:rPr>
        <w:t>Table 3.</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[47];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3. 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47];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(Uni-Mol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8"/>
    <w:bookmarkStart w:id="39" w:name="canonicalisation-and-tokenisation"/>
    <w:p>
      <w:pPr>
        <w:pStyle w:val="Heading3"/>
        <w:keepNext/>
        <w:keepLines/>
        <w:widowControl w:val="1"/>
      </w:pPr>
      <w:r>
        <w:t xml:space="preserve">4.2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[48]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bookmarkEnd w:id="39"/>
    <w:bookmarkStart w:id="40" w:name="training-time-high-tail-oversampling"/>
    <w:p>
      <w:pPr>
        <w:pStyle w:val="Heading3"/>
        <w:keepNext/>
        <w:keepLines/>
        <w:widowControl w:val="1"/>
      </w:pPr>
      <w:r>
        <w:t xml:space="preserve">4.3 Training-time high-tail oversampling</w:t>
      </w:r>
    </w:p>
    <w:p>
      <w:pPr>
        <w:pStyle w:val="FirstParagraph"/>
        <w:jc w:val="both"/>
        <w:keepNext w:val="0"/>
        <w:keepLines w:val="0"/>
        <w:widowControl w:val="1"/>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bookmarkEnd w:id="40"/>
    <w:bookmarkStart w:id="45" w:name="overview-and-pipeline-map"/>
    <w:p>
      <w:pPr>
        <w:pStyle w:val="Heading3"/>
        <w:keepNext/>
        <w:keepLines/>
        <w:widowControl w:val="1"/>
      </w:pPr>
      <w:r>
        <w:t xml:space="preserve">4.4 Overview and pipeline map</w:t>
      </w:r>
    </w:p>
    <w:p>
      <w:pPr>
        <w:pStyle w:val="FirstParagraph"/>
        <w:jc w:val="both"/>
        <w:keepNext w:val="0"/>
        <w:keepLines w:val="0"/>
        <w:widowControl w:val="1"/>
      </w:pPr>
      <w:r>
        <w:t xml:space="preserve">DGLD is a four-stage pipeline (Figure 5; per-stage panels in Supplementary Figs S13–S21): an encode-once LIMO VAE (Supplementary Fig. S13) feeds a conditional latent DDPM denoiser (Supplementary Fig. S15), whose sampling trajectory (Supplementary Fig. S19) is steered by a multi-task score model trained offline (Supplementary Fig. S17), and whose decoded candidates are filtered by a SMARTS+Pareto rerank funnel (Supplementary Fig. S20). The rest of Section 4 is organised one subsection per diagram panel; small panels are paired (Section 4.9 covers Supplementary Fig. S16 and Section 4.10 covers Supplementary Fig. S17), and the post-decode pipeline is split across three subsections (Section 4.12 Sampling covers Supplementary Fig. S19, Section 4.13 Filtering covers Supplementary Fig. S20, Section 4.14 Pool fusion covers Supplementary Fig. S21).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46" w:name="X8457ad1220a60aa1fb816e34a4c4693830d56b4"/>
    <w:p>
      <w:pPr>
        <w:pStyle w:val="Heading3"/>
        <w:keepNext/>
        <w:keepLines/>
        <w:widowControl w:val="1"/>
      </w:pPr>
      <w:r>
        <w:t xml:space="preserve">4.5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[9]</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Supplementary Table S2. We fine-tune all parameters for</w:t>
      </w:r>
      <w:r>
        <w:t xml:space="preserve"> </w:t>
      </w:r>
      <m:oMath>
        <m:r>
          <m:rPr>
            <m:sty m:val="p"/>
          </m:rPr>
          <m:t>∼</m:t>
        </m:r>
      </m:oMath>
      <w:r>
        <w:t xml:space="preserve">8.5k steps on the 326 k energetic-biased SMILES corpus with the standard evidence lower bound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w:pPr>
        <w:pStyle w:val="BodyText"/>
        <w:jc w:val="both"/>
        <w:keepNext w:val="0"/>
        <w:keepLines w:val="0"/>
        <w:widowControl w:val="1"/>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bookmarkEnd w:id="46"/>
    <w:bookmarkStart w:id="47" w:name="conditioning-mask-construction"/>
    <w:p>
      <w:pPr>
        <w:pStyle w:val="Heading3"/>
        <w:keepNext/>
        <w:keepLines/>
        <w:widowControl w:val="1"/>
      </w:pPr>
      <w:r>
        <w:t xml:space="preserve">4.6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BodyText"/>
        <w:jc w:val="both"/>
        <w:keepNext w:val="0"/>
        <w:keepLines w:val="0"/>
        <w:widowControl w:val="1"/>
      </w:pPr>
      <w:r>
        <w:t xml:space="preserve">Supplementary Fig. S14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47"/>
    <w:bookmarkStart w:id="48" w:name="denoiser-training"/>
    <w:p>
      <w:pPr>
        <w:pStyle w:val="Heading3"/>
        <w:keepNext/>
        <w:keepLines/>
        <w:widowControl w:val="1"/>
      </w:pPr>
      <w:r>
        <w:t xml:space="preserve">4.7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Supplementary Table S3).</w:t>
      </w:r>
    </w:p>
    <w:p>
      <w:pPr>
        <w:pStyle w:val="BodyText"/>
        <w:jc w:val="both"/>
        <w:keepNext w:val="0"/>
        <w:keepLines w:val="0"/>
        <w:widowControl w:val="1"/>
      </w:pPr>
      <w:r>
        <w:t xml:space="preserve">Supplementary Fig. S15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[17]</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Section 4.15 (Supplementary Fig. S22).</w:t>
      </w:r>
    </w:p>
    <w:bookmarkEnd w:id="48"/>
    <w:bookmarkStart w:id="49" w:name="two-complementary-denoisers"/>
    <w:p>
      <w:pPr>
        <w:pStyle w:val="Heading3"/>
        <w:keepNext/>
        <w:keepLines/>
        <w:widowControl w:val="1"/>
      </w:pPr>
      <w:r>
        <w:t xml:space="preserve">4.8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Supplementary Table S3.</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Section 4.14 (Supplementary Fig. S21): we union the lanes' SMILES pools and run them once through the rerank funnel. The combination is a post-decode union of the two lanes' SMILES pools, with no weight interpolation or output averaging.</w:t>
      </w:r>
    </w:p>
    <w:bookmarkEnd w:id="49"/>
    <w:bookmarkStart w:id="50" w:name="labeling-for-guidance-head-training"/>
    <w:p>
      <w:pPr>
        <w:pStyle w:val="Heading3"/>
        <w:keepNext/>
        <w:keepLines/>
        <w:widowControl w:val="1"/>
      </w:pPr>
      <w:r>
        <w:t xml:space="preserve">4.9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Supplementary Fig. S20 reranker uses the Uni-Mol smoke ensemble (Section 4.13) for property scoring, not the latent Performance head.</w:t>
      </w:r>
    </w:p>
    <w:p>
      <w:pPr>
        <w:pStyle w:val="BodyText"/>
        <w:jc w:val="both"/>
        <w:keepNext w:val="0"/>
        <w:keepLines w:val="0"/>
        <w:widowControl w:val="1"/>
      </w:pPr>
      <w:r>
        <w:t xml:space="preserve">Supplementary Fig. S16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[24]</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[49]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bookmarkEnd w:id="50"/>
    <w:bookmarkStart w:id="51" w:name="score-model-training"/>
    <w:p>
      <w:pPr>
        <w:pStyle w:val="Heading3"/>
        <w:keepNext/>
        <w:keepLines/>
        <w:widowControl w:val="1"/>
      </w:pPr>
      <w:r>
        <w:t xml:space="preserve">4.10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Supplementary Fig. S17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Supplementary Figs S14 and S15)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Supplementary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w:pPr>
        <w:pStyle w:val="BodyText"/>
        <w:jc w:val="both"/>
        <w:keepNext w:val="0"/>
        <w:keepLines w:val="0"/>
        <w:widowControl w:val="1"/>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bookmarkEnd w:id="51"/>
    <w:bookmarkStart w:id="52" w:name="X0c402eefa1b7ce6651dad9200caea0bd227dc28"/>
    <w:p>
      <w:pPr>
        <w:pStyle w:val="Heading3"/>
        <w:keepNext/>
        <w:keepLines/>
        <w:widowControl w:val="1"/>
      </w:pPr>
      <w:r>
        <w:t xml:space="preserve">4.11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surrogate-gaming false positives and re-feeding them as labelled hard negatives.</w:t>
      </w:r>
    </w:p>
    <w:p>
      <w:pPr>
        <w:pStyle w:val="BodyText"/>
        <w:jc w:val="both"/>
        <w:keepNext w:val="0"/>
        <w:keepLines w:val="0"/>
        <w:widowControl w:val="1"/>
      </w:pPr>
      <w:r>
        <w:t xml:space="preserve">The FROZEN banner of Supplementary Fig. S18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Supplementary Section B.1. The hard-negative ticker on Supplementary Fig. S18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w:pPr>
        <w:pStyle w:val="BodyText"/>
        <w:jc w:val="both"/>
        <w:keepNext w:val="0"/>
        <w:keepLines w:val="0"/>
        <w:widowControl w:val="1"/>
      </w:pPr>
      <w:r>
        <w:t xml:space="preserve">The stopping criterion is shown in the right-margin box of Supplementary Fig. S18: a held-out probe (7 anchors {RDX, HMX, TNT, FOX-7, PETN, TATB, NTO} and 5 gaming molecules) must show every anchor at</w:t>
      </w:r>
      <w:r>
        <w:t xml:space="preserve"> </w:t>
      </w:r>
      <m:oMath>
        <m:r>
          <m:rPr>
            <m:sty m:val="p"/>
          </m:rPr>
          <m:t>≥</m:t>
        </m:r>
      </m:oMath>
      <w:r>
        <w:t xml:space="preserve"> 0.86 AND every gaming molecule at</w:t>
      </w:r>
      <w:r>
        <w:t xml:space="preserve"> </w:t>
      </w:r>
      <m:oMath>
        <m:r>
          <m:rPr>
            <m:sty m:val="p"/>
          </m:rPr>
          <m:t>≤</m:t>
        </m:r>
      </m:oMath>
      <w:r>
        <w:t xml:space="preserve"> 0.84. Empirically 3 rounds satisfy this; round 2 (corpus + 918 hard negatives) is the production checkpoint. Pseudocode in Supplementary Section B.1.</w:t>
      </w:r>
    </w:p>
    <w:bookmarkEnd w:id="52"/>
    <w:bookmarkStart w:id="53" w:name="sampling"/>
    <w:p>
      <w:pPr>
        <w:pStyle w:val="Heading3"/>
        <w:keepNext/>
        <w:keepLines/>
        <w:widowControl w:val="1"/>
      </w:pPr>
      <w:r>
        <w:t xml:space="preserve">4.12 Sampling</w:t>
      </w:r>
    </w:p>
    <w:p>
      <w:pPr>
        <w:pStyle w:val="FirstParagraph"/>
        <w:jc w:val="both"/>
        <w:keepNext w:val="0"/>
        <w:keepLines w:val="0"/>
        <w:widowControl w:val="1"/>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BodyText"/>
        <w:jc w:val="both"/>
        <w:keepNext w:val="0"/>
        <w:keepLines w:val="0"/>
        <w:widowControl w:val="1"/>
      </w:pPr>
      <w:r>
        <w:t xml:space="preserve">Supplementary Fig. S19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(Supplementary Fig. S15).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Supplementary Fig. S21.</w:t>
      </w:r>
    </w:p>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[17]</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(Supplementary Fig. S22,</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bookmarkEnd w:id="53"/>
    <w:bookmarkStart w:id="54" w:name="filtering"/>
    <w:p>
      <w:pPr>
        <w:pStyle w:val="Heading3"/>
        <w:keepNext/>
        <w:keepLines/>
        <w:widowControl w:val="1"/>
      </w:pPr>
      <w:r>
        <w:t xml:space="preserve">4.13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Supplementary Fig. S20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[50]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[35]</w:t>
        </w:r>
      </w:hyperlink>
      <w:r>
        <w:t xml:space="preserve"> </w:t>
      </w:r>
      <m:oMath>
        <m:r>
          <m:rPr>
            <m:sty m:val="p"/>
          </m:rPr>
          <m:t>≤</m:t>
        </m:r>
      </m:oMath>
      <w:r>
        <w:t xml:space="preserve"> 5.0 and SCScore</w:t>
      </w:r>
      <w:r>
        <w:t xml:space="preserve"> </w:t>
      </w:r>
      <w:hyperlink w:anchor="ref-coley2018scscore">
        <w:r>
          <w:rPr>
            <w:rStyle w:val="Hyperlink"/>
          </w:rPr>
          <w:t xml:space="preserve">[36]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54"/>
    <w:bookmarkStart w:id="55" w:name="pool-fusion-across-sampling-runs"/>
    <w:p>
      <w:pPr>
        <w:pStyle w:val="Heading3"/>
        <w:keepNext/>
        <w:keepLines/>
        <w:widowControl w:val="1"/>
      </w:pPr>
      <w:r>
        <w:t xml:space="preserve">4.14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BodyText"/>
        <w:jc w:val="both"/>
        <w:keepNext w:val="0"/>
        <w:keepLines w:val="0"/>
        <w:widowControl w:val="1"/>
      </w:pPr>
      <w:r>
        <w:t xml:space="preserve">Supplementary Fig. S21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bookmarkEnd w:id="55"/>
    <w:bookmarkStart w:id="56" w:name="training-and-hyperparameter-selection"/>
    <w:p>
      <w:pPr>
        <w:pStyle w:val="Heading3"/>
        <w:keepNext/>
        <w:keepLines/>
        <w:widowControl w:val="1"/>
      </w:pPr>
      <w:r>
        <w:t xml:space="preserve">4.15 Training and hyperparameter selection</w:t>
      </w:r>
    </w:p>
    <w:p>
      <w:pPr>
        <w:pStyle w:val="FirstParagraph"/>
        <w:jc w:val="both"/>
        <w:keepNext w:val="0"/>
        <w:keepLines w:val="0"/>
        <w:widowControl w:val="1"/>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(Supplementary Fig. S22) and the candidate pool size (Supplementary Fig. S23).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w:pPr>
        <w:pStyle w:val="BodyText"/>
        <w:jc w:val="both"/>
        <w:keepNext w:val="0"/>
        <w:keepLines w:val="0"/>
        <w:widowControl w:val="1"/>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gaming molecule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gaming molecule (gem-tetranitro) furthest, to viability 0.74.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[14]</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high-energy-density-materials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bookmarkEnd w:id="56"/>
    <w:bookmarkStart w:id="57" w:name="baseline-generators"/>
    <w:p>
      <w:pPr>
        <w:pStyle w:val="Heading3"/>
        <w:keepNext/>
        <w:keepLines/>
        <w:widowControl w:val="1"/>
      </w:pPr>
      <w:r>
        <w:t xml:space="preserve">4.16 Baseline generators</w:t>
      </w:r>
    </w:p>
    <w:p>
      <w:pPr>
        <w:pStyle w:val="FirstParagraph"/>
        <w:jc w:val="both"/>
        <w:keepNext w:val="0"/>
        <w:keepLines w:val="0"/>
        <w:widowControl w:val="1"/>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BodyText"/>
        <w:jc w:val="both"/>
        <w:keepNext w:val="0"/>
        <w:keepLines w:val="0"/>
        <w:widowControl w:val="1"/>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BodyText"/>
        <w:jc w:val="both"/>
        <w:keepNext w:val="0"/>
        <w:keepLines w:val="0"/>
        <w:widowControl w:val="1"/>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BodyText"/>
        <w:jc w:val="both"/>
        <w:keepNext w:val="0"/>
        <w:keepLines w:val="0"/>
        <w:widowControl w:val="1"/>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BodyText"/>
        <w:jc w:val="both"/>
        <w:keepNext w:val="0"/>
        <w:keepLines w:val="0"/>
        <w:widowControl w:val="1"/>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BodyText"/>
        <w:jc w:val="both"/>
        <w:keepNext w:val="0"/>
        <w:keepLines w:val="0"/>
        <w:widowControl w:val="1"/>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bookmarkEnd w:id="57"/>
    <w:bookmarkStart w:id="58" w:name="use-of-large-language-models"/>
    <w:p>
      <w:pPr>
        <w:pStyle w:val="Heading3"/>
        <w:keepNext/>
        <w:keepLines/>
        <w:widowControl w:val="1"/>
      </w:pPr>
      <w:r>
        <w:t xml:space="preserve">4.17 Use of large language models</w:t>
      </w:r>
    </w:p>
    <w:p>
      <w:pPr>
        <w:pStyle w:val="FirstParagraph"/>
        <w:jc w:val="both"/>
        <w:keepNext w:val="0"/>
        <w:keepLines w:val="0"/>
        <w:widowControl w:val="1"/>
      </w:pPr>
      <w:r>
        <w:t xml:space="preserve">A large language model (Anthropic Claude) was used to assist with source-code development and manuscript copy-editing. All study design, analyses, results, and conclusions are the authors’ own, and the authors take full responsibility for the content of the manuscript.</w:t>
      </w:r>
    </w:p>
    <w:bookmarkEnd w:id="58"/>
    <w:bookmarkEnd w:id="59"/>
    <w:bookmarkStart w:id="61" w:name="data-availability-statement"/>
    <w:p>
      <w:pPr>
        <w:pStyle w:val="Heading2"/>
        <w:keepNext/>
        <w:keepLines/>
        <w:widowControl w:val="1"/>
      </w:pPr>
      <w:r>
        <w:t xml:space="preserve">Data Availability Statement</w:t>
      </w:r>
    </w:p>
    <w:p>
      <w:pPr>
        <w:pStyle w:val="FirstParagraph"/>
        <w:jc w:val="both"/>
        <w:keepNext w:val="0"/>
        <w:keepLines w:val="0"/>
        <w:widowControl w:val="1"/>
      </w:pPr>
      <w:r>
        <w:t xml:space="preserve">All code, data, and trained models are released together as a single archived package on Zenodo at</w:t>
      </w:r>
      <w:r>
        <w:t xml:space="preserve"> </w:t>
      </w:r>
      <w:r>
        <w:t xml:space="preserve">DOI</w:t>
      </w:r>
      <w:r>
        <w:t xml:space="preserve"> </w:t>
      </w:r>
      <w:hyperlink r:id="rId60">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w:t>
      </w:r>
    </w:p>
    <w:bookmarkEnd w:id="61"/>
    <w:bookmarkStart w:id="62" w:name="code-availability"/>
    <w:p>
      <w:pPr>
        <w:pStyle w:val="Heading2"/>
        <w:keepNext/>
        <w:keepLines/>
        <w:widowControl w:val="1"/>
      </w:pPr>
      <w:r>
        <w:t xml:space="preserve">Code Availability</w:t>
      </w:r>
    </w:p>
    <w:p>
      <w:pPr>
        <w:pStyle w:val="FirstParagraph"/>
        <w:jc w:val="both"/>
        <w:keepNext w:val="0"/>
        <w:keepLines w:val="0"/>
        <w:widowControl w:val="1"/>
      </w:pPr>
      <w:r>
        <w:t xml:space="preserve">All custom code central to this study is publicly available. The full pipeline (LIMO fine-tuning, denoiser and score-model training, the sampling and four-stage validation funnel, and the figure-generation scripts) is released under Apache-2.0 inside the archived Zenodo package (</w:t>
      </w:r>
      <w:hyperlink r:id="rId60">
        <w:r>
          <w:rPr>
            <w:rStyle w:val="Hyperlink"/>
          </w:rPr>
          <w:t xml:space="preserve">10.5281/zenodo.19821952</w:t>
        </w:r>
      </w:hyperlink>
      <w:r>
        <w:t xml:space="preserve">), together with the trained checkpoints and datasets described in the Data Availability statement.</w:t>
      </w:r>
    </w:p>
    <w:bookmarkEnd w:id="62"/>
    <w:bookmarkStart w:id="63" w:name="author-contributions"/>
    <w:p>
      <w:pPr>
        <w:pStyle w:val="Heading2"/>
        <w:keepNext/>
        <w:keepLines/>
        <w:widowControl w:val="1"/>
      </w:pPr>
      <w:r>
        <w:t xml:space="preserve">Author Contributions</w:t>
      </w:r>
    </w:p>
    <w:p>
      <w:pPr>
        <w:pStyle w:val="FirstParagraph"/>
        <w:jc w:val="both"/>
        <w:keepNext w:val="0"/>
        <w:keepLines w:val="0"/>
        <w:widowControl w:val="1"/>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bookmarkEnd w:id="63"/>
    <w:bookmarkStart w:id="64" w:name="competing-interests"/>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64"/>
    <w:bookmarkStart w:id="6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external funding.</w:t>
      </w:r>
    </w:p>
    <w:bookmarkEnd w:id="65"/>
    <w:bookmarkStart w:id="118"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66" w:name="ref-kamlet1968detonation"/>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23–55 (1968). doi:10.1063/1.1667908.</w:t>
      </w:r>
      <w:bookmarkEnd w:id="66"/>
    </w:p>
    <w:p>
      <w:pPr>
        <w:pStyle w:val="ReferenceEntry"/>
        <w:spacing w:after="100"/>
        <w:ind w:left="475" w:hanging="475"/>
        <w:jc w:val="left"/>
        <w:keepNext w:val="0"/>
        <w:keepLines w:val="0"/>
        <w:widowControl w:val="1"/>
      </w:pPr>
      <w:r>
        <w:rPr>
          <w:rFonts w:ascii="Times New Roman" w:hAnsi="Times New Roman"/>
          <w:sz w:val="20"/>
        </w:rPr>
        <w:t xml:space="preserve">2. </w:t>
      </w:r>
      <w:bookmarkStart w:id="67"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7"/>
    </w:p>
    <w:p>
      <w:pPr>
        <w:pStyle w:val="ReferenceEntry"/>
        <w:spacing w:after="100"/>
        <w:ind w:left="475" w:hanging="475"/>
        <w:jc w:val="left"/>
        <w:keepNext w:val="0"/>
        <w:keepLines w:val="0"/>
        <w:widowControl w:val="1"/>
      </w:pPr>
      <w:r>
        <w:rPr>
          <w:rFonts w:ascii="Times New Roman" w:hAnsi="Times New Roman"/>
          <w:sz w:val="20"/>
        </w:rPr>
        <w:t xml:space="preserve">3. </w:t>
      </w:r>
      <w:bookmarkStart w:id="68" w:name="ref-zhou2023unimol"/>
      <w:r>
        <w:t xml:space="preserve">Zhou, G. et al. (2023). Uni-Mol: A Universal 3D Molecular Representation Learning Framework.</w:t>
      </w:r>
      <w:r>
        <w:t xml:space="preserve"> </w:t>
      </w:r>
      <w:r>
        <w:rPr>
          <w:i/>
          <w:iCs/>
        </w:rPr>
        <w:t xml:space="preserve">ICLR 2023</w:t>
      </w:r>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4. </w:t>
      </w:r>
      <w:bookmarkStart w:id="69" w:name="ref-ho2022cfg"/>
      <w:r>
        <w:t xml:space="preserve">Ho, J., &amp; Salimans, T. (2022). Classifier-Free Diffusion Guidance. arXiv:2207.12598.</w:t>
      </w:r>
      <w:bookmarkEnd w:id="69"/>
    </w:p>
    <w:p>
      <w:pPr>
        <w:pStyle w:val="ReferenceEntry"/>
        <w:spacing w:after="100"/>
        <w:ind w:left="475" w:hanging="475"/>
        <w:jc w:val="left"/>
        <w:keepNext w:val="0"/>
        <w:keepLines w:val="0"/>
        <w:widowControl w:val="1"/>
      </w:pPr>
      <w:r>
        <w:rPr>
          <w:rFonts w:ascii="Times New Roman" w:hAnsi="Times New Roman"/>
          <w:sz w:val="20"/>
        </w:rPr>
        <w:t xml:space="preserve">5. </w:t>
      </w:r>
      <w:bookmarkStart w:id="70" w:name="ref-surechembl"/>
      <w:r>
        <w:t xml:space="preserve">Papadatos, G. et al. (2016). SureChEMBL: a large-scale, chemically annotated patent document database.</w:t>
      </w:r>
      <w:r>
        <w:t xml:space="preserve"> </w:t>
      </w:r>
      <w:r>
        <w:rPr>
          <w:i/>
          <w:iCs/>
        </w:rPr>
        <w:t xml:space="preserve">Nucleic Acids Res.</w:t>
      </w:r>
      <w:r>
        <w:t xml:space="preserve"> </w:t>
      </w:r>
      <w:r>
        <w:t xml:space="preserve">44(D1):D1220–D1228. doi:10.1093/nar/gkv1253.</w:t>
      </w:r>
      <w:bookmarkEnd w:id="70"/>
    </w:p>
    <w:p>
      <w:pPr>
        <w:pStyle w:val="ReferenceEntry"/>
        <w:spacing w:after="100"/>
        <w:ind w:left="475" w:hanging="475"/>
        <w:jc w:val="left"/>
        <w:keepNext w:val="0"/>
        <w:keepLines w:val="0"/>
        <w:widowControl w:val="1"/>
      </w:pPr>
      <w:r>
        <w:rPr>
          <w:rFonts w:ascii="Times New Roman" w:hAnsi="Times New Roman"/>
          <w:sz w:val="20"/>
        </w:rPr>
        <w:t xml:space="preserve">6. </w:t>
      </w:r>
      <w:bookmarkStart w:id="7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71"/>
    </w:p>
    <w:p>
      <w:pPr>
        <w:pStyle w:val="ReferenceEntry"/>
        <w:spacing w:after="100"/>
        <w:ind w:left="475" w:hanging="475"/>
        <w:jc w:val="left"/>
        <w:keepNext w:val="0"/>
        <w:keepLines w:val="0"/>
        <w:widowControl w:val="1"/>
      </w:pPr>
      <w:r>
        <w:rPr>
          <w:rFonts w:ascii="Times New Roman" w:hAnsi="Times New Roman"/>
          <w:sz w:val="20"/>
        </w:rPr>
        <w:t xml:space="preserve">7. </w:t>
      </w:r>
      <w:bookmarkStart w:id="7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72"/>
    </w:p>
    <w:p>
      <w:pPr>
        <w:pStyle w:val="ReferenceEntry"/>
        <w:spacing w:after="100"/>
        <w:ind w:left="475" w:hanging="475"/>
        <w:jc w:val="left"/>
        <w:keepNext w:val="0"/>
        <w:keepLines w:val="0"/>
        <w:widowControl w:val="1"/>
      </w:pPr>
      <w:r>
        <w:rPr>
          <w:rFonts w:ascii="Times New Roman" w:hAnsi="Times New Roman"/>
          <w:sz w:val="20"/>
        </w:rPr>
        <w:t xml:space="preserve">8. </w:t>
      </w:r>
      <w:bookmarkStart w:id="73" w:name="ref-krenn2020selfies"/>
      <w:r>
        <w:t xml:space="preserve">Krenn, M., Häse, F., Nigam, A., Friederich, P., &amp; Aspuru-Guzik, A. Self-Referencing Embedded Strings (SELFIES): A 100% Robust Molecular String Representation.</w:t>
      </w:r>
      <w:r>
        <w:t xml:space="preserve"> </w:t>
      </w:r>
      <w:r>
        <w:rPr>
          <w:i/>
          <w:iCs/>
        </w:rPr>
        <w:t xml:space="preserve">Mach. Learn.: Sci. Tech.</w:t>
      </w:r>
      <w:r>
        <w:t xml:space="preserve"> </w:t>
      </w:r>
      <w:r>
        <w:rPr>
          <w:b/>
          <w:bCs/>
        </w:rPr>
        <w:t xml:space="preserve">1</w:t>
      </w:r>
      <w:r>
        <w:t xml:space="preserve">, 045024 (2020).</w:t>
      </w:r>
      <w:bookmarkEnd w:id="73"/>
    </w:p>
    <w:p>
      <w:pPr>
        <w:pStyle w:val="ReferenceEntry"/>
        <w:spacing w:after="100"/>
        <w:ind w:left="475" w:hanging="475"/>
        <w:jc w:val="left"/>
        <w:keepNext w:val="0"/>
        <w:keepLines w:val="0"/>
        <w:widowControl w:val="1"/>
      </w:pPr>
      <w:r>
        <w:rPr>
          <w:rFonts w:ascii="Times New Roman" w:hAnsi="Times New Roman"/>
          <w:sz w:val="20"/>
        </w:rPr>
        <w:t xml:space="preserve">9. </w:t>
      </w:r>
      <w:bookmarkStart w:id="74"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74"/>
    </w:p>
    <w:p>
      <w:pPr>
        <w:pStyle w:val="ReferenceEntry"/>
        <w:spacing w:after="100"/>
        <w:ind w:left="475" w:hanging="475"/>
        <w:jc w:val="left"/>
        <w:keepNext w:val="0"/>
        <w:keepLines w:val="0"/>
        <w:widowControl w:val="1"/>
      </w:pPr>
      <w:r>
        <w:rPr>
          <w:rFonts w:ascii="Times New Roman" w:hAnsi="Times New Roman"/>
          <w:sz w:val="20"/>
        </w:rPr>
        <w:t xml:space="preserve">10. </w:t>
      </w:r>
      <w:bookmarkStart w:id="75" w:name="ref-reidenbach2023molmim"/>
      <w:r>
        <w:t xml:space="preserve">Reidenbach, D., Livne, M., Ilango, R. K., Gill, M., &amp; Israeli, J. (2023). MolMIM: A Molecular Language Model for Property-Guided Molecule Generation via Mutual Information Machines. (MLDD Workshop, ICLR 2023; arXiv:2208.09016).</w:t>
      </w:r>
      <w:bookmarkEnd w:id="75"/>
    </w:p>
    <w:p>
      <w:pPr>
        <w:pStyle w:val="ReferenceEntry"/>
        <w:spacing w:after="100"/>
        <w:ind w:left="475" w:hanging="475"/>
        <w:jc w:val="left"/>
        <w:keepNext w:val="0"/>
        <w:keepLines w:val="0"/>
        <w:widowControl w:val="1"/>
      </w:pPr>
      <w:r>
        <w:rPr>
          <w:rFonts w:ascii="Times New Roman" w:hAnsi="Times New Roman"/>
          <w:sz w:val="20"/>
        </w:rPr>
        <w:t xml:space="preserve">11. </w:t>
      </w:r>
      <w:bookmarkStart w:id="76" w:name="ref-olivecrona2017reinvent"/>
      <w:r>
        <w:t xml:space="preserve">Olivecrona, M., Blaschke, T., Engkvist, O., &amp; Chen, H. Molecular de-novo design through deep reinforcement learning.</w:t>
      </w:r>
      <w:r>
        <w:t xml:space="preserve"> </w:t>
      </w:r>
      <w:r>
        <w:rPr>
          <w:i/>
          <w:iCs/>
        </w:rPr>
        <w:t xml:space="preserve">J. Cheminformatics</w:t>
      </w:r>
      <w:r>
        <w:t xml:space="preserve"> </w:t>
      </w:r>
      <w:r>
        <w:rPr>
          <w:b/>
          <w:bCs/>
        </w:rPr>
        <w:t xml:space="preserve">9</w:t>
      </w:r>
      <w:r>
        <w:t xml:space="preserve">, 48 (2017). doi:10.1186/s13321-017-0235-x.</w:t>
      </w:r>
      <w:bookmarkEnd w:id="76"/>
    </w:p>
    <w:p>
      <w:pPr>
        <w:pStyle w:val="ReferenceEntry"/>
        <w:spacing w:after="100"/>
        <w:ind w:left="475" w:hanging="475"/>
        <w:jc w:val="left"/>
        <w:keepNext w:val="0"/>
        <w:keepLines w:val="0"/>
        <w:widowControl w:val="1"/>
      </w:pPr>
      <w:r>
        <w:rPr>
          <w:rFonts w:ascii="Times New Roman" w:hAnsi="Times New Roman"/>
          <w:sz w:val="20"/>
        </w:rPr>
        <w:t xml:space="preserve">12. </w:t>
      </w:r>
      <w:bookmarkStart w:id="77" w:name="ref-loeffler2024reinvent4"/>
      <w:r>
        <w:t xml:space="preserve">Loeffler, H. H., He, J., Tibo, A., Janet, J. P., Voronov, A., Mervin, L. H., &amp; Engkvist, O. REINVENT 4: Modern AI-driven generative molecule design.</w:t>
      </w:r>
      <w:r>
        <w:t xml:space="preserve"> </w:t>
      </w:r>
      <w:r>
        <w:rPr>
          <w:i/>
          <w:iCs/>
        </w:rPr>
        <w:t xml:space="preserve">J. Cheminformatics</w:t>
      </w:r>
      <w:r>
        <w:t xml:space="preserve"> </w:t>
      </w:r>
      <w:r>
        <w:rPr>
          <w:b/>
          <w:bCs/>
        </w:rPr>
        <w:t xml:space="preserve">16</w:t>
      </w:r>
      <w:r>
        <w:t xml:space="preserve">, 20 (2024). doi:10.1186/s13321-024-00812-5.</w:t>
      </w:r>
      <w:bookmarkEnd w:id="77"/>
    </w:p>
    <w:p>
      <w:pPr>
        <w:pStyle w:val="ReferenceEntry"/>
        <w:spacing w:after="100"/>
        <w:ind w:left="475" w:hanging="475"/>
        <w:jc w:val="left"/>
        <w:keepNext w:val="0"/>
        <w:keepLines w:val="0"/>
        <w:widowControl w:val="1"/>
      </w:pPr>
      <w:r>
        <w:rPr>
          <w:rFonts w:ascii="Times New Roman" w:hAnsi="Times New Roman"/>
          <w:sz w:val="20"/>
        </w:rPr>
        <w:t xml:space="preserve">13. </w:t>
      </w:r>
      <w:bookmarkStart w:id="78" w:name="ref-vignac2023digress"/>
      <w:r>
        <w:t xml:space="preserve">Vignac, C. et al. (2023). DiGress: Discrete Denoising Diffusion for Graph Generation.</w:t>
      </w:r>
      <w:r>
        <w:t xml:space="preserve"> </w:t>
      </w:r>
      <w:r>
        <w:rPr>
          <w:i/>
          <w:iCs/>
        </w:rPr>
        <w:t xml:space="preserve">ICLR 2023</w:t>
      </w:r>
      <w:r>
        <w:t xml:space="preserve">. arXiv:2209.14734.</w:t>
      </w:r>
      <w:bookmarkEnd w:id="78"/>
    </w:p>
    <w:p>
      <w:pPr>
        <w:pStyle w:val="ReferenceEntry"/>
        <w:spacing w:after="100"/>
        <w:ind w:left="475" w:hanging="475"/>
        <w:jc w:val="left"/>
        <w:keepNext w:val="0"/>
        <w:keepLines w:val="0"/>
        <w:widowControl w:val="1"/>
      </w:pPr>
      <w:r>
        <w:rPr>
          <w:rFonts w:ascii="Times New Roman" w:hAnsi="Times New Roman"/>
          <w:sz w:val="20"/>
        </w:rPr>
        <w:t xml:space="preserve">14. </w:t>
      </w:r>
      <w:bookmarkStart w:id="79" w:name="ref-ho2020ddpm"/>
      <w:r>
        <w:t xml:space="preserve">Ho, J., Jain, A., &amp; Abbeel, P. (2020). Denoising Diffusion Probabilistic Models.</w:t>
      </w:r>
      <w:r>
        <w:t xml:space="preserve"> </w:t>
      </w:r>
      <w:r>
        <w:rPr>
          <w:i/>
          <w:iCs/>
        </w:rPr>
        <w:t xml:space="preserve">NeurIPS 2020</w:t>
      </w:r>
      <w:r>
        <w:t xml:space="preserve">. arXiv:2006.11239.</w:t>
      </w:r>
      <w:bookmarkEnd w:id="79"/>
    </w:p>
    <w:p>
      <w:pPr>
        <w:pStyle w:val="ReferenceEntry"/>
        <w:spacing w:after="100"/>
        <w:ind w:left="475" w:hanging="475"/>
        <w:jc w:val="left"/>
        <w:keepNext w:val="0"/>
        <w:keepLines w:val="0"/>
        <w:widowControl w:val="1"/>
      </w:pPr>
      <w:r>
        <w:rPr>
          <w:rFonts w:ascii="Times New Roman" w:hAnsi="Times New Roman"/>
          <w:sz w:val="20"/>
        </w:rPr>
        <w:t xml:space="preserve">15. </w:t>
      </w:r>
      <w:bookmarkStart w:id="8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80"/>
    </w:p>
    <w:p>
      <w:pPr>
        <w:pStyle w:val="ReferenceEntry"/>
        <w:spacing w:after="100"/>
        <w:ind w:left="475" w:hanging="475"/>
        <w:jc w:val="left"/>
        <w:keepNext w:val="0"/>
        <w:keepLines w:val="0"/>
        <w:widowControl w:val="1"/>
      </w:pPr>
      <w:r>
        <w:rPr>
          <w:rFonts w:ascii="Times New Roman" w:hAnsi="Times New Roman"/>
          <w:sz w:val="20"/>
        </w:rPr>
        <w:t xml:space="preserve">16. </w:t>
      </w:r>
      <w:bookmarkStart w:id="8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81"/>
    </w:p>
    <w:p>
      <w:pPr>
        <w:pStyle w:val="ReferenceEntry"/>
        <w:spacing w:after="100"/>
        <w:ind w:left="475" w:hanging="475"/>
        <w:jc w:val="left"/>
        <w:keepNext w:val="0"/>
        <w:keepLines w:val="0"/>
        <w:widowControl w:val="1"/>
      </w:pPr>
      <w:r>
        <w:rPr>
          <w:rFonts w:ascii="Times New Roman" w:hAnsi="Times New Roman"/>
          <w:sz w:val="20"/>
        </w:rPr>
        <w:t xml:space="preserve">17. </w:t>
      </w:r>
      <w:bookmarkStart w:id="8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82"/>
    </w:p>
    <w:p>
      <w:pPr>
        <w:pStyle w:val="ReferenceEntry"/>
        <w:spacing w:after="100"/>
        <w:ind w:left="475" w:hanging="475"/>
        <w:jc w:val="left"/>
        <w:keepNext w:val="0"/>
        <w:keepLines w:val="0"/>
        <w:widowControl w:val="1"/>
      </w:pPr>
      <w:r>
        <w:rPr>
          <w:rFonts w:ascii="Times New Roman" w:hAnsi="Times New Roman"/>
          <w:sz w:val="20"/>
        </w:rPr>
        <w:t xml:space="preserve">18. </w:t>
      </w:r>
      <w:bookmarkStart w:id="8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83"/>
    </w:p>
    <w:p>
      <w:pPr>
        <w:pStyle w:val="ReferenceEntry"/>
        <w:spacing w:after="100"/>
        <w:ind w:left="475" w:hanging="475"/>
        <w:jc w:val="left"/>
        <w:keepNext w:val="0"/>
        <w:keepLines w:val="0"/>
        <w:widowControl w:val="1"/>
      </w:pPr>
      <w:r>
        <w:rPr>
          <w:rFonts w:ascii="Times New Roman" w:hAnsi="Times New Roman"/>
          <w:sz w:val="20"/>
        </w:rPr>
        <w:t xml:space="preserve">19. </w:t>
      </w:r>
      <w:bookmarkStart w:id="8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84"/>
    </w:p>
    <w:p>
      <w:pPr>
        <w:pStyle w:val="ReferenceEntry"/>
        <w:spacing w:after="100"/>
        <w:ind w:left="475" w:hanging="475"/>
        <w:jc w:val="left"/>
        <w:keepNext w:val="0"/>
        <w:keepLines w:val="0"/>
        <w:widowControl w:val="1"/>
      </w:pPr>
      <w:r>
        <w:rPr>
          <w:rFonts w:ascii="Times New Roman" w:hAnsi="Times New Roman"/>
          <w:sz w:val="20"/>
        </w:rPr>
        <w:t xml:space="preserve">20. </w:t>
      </w:r>
      <w:bookmarkStart w:id="85"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85"/>
    </w:p>
    <w:p>
      <w:pPr>
        <w:pStyle w:val="ReferenceEntry"/>
        <w:spacing w:after="100"/>
        <w:ind w:left="475" w:hanging="475"/>
        <w:jc w:val="left"/>
        <w:keepNext w:val="0"/>
        <w:keepLines w:val="0"/>
        <w:widowControl w:val="1"/>
      </w:pPr>
      <w:r>
        <w:rPr>
          <w:rFonts w:ascii="Times New Roman" w:hAnsi="Times New Roman"/>
          <w:sz w:val="20"/>
        </w:rPr>
        <w:t xml:space="preserve">21. </w:t>
      </w:r>
      <w:bookmarkStart w:id="86"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86"/>
    </w:p>
    <w:p>
      <w:pPr>
        <w:pStyle w:val="ReferenceEntry"/>
        <w:spacing w:after="100"/>
        <w:ind w:left="475" w:hanging="475"/>
        <w:jc w:val="left"/>
        <w:keepNext w:val="0"/>
        <w:keepLines w:val="0"/>
        <w:widowControl w:val="1"/>
      </w:pPr>
      <w:r>
        <w:rPr>
          <w:rFonts w:ascii="Times New Roman" w:hAnsi="Times New Roman"/>
          <w:sz w:val="20"/>
        </w:rPr>
        <w:t xml:space="preserve">22. </w:t>
      </w:r>
      <w:bookmarkStart w:id="8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87"/>
    </w:p>
    <w:p>
      <w:pPr>
        <w:pStyle w:val="ReferenceEntry"/>
        <w:spacing w:after="100"/>
        <w:ind w:left="475" w:hanging="475"/>
        <w:jc w:val="left"/>
        <w:keepNext w:val="0"/>
        <w:keepLines w:val="0"/>
        <w:widowControl w:val="1"/>
      </w:pPr>
      <w:r>
        <w:rPr>
          <w:rFonts w:ascii="Times New Roman" w:hAnsi="Times New Roman"/>
          <w:sz w:val="20"/>
        </w:rPr>
        <w:t xml:space="preserve">23. </w:t>
      </w:r>
      <w:bookmarkStart w:id="8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88"/>
    </w:p>
    <w:p>
      <w:pPr>
        <w:pStyle w:val="ReferenceEntry"/>
        <w:spacing w:after="100"/>
        <w:ind w:left="475" w:hanging="475"/>
        <w:jc w:val="left"/>
        <w:keepNext w:val="0"/>
        <w:keepLines w:val="0"/>
        <w:widowControl w:val="1"/>
      </w:pPr>
      <w:r>
        <w:rPr>
          <w:rFonts w:ascii="Times New Roman" w:hAnsi="Times New Roman"/>
          <w:sz w:val="20"/>
        </w:rPr>
        <w:t xml:space="preserve">24. </w:t>
      </w:r>
      <w:bookmarkStart w:id="89" w:name="ref-huang2021applying"/>
      <w:r>
        <w:t xml:space="preserve">Huang, X. et al. Applying Machine Learning to Balance Performance and Stability of High Energy Density Materials.</w:t>
      </w:r>
      <w:r>
        <w:t xml:space="preserve"> </w:t>
      </w:r>
      <w:r>
        <w:rPr>
          <w:i/>
          <w:iCs/>
        </w:rPr>
        <w:t xml:space="preserve">iScience</w:t>
      </w:r>
      <w:r>
        <w:t xml:space="preserve"> </w:t>
      </w:r>
      <w:r>
        <w:rPr>
          <w:b/>
          <w:bCs/>
        </w:rPr>
        <w:t xml:space="preserve">24</w:t>
      </w:r>
      <w:r>
        <w:t xml:space="preserve">, 102240 (2021).</w:t>
      </w:r>
      <w:bookmarkEnd w:id="89"/>
    </w:p>
    <w:p>
      <w:pPr>
        <w:pStyle w:val="ReferenceEntry"/>
        <w:spacing w:after="100"/>
        <w:ind w:left="475" w:hanging="475"/>
        <w:jc w:val="left"/>
        <w:keepNext w:val="0"/>
        <w:keepLines w:val="0"/>
        <w:widowControl w:val="1"/>
      </w:pPr>
      <w:r>
        <w:rPr>
          <w:rFonts w:ascii="Times New Roman" w:hAnsi="Times New Roman"/>
          <w:sz w:val="20"/>
        </w:rPr>
        <w:t xml:space="preserve">25. </w:t>
      </w:r>
      <w:bookmarkStart w:id="90"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90"/>
    </w:p>
    <w:p>
      <w:pPr>
        <w:pStyle w:val="ReferenceEntry"/>
        <w:spacing w:after="100"/>
        <w:ind w:left="475" w:hanging="475"/>
        <w:jc w:val="left"/>
        <w:keepNext w:val="0"/>
        <w:keepLines w:val="0"/>
        <w:widowControl w:val="1"/>
      </w:pPr>
      <w:r>
        <w:rPr>
          <w:rFonts w:ascii="Times New Roman" w:hAnsi="Times New Roman"/>
          <w:sz w:val="20"/>
        </w:rPr>
        <w:t xml:space="preserve">26. </w:t>
      </w:r>
      <w:bookmarkStart w:id="91"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91"/>
    </w:p>
    <w:p>
      <w:pPr>
        <w:pStyle w:val="ReferenceEntry"/>
        <w:spacing w:after="100"/>
        <w:ind w:left="475" w:hanging="475"/>
        <w:jc w:val="left"/>
        <w:keepNext w:val="0"/>
        <w:keepLines w:val="0"/>
        <w:widowControl w:val="1"/>
      </w:pPr>
      <w:r>
        <w:rPr>
          <w:rFonts w:ascii="Times New Roman" w:hAnsi="Times New Roman"/>
          <w:sz w:val="20"/>
        </w:rPr>
        <w:t xml:space="preserve">27. </w:t>
      </w:r>
      <w:bookmarkStart w:id="9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92"/>
    </w:p>
    <w:p>
      <w:pPr>
        <w:pStyle w:val="ReferenceEntry"/>
        <w:spacing w:after="100"/>
        <w:ind w:left="475" w:hanging="475"/>
        <w:jc w:val="left"/>
        <w:keepNext w:val="0"/>
        <w:keepLines w:val="0"/>
        <w:widowControl w:val="1"/>
      </w:pPr>
      <w:r>
        <w:rPr>
          <w:rFonts w:ascii="Times New Roman" w:hAnsi="Times New Roman"/>
          <w:sz w:val="20"/>
        </w:rPr>
        <w:t xml:space="preserve">28. </w:t>
      </w:r>
      <w:bookmarkStart w:id="9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3"/>
    </w:p>
    <w:p>
      <w:pPr>
        <w:pStyle w:val="ReferenceEntry"/>
        <w:spacing w:after="100"/>
        <w:ind w:left="475" w:hanging="475"/>
        <w:jc w:val="left"/>
        <w:keepNext w:val="0"/>
        <w:keepLines w:val="0"/>
        <w:widowControl w:val="1"/>
      </w:pPr>
      <w:r>
        <w:rPr>
          <w:rFonts w:ascii="Times New Roman" w:hAnsi="Times New Roman"/>
          <w:sz w:val="20"/>
        </w:rPr>
        <w:t xml:space="preserve">29. </w:t>
      </w:r>
      <w:bookmarkStart w:id="94" w:name="ref-klapotke2017nitrogen"/>
      <w:r>
        <w:t xml:space="preserve">Klapötke, T. M.</w:t>
      </w:r>
      <w:r>
        <w:t xml:space="preserve"> </w:t>
      </w:r>
      <w:r>
        <w:rPr>
          <w:i/>
          <w:iCs/>
        </w:rPr>
        <w:t xml:space="preserve">Chemistry of High-Energy Materials</w:t>
      </w:r>
      <w:r>
        <w:t xml:space="preserve">, 5th ed. (de Gruyter, 2019). doi:10.1515/9783110624571.</w:t>
      </w:r>
      <w:bookmarkEnd w:id="94"/>
    </w:p>
    <w:p>
      <w:pPr>
        <w:pStyle w:val="ReferenceEntry"/>
        <w:spacing w:after="100"/>
        <w:ind w:left="475" w:hanging="475"/>
        <w:jc w:val="left"/>
        <w:keepNext w:val="0"/>
        <w:keepLines w:val="0"/>
        <w:widowControl w:val="1"/>
      </w:pPr>
      <w:r>
        <w:rPr>
          <w:rFonts w:ascii="Times New Roman" w:hAnsi="Times New Roman"/>
          <w:sz w:val="20"/>
        </w:rPr>
        <w:t xml:space="preserve">30. </w:t>
      </w:r>
      <w:bookmarkStart w:id="95"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95"/>
    </w:p>
    <w:p>
      <w:pPr>
        <w:pStyle w:val="ReferenceEntry"/>
        <w:spacing w:after="100"/>
        <w:ind w:left="475" w:hanging="475"/>
        <w:jc w:val="left"/>
        <w:keepNext w:val="0"/>
        <w:keepLines w:val="0"/>
        <w:widowControl w:val="1"/>
      </w:pPr>
      <w:r>
        <w:rPr>
          <w:rFonts w:ascii="Times New Roman" w:hAnsi="Times New Roman"/>
          <w:sz w:val="20"/>
        </w:rPr>
        <w:t xml:space="preserve">31. </w:t>
      </w:r>
      <w:bookmarkStart w:id="96" w:name="ref-polykovskiy2020moses"/>
      <w:r>
        <w:t xml:space="preserve">Polykovskiy, D. et al. Molecular Sets (MOSES): A Benchmarking Platform for Molecular Generation Models.</w:t>
      </w:r>
      <w:r>
        <w:t xml:space="preserve"> </w:t>
      </w:r>
      <w:r>
        <w:rPr>
          <w:i/>
          <w:iCs/>
        </w:rPr>
        <w:t xml:space="preserve">Frontiers in Pharmacology</w:t>
      </w:r>
      <w:r>
        <w:t xml:space="preserve"> </w:t>
      </w:r>
      <w:r>
        <w:rPr>
          <w:b/>
          <w:bCs/>
        </w:rPr>
        <w:t xml:space="preserve">11</w:t>
      </w:r>
      <w:r>
        <w:t xml:space="preserve">, 565644 (2020). doi:10.3389/fphar.2020.565644.</w:t>
      </w:r>
      <w:bookmarkEnd w:id="96"/>
    </w:p>
    <w:p>
      <w:pPr>
        <w:pStyle w:val="ReferenceEntry"/>
        <w:spacing w:after="100"/>
        <w:ind w:left="475" w:hanging="475"/>
        <w:jc w:val="left"/>
        <w:keepNext w:val="0"/>
        <w:keepLines w:val="0"/>
        <w:widowControl w:val="1"/>
      </w:pPr>
      <w:r>
        <w:rPr>
          <w:rFonts w:ascii="Times New Roman" w:hAnsi="Times New Roman"/>
          <w:sz w:val="20"/>
        </w:rPr>
        <w:t xml:space="preserve">32. </w:t>
      </w:r>
      <w:bookmarkStart w:id="9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97"/>
    </w:p>
    <w:p>
      <w:pPr>
        <w:pStyle w:val="ReferenceEntry"/>
        <w:spacing w:after="100"/>
        <w:ind w:left="475" w:hanging="475"/>
        <w:jc w:val="left"/>
        <w:keepNext w:val="0"/>
        <w:keepLines w:val="0"/>
        <w:widowControl w:val="1"/>
      </w:pPr>
      <w:r>
        <w:rPr>
          <w:rFonts w:ascii="Times New Roman" w:hAnsi="Times New Roman"/>
          <w:sz w:val="20"/>
        </w:rPr>
        <w:t xml:space="preserve">33. </w:t>
      </w:r>
      <w:bookmarkStart w:id="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98"/>
    </w:p>
    <w:p>
      <w:pPr>
        <w:pStyle w:val="ReferenceEntry"/>
        <w:spacing w:after="100"/>
        <w:ind w:left="475" w:hanging="475"/>
        <w:jc w:val="left"/>
        <w:keepNext w:val="0"/>
        <w:keepLines w:val="0"/>
        <w:widowControl w:val="1"/>
      </w:pPr>
      <w:r>
        <w:rPr>
          <w:rFonts w:ascii="Times New Roman" w:hAnsi="Times New Roman"/>
          <w:sz w:val="20"/>
        </w:rPr>
        <w:t xml:space="preserve">34. </w:t>
      </w:r>
      <w:bookmarkStart w:id="99" w:name="ref-sterling2015zinc"/>
      <w:r>
        <w:t xml:space="preserve">Sterling, T., &amp; Irwin, J. J. (2015). ZINC 15: Ligand Discovery for Everyone.</w:t>
      </w:r>
      <w:r>
        <w:t xml:space="preserve"> </w:t>
      </w:r>
      <w:r>
        <w:rPr>
          <w:i/>
          <w:iCs/>
        </w:rPr>
        <w:t xml:space="preserve">J. Chem. Inf. Model. 55(11)</w:t>
      </w:r>
      <w:r>
        <w:t xml:space="preserve">:2324–2337.</w:t>
      </w:r>
      <w:bookmarkEnd w:id="99"/>
    </w:p>
    <w:p>
      <w:pPr>
        <w:pStyle w:val="ReferenceEntry"/>
        <w:spacing w:after="100"/>
        <w:ind w:left="475" w:hanging="475"/>
        <w:jc w:val="left"/>
        <w:keepNext w:val="0"/>
        <w:keepLines w:val="0"/>
        <w:widowControl w:val="1"/>
      </w:pPr>
      <w:r>
        <w:rPr>
          <w:rFonts w:ascii="Times New Roman" w:hAnsi="Times New Roman"/>
          <w:sz w:val="20"/>
        </w:rPr>
        <w:t xml:space="preserve">35. </w:t>
      </w:r>
      <w:bookmarkStart w:id="100" w:name="ref-ertl2009sa"/>
      <w:r>
        <w:t xml:space="preserve">Ertl, P., &amp; Schuffenhauer, A. Estimation of Synthetic Accessibility Score of Drug-Like Molecules Based on Molecular Complexity and Fragment Contributions.</w:t>
      </w:r>
      <w:r>
        <w:t xml:space="preserve"> </w:t>
      </w:r>
      <w:r>
        <w:rPr>
          <w:i/>
          <w:iCs/>
        </w:rPr>
        <w:t xml:space="preserve">J. Cheminform.</w:t>
      </w:r>
      <w:r>
        <w:t xml:space="preserve"> </w:t>
      </w:r>
      <w:r>
        <w:rPr>
          <w:b/>
          <w:bCs/>
        </w:rPr>
        <w:t xml:space="preserve">1</w:t>
      </w:r>
      <w:r>
        <w:t xml:space="preserve">, 8 (2009).</w:t>
      </w:r>
      <w:bookmarkEnd w:id="100"/>
    </w:p>
    <w:p>
      <w:pPr>
        <w:pStyle w:val="ReferenceEntry"/>
        <w:spacing w:after="100"/>
        <w:ind w:left="475" w:hanging="475"/>
        <w:jc w:val="left"/>
        <w:keepNext w:val="0"/>
        <w:keepLines w:val="0"/>
        <w:widowControl w:val="1"/>
      </w:pPr>
      <w:r>
        <w:rPr>
          <w:rFonts w:ascii="Times New Roman" w:hAnsi="Times New Roman"/>
          <w:sz w:val="20"/>
        </w:rPr>
        <w:t xml:space="preserve">36. </w:t>
      </w:r>
      <w:bookmarkStart w:id="10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01"/>
    </w:p>
    <w:p>
      <w:pPr>
        <w:pStyle w:val="ReferenceEntry"/>
        <w:spacing w:after="100"/>
        <w:ind w:left="475" w:hanging="475"/>
        <w:jc w:val="left"/>
        <w:keepNext w:val="0"/>
        <w:keepLines w:val="0"/>
        <w:widowControl w:val="1"/>
      </w:pPr>
      <w:r>
        <w:rPr>
          <w:rFonts w:ascii="Times New Roman" w:hAnsi="Times New Roman"/>
          <w:sz w:val="20"/>
        </w:rPr>
        <w:t xml:space="preserve">37. </w:t>
      </w:r>
      <w:bookmarkStart w:id="102" w:name="ref-rogers1960computer"/>
      <w:r>
        <w:t xml:space="preserve">Rogers, D. J., &amp; Tanimoto, T. T. (1960). A Computer Program for Classifying Plants.</w:t>
      </w:r>
      <w:r>
        <w:t xml:space="preserve"> </w:t>
      </w:r>
      <w:r>
        <w:rPr>
          <w:i/>
          <w:iCs/>
        </w:rPr>
        <w:t xml:space="preserve">Science 132(3434)</w:t>
      </w:r>
      <w:r>
        <w:t xml:space="preserve">:1115–1118.</w:t>
      </w:r>
      <w:bookmarkEnd w:id="102"/>
    </w:p>
    <w:p>
      <w:pPr>
        <w:pStyle w:val="ReferenceEntry"/>
        <w:spacing w:after="100"/>
        <w:ind w:left="475" w:hanging="475"/>
        <w:jc w:val="left"/>
        <w:keepNext w:val="0"/>
        <w:keepLines w:val="0"/>
        <w:widowControl w:val="1"/>
      </w:pPr>
      <w:r>
        <w:rPr>
          <w:rFonts w:ascii="Times New Roman" w:hAnsi="Times New Roman"/>
          <w:sz w:val="20"/>
        </w:rPr>
        <w:t xml:space="preserve">38. </w:t>
      </w:r>
      <w:bookmarkStart w:id="1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03"/>
    </w:p>
    <w:p>
      <w:pPr>
        <w:pStyle w:val="ReferenceEntry"/>
        <w:spacing w:after="100"/>
        <w:ind w:left="475" w:hanging="475"/>
        <w:jc w:val="left"/>
        <w:keepNext w:val="0"/>
        <w:keepLines w:val="0"/>
        <w:widowControl w:val="1"/>
      </w:pPr>
      <w:r>
        <w:rPr>
          <w:rFonts w:ascii="Times New Roman" w:hAnsi="Times New Roman"/>
          <w:sz w:val="20"/>
        </w:rPr>
        <w:t xml:space="preserve">39. </w:t>
      </w:r>
      <w:bookmarkStart w:id="104" w:name="ref-sun2020pyscf"/>
      <w:r>
        <w:t xml:space="preserve">Sun, Q., Zhang, X., Banerjee, S., Bao, P., et al. Recent developments in the PySCF program package.</w:t>
      </w:r>
      <w:r>
        <w:t xml:space="preserve"> </w:t>
      </w:r>
      <w:r>
        <w:rPr>
          <w:i/>
          <w:iCs/>
        </w:rPr>
        <w:t xml:space="preserve">J. Chem. Phys.</w:t>
      </w:r>
      <w:r>
        <w:t xml:space="preserve"> </w:t>
      </w:r>
      <w:r>
        <w:rPr>
          <w:b/>
          <w:bCs/>
        </w:rPr>
        <w:t xml:space="preserve">153</w:t>
      </w:r>
      <w:r>
        <w:t xml:space="preserve">, 024109 (2020). doi:10.1063/5.0006074.</w:t>
      </w:r>
      <w:bookmarkEnd w:id="104"/>
    </w:p>
    <w:p>
      <w:pPr>
        <w:pStyle w:val="ReferenceEntry"/>
        <w:spacing w:after="100"/>
        <w:ind w:left="475" w:hanging="475"/>
        <w:jc w:val="left"/>
        <w:keepNext w:val="0"/>
        <w:keepLines w:val="0"/>
        <w:widowControl w:val="1"/>
      </w:pPr>
      <w:r>
        <w:rPr>
          <w:rFonts w:ascii="Times New Roman" w:hAnsi="Times New Roman"/>
          <w:sz w:val="20"/>
        </w:rPr>
        <w:t xml:space="preserve">40. </w:t>
      </w:r>
      <w:bookmarkStart w:id="105" w:name="ref-genheden2020aizynth"/>
      <w:r>
        <w:t xml:space="preserve">Genheden, S., Thakkar, A., Chadimová, V., Reymond, J.-L., Engkvist, O., &amp; Bjerrum, E. J. AiZynthFinder: a fast, robust and flexible open-source software for retrosynthetic planning.</w:t>
      </w:r>
      <w:r>
        <w:t xml:space="preserve"> </w:t>
      </w:r>
      <w:r>
        <w:rPr>
          <w:i/>
          <w:iCs/>
        </w:rPr>
        <w:t xml:space="preserve">Journal of Cheminformatics</w:t>
      </w:r>
      <w:r>
        <w:t xml:space="preserve"> </w:t>
      </w:r>
      <w:r>
        <w:rPr>
          <w:b/>
          <w:bCs/>
        </w:rPr>
        <w:t xml:space="preserve">12</w:t>
      </w:r>
      <w:r>
        <w:t xml:space="preserve">, 70 (2020). doi:10.1186/s13321-020-00472-1.</w:t>
      </w:r>
      <w:bookmarkEnd w:id="105"/>
    </w:p>
    <w:p>
      <w:pPr>
        <w:pStyle w:val="ReferenceEntry"/>
        <w:spacing w:after="100"/>
        <w:ind w:left="475" w:hanging="475"/>
        <w:jc w:val="left"/>
        <w:keepNext w:val="0"/>
        <w:keepLines w:val="0"/>
        <w:widowControl w:val="1"/>
      </w:pPr>
      <w:r>
        <w:rPr>
          <w:rFonts w:ascii="Times New Roman" w:hAnsi="Times New Roman"/>
          <w:sz w:val="20"/>
        </w:rPr>
        <w:t xml:space="preserve">41. </w:t>
      </w:r>
      <w:bookmarkStart w:id="10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06"/>
    </w:p>
    <w:p>
      <w:pPr>
        <w:pStyle w:val="ReferenceEntry"/>
        <w:spacing w:after="100"/>
        <w:ind w:left="475" w:hanging="475"/>
        <w:jc w:val="left"/>
        <w:keepNext w:val="0"/>
        <w:keepLines w:val="0"/>
        <w:widowControl w:val="1"/>
      </w:pPr>
      <w:r>
        <w:rPr>
          <w:rFonts w:ascii="Times New Roman" w:hAnsi="Times New Roman"/>
          <w:sz w:val="20"/>
        </w:rPr>
        <w:t xml:space="preserve">42. </w:t>
      </w:r>
      <w:bookmarkStart w:id="107"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07"/>
    </w:p>
    <w:p>
      <w:pPr>
        <w:pStyle w:val="ReferenceEntry"/>
        <w:spacing w:after="100"/>
        <w:ind w:left="475" w:hanging="475"/>
        <w:jc w:val="left"/>
        <w:keepNext w:val="0"/>
        <w:keepLines w:val="0"/>
        <w:widowControl w:val="1"/>
      </w:pPr>
      <w:r>
        <w:rPr>
          <w:rFonts w:ascii="Times New Roman" w:hAnsi="Times New Roman"/>
          <w:sz w:val="20"/>
        </w:rPr>
        <w:t xml:space="preserve">43. </w:t>
      </w:r>
      <w:bookmarkStart w:id="10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08"/>
    </w:p>
    <w:p>
      <w:pPr>
        <w:pStyle w:val="ReferenceEntry"/>
        <w:spacing w:after="100"/>
        <w:ind w:left="475" w:hanging="475"/>
        <w:jc w:val="left"/>
        <w:keepNext w:val="0"/>
        <w:keepLines w:val="0"/>
        <w:widowControl w:val="1"/>
      </w:pPr>
      <w:r>
        <w:rPr>
          <w:rFonts w:ascii="Times New Roman" w:hAnsi="Times New Roman"/>
          <w:sz w:val="20"/>
        </w:rPr>
        <w:t xml:space="preserve">44. </w:t>
      </w:r>
      <w:bookmarkStart w:id="10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09"/>
    </w:p>
    <w:p>
      <w:pPr>
        <w:pStyle w:val="ReferenceEntry"/>
        <w:spacing w:after="100"/>
        <w:ind w:left="475" w:hanging="475"/>
        <w:jc w:val="left"/>
        <w:keepNext w:val="0"/>
        <w:keepLines w:val="0"/>
        <w:widowControl w:val="1"/>
      </w:pPr>
      <w:r>
        <w:rPr>
          <w:rFonts w:ascii="Times New Roman" w:hAnsi="Times New Roman"/>
          <w:sz w:val="20"/>
        </w:rPr>
        <w:t xml:space="preserve">45. </w:t>
      </w:r>
      <w:bookmarkStart w:id="110" w:name="ref-kim2023pubchem"/>
      <w:r>
        <w:t xml:space="preserve">Kim, S. et al. (2023). PubChem 2023 Update.</w:t>
      </w:r>
      <w:r>
        <w:t xml:space="preserve"> </w:t>
      </w:r>
      <w:r>
        <w:rPr>
          <w:i/>
          <w:iCs/>
        </w:rPr>
        <w:t xml:space="preserve">Nucleic Acids Res. 51(D1)</w:t>
      </w:r>
      <w:r>
        <w:t xml:space="preserve">:D1373–D1380.</w:t>
      </w:r>
      <w:bookmarkEnd w:id="110"/>
    </w:p>
    <w:p>
      <w:pPr>
        <w:pStyle w:val="ReferenceEntry"/>
        <w:spacing w:after="100"/>
        <w:ind w:left="475" w:hanging="475"/>
        <w:jc w:val="left"/>
        <w:keepNext w:val="0"/>
        <w:keepLines w:val="0"/>
        <w:widowControl w:val="1"/>
      </w:pPr>
      <w:r>
        <w:rPr>
          <w:rFonts w:ascii="Times New Roman" w:hAnsi="Times New Roman"/>
          <w:sz w:val="20"/>
        </w:rPr>
        <w:t xml:space="preserve">46. </w:t>
      </w:r>
      <w:bookmarkStart w:id="1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1"/>
    </w:p>
    <w:p>
      <w:pPr>
        <w:pStyle w:val="ReferenceEntry"/>
        <w:spacing w:after="100"/>
        <w:ind w:left="475" w:hanging="475"/>
        <w:jc w:val="left"/>
        <w:keepNext w:val="0"/>
        <w:keepLines w:val="0"/>
        <w:widowControl w:val="1"/>
      </w:pPr>
      <w:r>
        <w:rPr>
          <w:rFonts w:ascii="Times New Roman" w:hAnsi="Times New Roman"/>
          <w:sz w:val="20"/>
        </w:rPr>
        <w:t xml:space="preserve">47. </w:t>
      </w:r>
      <w:bookmarkStart w:id="112"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112"/>
    </w:p>
    <w:p>
      <w:pPr>
        <w:pStyle w:val="ReferenceEntry"/>
        <w:spacing w:after="100"/>
        <w:ind w:left="475" w:hanging="475"/>
        <w:jc w:val="left"/>
        <w:keepNext w:val="0"/>
        <w:keepLines w:val="0"/>
        <w:widowControl w:val="1"/>
      </w:pPr>
      <w:r>
        <w:rPr>
          <w:rFonts w:ascii="Times New Roman" w:hAnsi="Times New Roman"/>
          <w:sz w:val="20"/>
        </w:rPr>
        <w:t xml:space="preserve">48. </w:t>
      </w:r>
      <w:bookmarkStart w:id="114" w:name="ref-landrum2024rdkit"/>
      <w:r>
        <w:t xml:space="preserve">Landrum, G., &amp; contributors. RDKit: Open-source cheminformatics.</w:t>
      </w:r>
      <w:r>
        <w:t xml:space="preserve"> </w:t>
      </w:r>
      <w:hyperlink r:id="rId113">
        <w:r>
          <w:rPr>
            <w:rStyle w:val="Hyperlink"/>
          </w:rPr>
          <w:t xml:space="preserve">rdkit.org</w:t>
        </w:r>
      </w:hyperlink>
      <w:r>
        <w:t xml:space="preserve">.</w:t>
      </w:r>
      <w:bookmarkEnd w:id="114"/>
    </w:p>
    <w:p>
      <w:pPr>
        <w:pStyle w:val="ReferenceEntry"/>
        <w:spacing w:after="100"/>
        <w:ind w:left="475" w:hanging="475"/>
        <w:jc w:val="left"/>
        <w:keepNext w:val="0"/>
        <w:keepLines w:val="0"/>
        <w:widowControl w:val="1"/>
      </w:pPr>
      <w:r>
        <w:rPr>
          <w:rFonts w:ascii="Times New Roman" w:hAnsi="Times New Roman"/>
          <w:sz w:val="20"/>
        </w:rPr>
        <w:t xml:space="preserve">49. </w:t>
      </w:r>
      <w:bookmarkStart w:id="11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15"/>
    </w:p>
    <w:p>
      <w:pPr>
        <w:pStyle w:val="ReferenceEntry"/>
        <w:spacing w:after="100"/>
        <w:ind w:left="475" w:hanging="475"/>
        <w:jc w:val="left"/>
        <w:keepNext w:val="0"/>
        <w:keepLines w:val="0"/>
        <w:widowControl w:val="1"/>
      </w:pPr>
      <w:r>
        <w:rPr>
          <w:rFonts w:ascii="Times New Roman" w:hAnsi="Times New Roman"/>
          <w:sz w:val="20"/>
        </w:rPr>
        <w:t xml:space="preserve">50. </w:t>
      </w:r>
      <w:bookmarkStart w:id="117" w:name="ref-daylight-smarts"/>
      <w:r>
        <w:t xml:space="preserve">Daylight Chemical Information Systems. (2007). SMARTS: A Language for Describing Molecular Patterns. Daylight Theory Manual, Aliso Viejo, CA.</w:t>
      </w:r>
      <w:r>
        <w:t xml:space="preserve"> </w:t>
      </w:r>
      <w:hyperlink r:id="rId116">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117"/>
    </w:p>
    <w:bookmarkEnd w:id="118"/>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png"/><Relationship Id="rId21" Type="http://schemas.openxmlformats.org/officeDocument/2006/relationships/image" Target="media/rId21.png"/><Relationship Id="rId16" Type="http://schemas.openxmlformats.org/officeDocument/2006/relationships/image" Target="media/rId16.png"/><Relationship Id="rId30" Type="http://schemas.openxmlformats.org/officeDocument/2006/relationships/image" Target="media/rId30.png"/><Relationship Id="rId10" Type="http://schemas.openxmlformats.org/officeDocument/2006/relationships/image" Target="media/rId10.png"/><Relationship Id="rId60" Type="http://schemas.openxmlformats.org/officeDocument/2006/relationships/hyperlink" Target="https://doi.org/10.5281/zenodo.19821952" TargetMode="External"/><Relationship Id="rId116" Type="http://schemas.openxmlformats.org/officeDocument/2006/relationships/hyperlink" Target="https://www.daylight.com/dayhtml/doc/theory/theory.smarts.html" TargetMode="External"/><Relationship Id="rId113"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0" Type="http://schemas.openxmlformats.org/officeDocument/2006/relationships/hyperlink" Target="https://doi.org/10.5281/zenodo.19821952" TargetMode="External"/><Relationship Id="rId116" Type="http://schemas.openxmlformats.org/officeDocument/2006/relationships/hyperlink" Target="https://www.daylight.com/dayhtml/doc/theory/theory.smarts.html" TargetMode="External"/><Relationship Id="rId113"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2026-08-04T13:50:42Z</dcterms:created>
  <dcterms:modified xsi:type="dcterms:W3CDTF">2026-08-04T13:50:42Z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