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Gaming molecules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 is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gaming molecules: gem-tetranitro on C2, trinitromethane, gem-dinitrocyclopropane, polyazene-NO</w:t>
      </w:r>
      <w:r>
        <w:rPr>
          <w:vertAlign w:val="subscript"/>
        </w:rPr>
        <w:t xml:space="preserve">2</w:t>
      </w:r>
      <w:r>
        <w:t xml:space="preserve"> </w:t>
      </w:r>
      <w:r>
        <w:t xml:space="preserve">chain, dinitromethane) confirms anchors hold at 0.86–0.99 while gaming molecules are demoted to 0.12–0.84. Supplementary Section D.9 reports an early variant (137 gaming molecules) versus the production variant (918 gaming molecules).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probe of 7 anchors and 5 gaming molecules; if all anchors score</w:t>
      </w:r>
      <w:r>
        <w:t xml:space="preserve"> </w:t>
      </w:r>
      <m:oMath>
        <m:r>
          <m:rPr>
            <m:sty m:val="p"/>
          </m:rPr>
          <m:t>≥</m:t>
        </m:r>
      </m:oMath>
      <w:r>
        <w:t xml:space="preserve"> </w:t>
      </w:r>
      <w:r>
        <w:t xml:space="preserve">0.86 and all gaming molecules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gaming molecules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anchor/gaming-molecule probe (the six-head production model and its five-head predecessor score the same on the anchor and gaming-molecule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main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positive-correlation N-fraction trend (Pearson</w:t>
      </w:r>
      <w:r>
        <w:t xml:space="preserve"> </w:t>
      </w:r>
      <m:oMath>
        <m:r>
          <m:t>r</m:t>
        </m:r>
        <m:r>
          <m:rPr>
            <m:sty m:val="p"/>
          </m:rPr>
          <m:t>=</m:t>
        </m:r>
        <m:r>
          <m:rPr>
            <m:sty m:val="p"/>
          </m:rPr>
          <m:t>+</m:t>
        </m:r>
        <m:r>
          <m:t>0.43</m:t>
        </m:r>
      </m:oMath>
      <w:r>
        <w:t xml:space="preserve">).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main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(main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trend: all four quantile errors fall monotonically as</w:t>
      </w:r>
      <w:r>
        <w:t xml:space="preserve"> </w:t>
      </w:r>
      <m:oMath>
        <m:r>
          <m:t>w</m:t>
        </m:r>
      </m:oMath>
      <w:r>
        <w:t xml:space="preserve"> </w:t>
      </w:r>
      <w:r>
        <w:t xml:space="preserve">increases from 2 to 7; the density and detonation-velocity errors decline steadily, while the HOF and detonation-pressure errors are front-loaded (most of the gain is realised by</w:t>
      </w:r>
      <w:r>
        <w:t xml:space="preserve"> </w:t>
      </w:r>
      <m:oMath>
        <m:r>
          <m:t>w</m:t>
        </m:r>
        <m:r>
          <m:rPr>
            <m:sty m:val="p"/>
          </m:rPr>
          <m:t>=</m:t>
        </m:r>
        <m:r>
          <m:t>5</m:t>
        </m:r>
      </m:oMath>
      <w:r>
        <w:t xml:space="preserve">, with only a marginal further improvement at</w:t>
      </w:r>
      <w:r>
        <w:t xml:space="preserve"> </w:t>
      </w:r>
      <m:oMath>
        <m:r>
          <m:t>w</m:t>
        </m:r>
        <m:r>
          <m:rPr>
            <m:sty m:val="p"/>
          </m:rPr>
          <m:t>=</m:t>
        </m:r>
        <m:r>
          <m:t>7</m:t>
        </m:r>
      </m:oMath>
      <w:r>
        <w:t xml:space="preserve">). Candidate survival, not quantile error, is what caps the production setting at</w:t>
      </w:r>
      <w:r>
        <w:t xml:space="preserve"> </w:t>
      </w:r>
      <m:oMath>
        <m:r>
          <m:t>w</m:t>
        </m:r>
        <m:r>
          <m:rPr>
            <m:sty m:val="p"/>
          </m:rPr>
          <m:t>=</m:t>
        </m:r>
        <m:r>
          <m:t>7</m:t>
        </m:r>
      </m:oMath>
      <w:r>
        <w:t xml:space="preserve"> </w:t>
      </w:r>
      <w:r>
        <w:t xml:space="preserve">(Section 4.15, Figure 23).</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w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33"/>
        <w:gridCol w:w="1684"/>
        <w:gridCol w:w="1246"/>
        <w:gridCol w:w="1246"/>
        <w:gridCol w:w="1249"/>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w=2.0 rel-err%</w:t>
            </w:r>
          </w:p>
        </w:tc>
        <w:tc>
          <w:tcPr>
            <w:tcBorders>
              <w:bottom w:val="single" w:sz="8" w:space="0" w:color="auto"/>
            </w:tcBorders>
            <w:vAlign w:val="center"/>
          </w:tcPr>
          <w:p>
            <w:pPr>
              <w:pStyle w:val="Compact"/>
              <w:suppressAutoHyphens/>
              <w:jc w:val="center"/>
            </w:pPr>
            <w:r>
              <w:rPr>
                <w:b/>
                <w:sz w:val="18"/>
                <w:szCs w:val="18"/>
              </w:rPr>
              <w:t xml:space="preserve">w=5.0 rel-err%</w:t>
            </w:r>
          </w:p>
        </w:tc>
        <w:tc>
          <w:tcPr>
            <w:tcBorders>
              <w:bottom w:val="single" w:sz="8" w:space="0" w:color="auto"/>
            </w:tcBorders>
            <w:vAlign w:val="center"/>
          </w:tcPr>
          <w:p>
            <w:pPr>
              <w:pStyle w:val="Compact"/>
              <w:suppressAutoHyphens/>
              <w:jc w:val="center"/>
            </w:pPr>
            <w:r>
              <w:rPr>
                <w:b/>
                <w:sz w:val="18"/>
                <w:szCs w:val="18"/>
              </w:rPr>
              <w:t xml:space="preserve">w=7.0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gaming molecules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gaming molecules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gaming molecules</w:t>
      </w:r>
      <w:r>
        <w:t xml:space="preserve"> </w:t>
      </w:r>
      <m:oMath>
        <m:r>
          <m:rPr>
            <m:sty m:val="p"/>
          </m:rPr>
          <m:t>∈</m:t>
        </m:r>
      </m:oMath>
      <w:r>
        <w:t xml:space="preserve"> </w:t>
      </w:r>
      <w:r>
        <w:t xml:space="preserve">[0.12, 0.84]. Both discriminate, but the budget-918 checkpoint demoted the worst-offender gaming molecule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full 10k pool (acyclic molecules, the majority of the pool, share a single empty scaffold);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1265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729</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755</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1621</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across seeds.</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(729 to 1621 over the full 10k pool). Hazard-only (C3) produces the most scaffold diversity (1621), unguided (C0) is intermediate (1265), and the multi-head conditions are the most focused (viab+sens C1 at 729, viab+sens+hazard C2 at 755).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 not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 not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6">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probe of 7 anchors and 5 gaming molecules (RDX, HMX, TNT, FOX-7, PETN, TATB, NTO plus five known gaming molecules: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probe of 7 anchors and 5 gaming molecules (numbers from Supplementary Section D.9). Anchor min and gaming-molecule max are the per-set extrema of the viability-head output; the worst-offender column tracks the gem-tetranitro gaming molecule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65"/>
        <w:gridCol w:w="1292"/>
        <w:gridCol w:w="1928"/>
        <w:gridCol w:w="2673"/>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Gaming-molecule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Stage-1+2 keep-rate,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Stage-1+2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69"/>
        <w:gridCol w:w="552"/>
        <w:gridCol w:w="898"/>
        <w:gridCol w:w="1053"/>
        <w:gridCol w:w="1791"/>
        <w:gridCol w:w="2395"/>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full-filter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essentially unchanged (9.44–9.51 km s</w:t>
      </w:r>
      <w:r>
        <w:rPr>
          <w:vertAlign w:val="superscript"/>
        </w:rPr>
        <w:t xml:space="preserve">−1</w:t>
      </w:r>
      <w:r>
        <w:t xml:space="preserve">, pool 10k),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pool 40k);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full-filter yield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the 4.6 % Stage-1+2 keep-rate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