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Row counts are in the deduplicated 65 980-row master; a row can contribute labels at several tiers across different properties, so the tier counts do not partition the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crystallographic densities (Davis et al. 2024, cm4c01978 SI) plus measured</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hand-compiled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[60]</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[71]</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Thermochemical detonation-property dataset (curated CHNO + CHNOClF subset;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on an EXPLO5 train/test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npjcompmat2025">
              <w:r>
                <w:rPr>
                  <w:rStyle w:val="Hyperlink"/>
                </w:rPr>
                <w:t xml:space="preserve">[npjcompmat2025]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r>
              <w:rPr>
                <w:rFonts w:ascii="Times New Roman" w:hAnsi="Times New Roman"/>
                <w:sz w:val="19"/>
              </w:rPr>
              <w:t xml:space="preserve"> </w:t>
            </w:r>
            <w:r>
              <w:rPr>
                <w:rFonts w:ascii="Times New Roman" w:hAnsi="Times New Roman"/>
                <w:sz w:val="19"/>
              </w:rPr>
              <w:t xml:space="preserve">(densities and HOF from Davis et al. 2024, cm4c01978 SI)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[62]</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[71]</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labels: in-house 3D-CNN smoke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plus generative-model predictions (MDGNN, de-novo RL/TL sampling, q-RASPR), used to label rows with no higher-tier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r>
              <w:rPr>
                <w:rFonts w:ascii="Times New Roman" w:hAnsi="Times New Roman"/>
                <w:sz w:val="19"/>
              </w:rPr>
              <w:t xml:space="preserve"> </w:t>
            </w:r>
            <w:hyperlink w:anchor="ref-casey2020prediction">
              <w:r>
                <w:rPr>
                  <w:rStyle w:val="Hyperlink"/>
                </w:rPr>
                <w:t xml:space="preserve">[15]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[22]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 +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[63]</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[64]</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[58]</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[23]</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[65]</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 sanity-check rediscovery rather than a leak.</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3D-CNN/Uni-Mol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§3–§4.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4a)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§3–§4.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4c)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4e1, 4f)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~2089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ZINC-250k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2-fold scaffold-CV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§4.5).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three-round training schedule (0 → 137 → 918 cumulative hard negatives; Fig 12) is specified in §4.11 and not repeated here. The held-out probe (7 anchors: RDX, HMX, TNT, FOX-7, PETN, TATB, NTO; 5 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cheats are demoted to 0.12–0.84. Appendix D.9 reports an early variant (137 cheats) versus the production variant (918 cheats).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§4.5).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5-cheat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cheats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cheats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[58a]</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3D-CNN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[15]</w:t>
        </w:r>
      </w:hyperlink>
      <w:r>
        <w:rPr>
          <w:rFonts w:ascii="Times New Roman" w:hAnsi="Times New Roman"/>
          <w:b w:val="0"/>
          <w:i/>
          <w:sz w:val="20"/>
        </w:rPr>
        <w:t xml:space="preserve"> </w:t>
      </w:r>
      <w:r>
        <w:rPr>
          <w:rFonts w:ascii="Times New Roman" w:hAnsi="Times New Roman"/>
          <w:b w:val="0"/>
          <w:i/>
          <w:sz w:val="20"/>
        </w:rPr>
        <w:t xml:space="preserve">use the same level for the 3D-CNN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[Goerigk2017]</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[15]</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[Bondi1964]</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 (provenance and robustness).</w:t>
      </w:r>
      <w:r>
        <w:rPr>
          <w:rFonts w:ascii="Times New Roman" w:hAnsi="Times New Roman"/>
          <w:b w:val="0"/>
          <w:i/>
          <w:sz w:val="20"/>
        </w:rPr>
        <w:t xml:space="preserve"> </w:t>
      </w:r>
      <w:r>
        <w:rPr>
          <w:rFonts w:ascii="Times New Roman" w:hAnsi="Times New Roman"/>
          <w:b w:val="0"/>
          <w:i/>
          <w:sz w:val="20"/>
        </w:rPr>
        <w:t xml:space="preserve">The calibration equation and leave-one-out residuals are stated in Table 2 (§2.3) and are not repeated here; this note documents their provenance and numerical robustness.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the previously reported 2-anchor slope of 4.275 (RDX/TATB only) was a 2-point regression artefact corrected by the 6-anchor extension.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12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C.1c.</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12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[huang2021]</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c.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huang2021]);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b.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C.1c.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c.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C.1c.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12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12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3D-CNN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3D-CNN</w:t>
      </w:r>
      <w:r>
        <w:rPr>
          <w:rFonts w:ascii="Times New Roman" w:hAnsi="Times New Roman"/>
          <w:b w:val="0"/>
          <w:i/>
          <w:sz w:val="20"/>
        </w:rPr>
        <w:t xml:space="preserve"> </w:t>
      </w:r>
      <m:oMath>
        <m:r>
          <m:t>D</m:t>
        </m:r>
      </m:oMath>
      <w:r>
        <w:rPr>
          <w:rFonts w:ascii="Times New Roman" w:hAnsi="Times New Roman"/>
          <w:b w:val="0"/>
          <w:i/>
          <w:sz w:val="20"/>
        </w:rPr>
        <w:t xml:space="preserve">. All 12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3D-CNN surrogate prediction. The raw-DFT K-J values are listed in the third column for transparency. Residual is K-J_{\text{cal}} minus 3D-CNN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3D-CNN</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− 3D-CNN)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 oxime-nitrate-imidazoline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D=8.96,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D=6.81, P=19.9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−1.18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3D-CNN surrogate (</w:t>
      </w:r>
      <m:oMath>
        <m:r>
          <m:rPr>
            <m:sty m:val="p"/>
          </m:rPr>
          <m:t>−</m:t>
        </m:r>
        <m:r>
          <m:t>1.18</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1.66</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 caveat block: 1,2,3,5-oxatriazole stability literature (E1).</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3D-CNN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(3D-CNN</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3D-CNN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sign flip is an artifact of the open-form Q approximation (Q ≈ ΔHf/MW without product-side subtraction) and does not apply to the closed-form K-J used per-lead in Table C.2.</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DNTF 7th-anchor extension attempt.</w:t>
      </w:r>
      <w:r>
        <w:rPr>
          <w:rFonts w:ascii="Times New Roman" w:hAnsi="Times New Roman"/>
          <w:b w:val="0"/>
          <w:i/>
          <w:sz w:val="20"/>
        </w:rPr>
        <w:t xml:space="preserve"> </w:t>
      </w:r>
      <w:r>
        <w:rPr>
          <w:rFonts w:ascii="Times New Roman" w:hAnsi="Times New Roman"/>
          <w:b w:val="0"/>
          <w:i/>
          <w:sz w:val="20"/>
        </w:rPr>
        <w:t xml:space="preserve">We attempted to add DNTF (3,4-bis(4-nitrofurazan-3-yl)furazan; the best-characterised furazan-class energetic material with known experimental properties:</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as a candidate 7th anchor using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DNTF proved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the 7-anchor LOO-RMS rises from</w:t>
      </w:r>
      <w:r>
        <w:rPr>
          <w:rFonts w:ascii="Times New Roman" w:hAnsi="Times New Roman"/>
          <w:b w:val="0"/>
          <w:i/>
          <w:sz w:val="20"/>
        </w:rPr>
        <w:t xml:space="preserve"> </w:t>
      </w:r>
      <m:oMath>
        <m:r>
          <m:rPr>
            <m:sty m:val="p"/>
          </m:rPr>
          <m:t>∼</m:t>
        </m:r>
        <m:r>
          <m:t>0.032</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0.055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is therefore retained. An oxatriazole-class anchor with experimental crystal density and detonation data remains scoped as future work before E1 can be promoted to fully co-headline status at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[11a]</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3D-CNN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a4532ab44f8731e5d9ddae9565c93e8c6327743"/>
    <w:p>
      <w:pPr>
        <w:pStyle w:val="Subtitle"/>
        <w:spacing w:before="0" w:after="40"/>
        <w:jc w:val="center"/>
        <w:keepNext/>
        <w:keepLines/>
        <w:widowControl w:val="1"/>
      </w:pPr>
      <w:r>
        <w:rPr>
          <w:rFonts w:ascii="Times New Roman" w:hAnsi="Times New Roman"/>
          <w:b/>
          <w:i w:val="0"/>
          <w:sz w:val="24"/>
        </w:rPr>
        <w:t xml:space="preserve">D. Reproducibility details and superseded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superseded results that are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and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model-cheat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[46]</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rather than a seed artifact.</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combined viab+sens+hazard (C2) is the most focused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[47]</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a more honest generalisation estimate via 5-fold cross-validation across all 196 hazard-dataset rows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didn't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negative-result discussion for L4, L5, and the nine extension leads, and the drug-domain template-bias argument. The headline is reported in §5.4 (1/12 USPTO-template hit rate; L1 reachable in 4 steps with state score 0.50; nine-lead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8">
        <w:r>
          <w:rPr>
            <w:rStyle w:val="Hyperlink"/>
          </w:rPr>
          <w:t xml:space="preserve">[sabatini2018]</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Negative results on L4, L5, and the nine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negative result is not a search-budget artefact: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5-cheat probe (RDX, HMX, TNT, FOX-7, PETN, TATB plus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rPr>
          <w:rFonts w:ascii="Times New Roman" w:hAnsi="Times New Roman"/>
          <w:b w:val="0"/>
          <w:i/>
          <w:sz w:val="20"/>
        </w:rPr>
        <w:t xml:space="preserve"> </w:t>
      </w:r>
      <w:hyperlink w:anchor="sec-app">
        <w:r>
          <w:rPr>
            <w:rStyle w:val="Hyperlink"/>
          </w:rPr>
          <w:t xml:space="preserve">Appendix D.9</w:t>
        </w:r>
      </w:hyperlink>
      <w:r>
        <w:rPr>
          <w:rFonts w:ascii="Times New Roman" w:hAnsi="Times New Roman"/>
          <w:b w:val="0"/>
          <w:i/>
          <w:sz w:val="20"/>
        </w:rPr>
        <w:t xml:space="preserve">; the SC-gradient sweep and the heuristic-vs-literature sensitivity-head ablation (Appendix B.2)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An initial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was run to close the pool-size mismatch noted in the original caveat. The results reveal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from 8.94 to 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a consistency check that E1 is not an artefact of the extension-set mining procedure.</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3D-CNN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1"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47"/>
    </w:p>
    <w:p>
      <w:pPr>
        <w:pStyle w:val="Subtitle"/>
        <w:numPr>
          <w:ilvl w:val="0"/>
          <w:numId w:val="1004"/>
        </w:numPr>
        <w:spacing w:before="0" w:after="160"/>
        <w:ind w:left="360" w:hanging="259"/>
        <w:jc w:val="center"/>
        <w:keepNext w:val="0"/>
        <w:keepLines/>
        <w:widowControl w:val="1"/>
      </w:pPr>
      <w:bookmarkStart w:id="48"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48"/>
    </w:p>
    <w:p>
      <w:pPr>
        <w:pStyle w:val="Subtitle"/>
        <w:numPr>
          <w:ilvl w:val="0"/>
          <w:numId w:val="1004"/>
        </w:numPr>
        <w:spacing w:before="0" w:after="160"/>
        <w:ind w:left="360" w:hanging="259"/>
        <w:jc w:val="center"/>
        <w:keepNext w:val="0"/>
        <w:keepLines/>
        <w:widowControl w:val="1"/>
      </w:pPr>
      <w:bookmarkStart w:id="49"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49"/>
    </w:p>
    <w:p>
      <w:pPr>
        <w:pStyle w:val="Subtitle"/>
        <w:numPr>
          <w:ilvl w:val="0"/>
          <w:numId w:val="1004"/>
        </w:numPr>
        <w:spacing w:before="0" w:after="160"/>
        <w:ind w:left="360" w:hanging="259"/>
        <w:jc w:val="center"/>
        <w:keepNext w:val="0"/>
        <w:keepLines/>
        <w:widowControl w:val="1"/>
      </w:pPr>
      <w:bookmarkStart w:id="50"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0"/>
    </w:p>
    <w:p>
      <w:pPr>
        <w:pStyle w:val="Subtitle"/>
        <w:numPr>
          <w:ilvl w:val="0"/>
          <w:numId w:val="1004"/>
        </w:numPr>
        <w:spacing w:before="0" w:after="160"/>
        <w:ind w:left="360" w:hanging="259"/>
        <w:jc w:val="center"/>
        <w:keepNext w:val="0"/>
        <w:keepLines/>
        <w:widowControl w:val="1"/>
      </w:pPr>
      <w:bookmarkStart w:id="51"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51"/>
    </w:p>
    <w:p>
      <w:pPr>
        <w:pStyle w:val="Subtitle"/>
        <w:numPr>
          <w:ilvl w:val="0"/>
          <w:numId w:val="1004"/>
        </w:numPr>
        <w:spacing w:before="0" w:after="160"/>
        <w:ind w:left="360" w:hanging="259"/>
        <w:jc w:val="center"/>
        <w:keepNext w:val="0"/>
        <w:keepLines/>
        <w:widowControl w:val="1"/>
      </w:pPr>
      <w:bookmarkStart w:id="52"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52"/>
    </w:p>
    <w:p>
      <w:pPr>
        <w:pStyle w:val="Subtitle"/>
        <w:numPr>
          <w:ilvl w:val="0"/>
          <w:numId w:val="1004"/>
        </w:numPr>
        <w:spacing w:before="0" w:after="160"/>
        <w:ind w:left="360" w:hanging="259"/>
        <w:jc w:val="center"/>
        <w:keepNext w:val="0"/>
        <w:keepLines/>
        <w:widowControl w:val="1"/>
      </w:pPr>
      <w:bookmarkStart w:id="5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53"/>
    </w:p>
    <w:p>
      <w:pPr>
        <w:pStyle w:val="Subtitle"/>
        <w:numPr>
          <w:ilvl w:val="0"/>
          <w:numId w:val="1004"/>
        </w:numPr>
        <w:spacing w:before="0" w:after="160"/>
        <w:ind w:left="360" w:hanging="259"/>
        <w:jc w:val="center"/>
        <w:keepNext w:val="0"/>
        <w:keepLines/>
        <w:widowControl w:val="1"/>
      </w:pPr>
      <w:bookmarkStart w:id="54"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54"/>
    </w:p>
    <w:p>
      <w:pPr>
        <w:pStyle w:val="Subtitle"/>
        <w:numPr>
          <w:ilvl w:val="0"/>
          <w:numId w:val="1004"/>
        </w:numPr>
        <w:spacing w:before="0" w:after="160"/>
        <w:ind w:left="360" w:hanging="259"/>
        <w:jc w:val="center"/>
        <w:keepNext w:val="0"/>
        <w:keepLines/>
        <w:widowControl w:val="1"/>
      </w:pPr>
      <w:bookmarkStart w:id="55"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55"/>
    </w:p>
    <w:p>
      <w:pPr>
        <w:pStyle w:val="Subtitle"/>
        <w:numPr>
          <w:ilvl w:val="0"/>
          <w:numId w:val="1004"/>
        </w:numPr>
        <w:spacing w:before="0" w:after="160"/>
        <w:ind w:left="360" w:hanging="259"/>
        <w:jc w:val="center"/>
        <w:keepNext w:val="0"/>
        <w:keepLines/>
        <w:widowControl w:val="1"/>
      </w:pPr>
      <w:bookmarkStart w:id="56"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56"/>
    </w:p>
    <w:p>
      <w:pPr>
        <w:pStyle w:val="Subtitle"/>
        <w:numPr>
          <w:ilvl w:val="0"/>
          <w:numId w:val="1004"/>
        </w:numPr>
        <w:spacing w:before="0" w:after="160"/>
        <w:ind w:left="360" w:hanging="259"/>
        <w:jc w:val="center"/>
        <w:keepNext w:val="0"/>
        <w:keepLines/>
        <w:widowControl w:val="1"/>
      </w:pPr>
      <w:bookmarkStart w:id="57"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57"/>
    </w:p>
    <w:p>
      <w:pPr>
        <w:pStyle w:val="Subtitle"/>
        <w:numPr>
          <w:ilvl w:val="0"/>
          <w:numId w:val="1004"/>
        </w:numPr>
        <w:spacing w:before="0" w:after="160"/>
        <w:ind w:left="360" w:hanging="259"/>
        <w:jc w:val="center"/>
        <w:keepNext w:val="0"/>
        <w:keepLines/>
        <w:widowControl w:val="1"/>
      </w:pPr>
      <w:bookmarkStart w:id="5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5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59"/>
    </w:p>
    <w:p>
      <w:pPr>
        <w:pStyle w:val="Subtitle"/>
        <w:numPr>
          <w:ilvl w:val="0"/>
          <w:numId w:val="1004"/>
        </w:numPr>
        <w:spacing w:before="0" w:after="160"/>
        <w:ind w:left="360" w:hanging="259"/>
        <w:jc w:val="center"/>
        <w:keepNext w:val="0"/>
        <w:keepLines/>
        <w:widowControl w:val="1"/>
      </w:pPr>
      <w:bookmarkStart w:id="60"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60"/>
    </w:p>
    <w:p>
      <w:pPr>
        <w:pStyle w:val="Subtitle"/>
        <w:numPr>
          <w:ilvl w:val="0"/>
          <w:numId w:val="1004"/>
        </w:numPr>
        <w:spacing w:before="0" w:after="160"/>
        <w:ind w:left="360" w:hanging="259"/>
        <w:jc w:val="center"/>
        <w:keepNext w:val="0"/>
        <w:keepLines/>
        <w:widowControl w:val="1"/>
      </w:pPr>
      <w:bookmarkStart w:id="61"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61"/>
    </w:p>
    <w:p>
      <w:pPr>
        <w:pStyle w:val="Subtitle"/>
        <w:numPr>
          <w:ilvl w:val="0"/>
          <w:numId w:val="1004"/>
        </w:numPr>
        <w:spacing w:before="0" w:after="160"/>
        <w:ind w:left="360" w:hanging="259"/>
        <w:jc w:val="center"/>
        <w:keepNext w:val="0"/>
        <w:keepLines/>
        <w:widowControl w:val="1"/>
      </w:pPr>
      <w:bookmarkStart w:id="62"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62"/>
    </w:p>
    <w:p>
      <w:pPr>
        <w:pStyle w:val="Subtitle"/>
        <w:numPr>
          <w:ilvl w:val="0"/>
          <w:numId w:val="1004"/>
        </w:numPr>
        <w:spacing w:before="0" w:after="160"/>
        <w:ind w:left="360" w:hanging="259"/>
        <w:jc w:val="center"/>
        <w:keepNext w:val="0"/>
        <w:keepLines/>
        <w:widowControl w:val="1"/>
      </w:pPr>
      <w:bookmarkStart w:id="63"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63"/>
    </w:p>
    <w:p>
      <w:pPr>
        <w:pStyle w:val="Subtitle"/>
        <w:numPr>
          <w:ilvl w:val="0"/>
          <w:numId w:val="1004"/>
        </w:numPr>
        <w:spacing w:before="0" w:after="160"/>
        <w:ind w:left="360" w:hanging="259"/>
        <w:jc w:val="center"/>
        <w:keepNext w:val="0"/>
        <w:keepLines/>
        <w:widowControl w:val="1"/>
      </w:pPr>
      <w:bookmarkStart w:id="64"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64"/>
    </w:p>
    <w:p>
      <w:pPr>
        <w:pStyle w:val="Subtitle"/>
        <w:numPr>
          <w:ilvl w:val="0"/>
          <w:numId w:val="1004"/>
        </w:numPr>
        <w:spacing w:before="0" w:after="160"/>
        <w:ind w:left="360" w:hanging="259"/>
        <w:jc w:val="center"/>
        <w:keepNext w:val="0"/>
        <w:keepLines/>
        <w:widowControl w:val="1"/>
      </w:pPr>
      <w:bookmarkStart w:id="65"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65"/>
    </w:p>
    <w:p>
      <w:pPr>
        <w:pStyle w:val="Subtitle"/>
        <w:numPr>
          <w:ilvl w:val="0"/>
          <w:numId w:val="1004"/>
        </w:numPr>
        <w:spacing w:before="0" w:after="160"/>
        <w:ind w:left="360" w:hanging="259"/>
        <w:jc w:val="center"/>
        <w:keepNext w:val="0"/>
        <w:keepLines/>
        <w:widowControl w:val="1"/>
      </w:pPr>
      <w:bookmarkStart w:id="66"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66"/>
    </w:p>
    <w:p>
      <w:pPr>
        <w:pStyle w:val="Subtitle"/>
        <w:numPr>
          <w:ilvl w:val="0"/>
          <w:numId w:val="1004"/>
        </w:numPr>
        <w:spacing w:before="0" w:after="160"/>
        <w:ind w:left="360" w:hanging="259"/>
        <w:jc w:val="center"/>
        <w:keepNext w:val="0"/>
        <w:keepLines/>
        <w:widowControl w:val="1"/>
      </w:pPr>
      <w:bookmarkStart w:id="67"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67"/>
    </w:p>
    <w:p>
      <w:pPr>
        <w:pStyle w:val="Subtitle"/>
        <w:numPr>
          <w:ilvl w:val="0"/>
          <w:numId w:val="1004"/>
        </w:numPr>
        <w:spacing w:before="0" w:after="160"/>
        <w:ind w:left="360" w:hanging="259"/>
        <w:jc w:val="center"/>
        <w:keepNext w:val="0"/>
        <w:keepLines/>
        <w:widowControl w:val="1"/>
      </w:pPr>
      <w:bookmarkStart w:id="68"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68"/>
    </w:p>
    <w:p>
      <w:pPr>
        <w:pStyle w:val="Subtitle"/>
        <w:numPr>
          <w:ilvl w:val="0"/>
          <w:numId w:val="1004"/>
        </w:numPr>
        <w:spacing w:before="0" w:after="160"/>
        <w:ind w:left="360" w:hanging="259"/>
        <w:jc w:val="center"/>
        <w:keepNext w:val="0"/>
        <w:keepLines/>
        <w:widowControl w:val="1"/>
      </w:pPr>
      <w:bookmarkStart w:id="69" w:name="ref-sabatini2018"/>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69"/>
    </w:p>
    <w:p>
      <w:pPr>
        <w:pStyle w:val="Subtitle"/>
        <w:numPr>
          <w:ilvl w:val="0"/>
          <w:numId w:val="1004"/>
        </w:numPr>
        <w:spacing w:before="0" w:after="160"/>
        <w:ind w:left="360" w:hanging="259"/>
        <w:jc w:val="center"/>
        <w:keepNext w:val="0"/>
        <w:keepLines/>
        <w:widowControl w:val="1"/>
      </w:pPr>
      <w:bookmarkStart w:id="70"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70"/>
    </w:p>
    <w:p>
      <w:pPr>
        <w:pStyle w:val="Subtitle"/>
        <w:numPr>
          <w:ilvl w:val="0"/>
          <w:numId w:val="1004"/>
        </w:numPr>
        <w:spacing w:before="0" w:after="160"/>
        <w:ind w:left="360" w:hanging="259"/>
        <w:jc w:val="center"/>
        <w:keepNext w:val="0"/>
        <w:keepLines/>
        <w:widowControl w:val="1"/>
      </w:pPr>
      <w:bookmarkStart w:id="71" w:name="ref-ho2022cfg"/>
      <w:r>
        <w:rPr>
          <w:rFonts w:ascii="Times New Roman" w:hAnsi="Times New Roman"/>
          <w:b w:val="0"/>
          <w:i/>
          <w:sz w:val="20"/>
        </w:rPr>
        <w:t xml:space="preserve">Ho, J., &amp; Salimans, T. (2022). Classifier-Free Diffusion Guidance. arXiv:2207.12598.</w:t>
      </w:r>
      <w:bookmarkEnd w:id="71"/>
    </w:p>
    <w:p>
      <w:pPr>
        <w:pStyle w:val="Subtitle"/>
        <w:numPr>
          <w:ilvl w:val="0"/>
          <w:numId w:val="1004"/>
        </w:numPr>
        <w:spacing w:before="0" w:after="160"/>
        <w:ind w:left="360" w:hanging="259"/>
        <w:jc w:val="center"/>
        <w:keepNext w:val="0"/>
        <w:keepLines/>
        <w:widowControl w:val="1"/>
      </w:pPr>
      <w:bookmarkStart w:id="72"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2"/>
    </w:p>
    <w:p>
      <w:pPr>
        <w:pStyle w:val="Subtitle"/>
        <w:numPr>
          <w:ilvl w:val="0"/>
          <w:numId w:val="1004"/>
        </w:numPr>
        <w:spacing w:before="0" w:after="160"/>
        <w:ind w:left="360" w:hanging="259"/>
        <w:jc w:val="center"/>
        <w:keepNext w:val="0"/>
        <w:keepLines/>
        <w:widowControl w:val="1"/>
      </w:pPr>
      <w:bookmarkStart w:id="73"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73"/>
    </w:p>
    <w:p>
      <w:pPr>
        <w:pStyle w:val="Subtitle"/>
        <w:numPr>
          <w:ilvl w:val="0"/>
          <w:numId w:val="1004"/>
        </w:numPr>
        <w:spacing w:before="0" w:after="160"/>
        <w:ind w:left="360" w:hanging="259"/>
        <w:jc w:val="center"/>
        <w:keepNext w:val="0"/>
        <w:keepLines/>
        <w:widowControl w:val="1"/>
      </w:pPr>
      <w:bookmarkStart w:id="74"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74"/>
    </w:p>
    <w:p>
      <w:pPr>
        <w:pStyle w:val="Subtitle"/>
        <w:numPr>
          <w:ilvl w:val="0"/>
          <w:numId w:val="1004"/>
        </w:numPr>
        <w:spacing w:before="0" w:after="160"/>
        <w:ind w:left="360" w:hanging="259"/>
        <w:jc w:val="center"/>
        <w:keepNext w:val="0"/>
        <w:keepLines/>
        <w:widowControl w:val="1"/>
      </w:pPr>
      <w:bookmarkStart w:id="75"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75"/>
    </w:p>
    <w:p>
      <w:pPr>
        <w:pStyle w:val="Subtitle"/>
        <w:numPr>
          <w:ilvl w:val="0"/>
          <w:numId w:val="1004"/>
        </w:numPr>
        <w:spacing w:before="0" w:after="160"/>
        <w:ind w:left="360" w:hanging="259"/>
        <w:jc w:val="center"/>
        <w:keepNext w:val="0"/>
        <w:keepLines/>
        <w:widowControl w:val="1"/>
      </w:pPr>
      <w:bookmarkStart w:id="76"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6"/>
    </w:p>
    <w:p>
      <w:pPr>
        <w:pStyle w:val="Subtitle"/>
        <w:numPr>
          <w:ilvl w:val="0"/>
          <w:numId w:val="1004"/>
        </w:numPr>
        <w:spacing w:before="0" w:after="160"/>
        <w:ind w:left="360" w:hanging="259"/>
        <w:jc w:val="center"/>
        <w:keepNext w:val="0"/>
        <w:keepLines/>
        <w:widowControl w:val="1"/>
      </w:pPr>
      <w:bookmarkStart w:id="77"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77"/>
    </w:p>
    <w:p>
      <w:pPr>
        <w:pStyle w:val="Subtitle"/>
        <w:numPr>
          <w:ilvl w:val="0"/>
          <w:numId w:val="1004"/>
        </w:numPr>
        <w:spacing w:before="0" w:after="160"/>
        <w:ind w:left="360" w:hanging="259"/>
        <w:jc w:val="center"/>
        <w:keepNext w:val="0"/>
        <w:keepLines/>
        <w:widowControl w:val="1"/>
      </w:pPr>
      <w:bookmarkStart w:id="78"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78"/>
    </w:p>
    <w:p>
      <w:pPr>
        <w:pStyle w:val="Subtitle"/>
        <w:numPr>
          <w:ilvl w:val="0"/>
          <w:numId w:val="1004"/>
        </w:numPr>
        <w:spacing w:before="0" w:after="160"/>
        <w:ind w:left="360" w:hanging="259"/>
        <w:jc w:val="center"/>
        <w:keepNext w:val="0"/>
        <w:keepLines/>
        <w:widowControl w:val="1"/>
      </w:pPr>
      <w:bookmarkStart w:id="79"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79"/>
    </w:p>
    <w:p>
      <w:pPr>
        <w:pStyle w:val="Subtitle"/>
        <w:numPr>
          <w:ilvl w:val="0"/>
          <w:numId w:val="1004"/>
        </w:numPr>
        <w:spacing w:before="0" w:after="160"/>
        <w:ind w:left="360" w:hanging="259"/>
        <w:jc w:val="center"/>
        <w:keepNext w:val="0"/>
        <w:keepLines/>
        <w:widowControl w:val="1"/>
      </w:pPr>
      <w:bookmarkStart w:id="80"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80"/>
    </w:p>
    <w:p>
      <w:pPr>
        <w:pStyle w:val="Subtitle"/>
        <w:numPr>
          <w:ilvl w:val="0"/>
          <w:numId w:val="1004"/>
        </w:numPr>
        <w:spacing w:before="0" w:after="160"/>
        <w:ind w:left="360" w:hanging="259"/>
        <w:jc w:val="center"/>
        <w:keepNext w:val="0"/>
        <w:keepLines/>
        <w:widowControl w:val="1"/>
      </w:pPr>
      <w:bookmarkStart w:id="82"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81">
        <w:r>
          <w:rPr>
            <w:rStyle w:val="Hyperlink"/>
          </w:rPr>
          <w:t xml:space="preserve">rdkit.org</w:t>
        </w:r>
      </w:hyperlink>
      <w:r>
        <w:rPr>
          <w:rFonts w:ascii="Times New Roman" w:hAnsi="Times New Roman"/>
          <w:b w:val="0"/>
          <w:i/>
          <w:sz w:val="20"/>
        </w:rPr>
        <w:t xml:space="preserve">.</w:t>
      </w:r>
      <w:bookmarkEnd w:id="82"/>
    </w:p>
    <w:p>
      <w:pPr>
        <w:pStyle w:val="Subtitle"/>
        <w:numPr>
          <w:ilvl w:val="0"/>
          <w:numId w:val="1004"/>
        </w:numPr>
        <w:spacing w:before="0" w:after="160"/>
        <w:ind w:left="360" w:hanging="259"/>
        <w:jc w:val="center"/>
        <w:keepNext w:val="0"/>
        <w:keepLines/>
        <w:widowControl w:val="1"/>
      </w:pPr>
      <w:bookmarkStart w:id="83"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83"/>
    </w:p>
    <w:p>
      <w:pPr>
        <w:pStyle w:val="Subtitle"/>
        <w:numPr>
          <w:ilvl w:val="0"/>
          <w:numId w:val="1004"/>
        </w:numPr>
        <w:spacing w:before="0" w:after="160"/>
        <w:ind w:left="360" w:hanging="259"/>
        <w:jc w:val="center"/>
        <w:keepNext w:val="0"/>
        <w:keepLines/>
        <w:widowControl w:val="1"/>
      </w:pPr>
      <w:bookmarkStart w:id="84"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84"/>
    </w:p>
    <w:p>
      <w:pPr>
        <w:pStyle w:val="Subtitle"/>
        <w:numPr>
          <w:ilvl w:val="0"/>
          <w:numId w:val="1004"/>
        </w:numPr>
        <w:spacing w:before="0" w:after="160"/>
        <w:ind w:left="360" w:hanging="259"/>
        <w:jc w:val="center"/>
        <w:keepNext w:val="0"/>
        <w:keepLines/>
        <w:widowControl w:val="1"/>
      </w:pPr>
      <w:bookmarkStart w:id="85"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85"/>
    </w:p>
    <w:p>
      <w:pPr>
        <w:pStyle w:val="Subtitle"/>
        <w:numPr>
          <w:ilvl w:val="0"/>
          <w:numId w:val="1004"/>
        </w:numPr>
        <w:spacing w:before="0" w:after="160"/>
        <w:ind w:left="360" w:hanging="259"/>
        <w:jc w:val="center"/>
        <w:keepNext w:val="0"/>
        <w:keepLines/>
        <w:widowControl w:val="1"/>
      </w:pPr>
      <w:bookmarkStart w:id="86"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86"/>
    </w:p>
    <w:p>
      <w:pPr>
        <w:pStyle w:val="Subtitle"/>
        <w:numPr>
          <w:ilvl w:val="0"/>
          <w:numId w:val="1004"/>
        </w:numPr>
        <w:spacing w:before="0" w:after="160"/>
        <w:ind w:left="360" w:hanging="259"/>
        <w:jc w:val="center"/>
        <w:keepNext w:val="0"/>
        <w:keepLines/>
        <w:widowControl w:val="1"/>
      </w:pPr>
      <w:bookmarkStart w:id="87"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87"/>
    </w:p>
    <w:p>
      <w:pPr>
        <w:pStyle w:val="Subtitle"/>
        <w:numPr>
          <w:ilvl w:val="0"/>
          <w:numId w:val="1004"/>
        </w:numPr>
        <w:spacing w:before="0" w:after="160"/>
        <w:ind w:left="360" w:hanging="259"/>
        <w:jc w:val="center"/>
        <w:keepNext w:val="0"/>
        <w:keepLines/>
        <w:widowControl w:val="1"/>
      </w:pPr>
      <w:bookmarkStart w:id="88"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88"/>
    </w:p>
    <w:p>
      <w:pPr>
        <w:pStyle w:val="Subtitle"/>
        <w:numPr>
          <w:ilvl w:val="0"/>
          <w:numId w:val="1004"/>
        </w:numPr>
        <w:spacing w:before="0" w:after="160"/>
        <w:ind w:left="360" w:hanging="259"/>
        <w:jc w:val="center"/>
        <w:keepNext w:val="0"/>
        <w:keepLines/>
        <w:widowControl w:val="1"/>
      </w:pPr>
      <w:bookmarkStart w:id="89"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89"/>
    </w:p>
    <w:p>
      <w:pPr>
        <w:pStyle w:val="Subtitle"/>
        <w:numPr>
          <w:ilvl w:val="0"/>
          <w:numId w:val="1004"/>
        </w:numPr>
        <w:spacing w:before="0" w:after="160"/>
        <w:ind w:left="360" w:hanging="259"/>
        <w:jc w:val="center"/>
        <w:keepNext w:val="0"/>
        <w:keepLines/>
        <w:widowControl w:val="1"/>
      </w:pPr>
      <w:bookmarkStart w:id="90"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90"/>
    </w:p>
    <w:p>
      <w:pPr>
        <w:pStyle w:val="Subtitle"/>
        <w:numPr>
          <w:ilvl w:val="0"/>
          <w:numId w:val="1004"/>
        </w:numPr>
        <w:spacing w:before="0" w:after="160"/>
        <w:ind w:left="360" w:hanging="259"/>
        <w:jc w:val="center"/>
        <w:keepNext w:val="0"/>
        <w:keepLines/>
        <w:widowControl w:val="1"/>
      </w:pPr>
      <w:bookmarkStart w:id="91"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91"/>
    </w:p>
    <w:p>
      <w:pPr>
        <w:pStyle w:val="Subtitle"/>
        <w:numPr>
          <w:ilvl w:val="0"/>
          <w:numId w:val="1004"/>
        </w:numPr>
        <w:spacing w:before="0" w:after="160"/>
        <w:ind w:left="360" w:hanging="259"/>
        <w:jc w:val="center"/>
        <w:keepNext w:val="0"/>
        <w:keepLines/>
        <w:widowControl w:val="1"/>
      </w:pPr>
      <w:bookmarkStart w:id="92"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92"/>
    </w:p>
    <w:p>
      <w:pPr>
        <w:pStyle w:val="Subtitle"/>
        <w:numPr>
          <w:ilvl w:val="0"/>
          <w:numId w:val="1004"/>
        </w:numPr>
        <w:spacing w:before="0" w:after="160"/>
        <w:ind w:left="360" w:hanging="259"/>
        <w:jc w:val="center"/>
        <w:keepNext w:val="0"/>
        <w:keepLines/>
        <w:widowControl w:val="1"/>
      </w:pPr>
      <w:bookmarkStart w:id="93"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93"/>
    </w:p>
    <w:p>
      <w:pPr>
        <w:pStyle w:val="Subtitle"/>
        <w:numPr>
          <w:ilvl w:val="0"/>
          <w:numId w:val="1004"/>
        </w:numPr>
        <w:spacing w:before="0" w:after="160"/>
        <w:ind w:left="360" w:hanging="259"/>
        <w:jc w:val="center"/>
        <w:keepNext w:val="0"/>
        <w:keepLines/>
        <w:widowControl w:val="1"/>
      </w:pPr>
      <w:bookmarkStart w:id="94"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94"/>
    </w:p>
    <w:p>
      <w:pPr>
        <w:pStyle w:val="Subtitle"/>
        <w:numPr>
          <w:ilvl w:val="0"/>
          <w:numId w:val="1004"/>
        </w:numPr>
        <w:spacing w:before="0" w:after="160"/>
        <w:ind w:left="360" w:hanging="259"/>
        <w:jc w:val="center"/>
        <w:keepNext w:val="0"/>
        <w:keepLines/>
        <w:widowControl w:val="1"/>
      </w:pPr>
      <w:bookmarkStart w:id="95"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95"/>
    </w:p>
    <w:p>
      <w:pPr>
        <w:pStyle w:val="Subtitle"/>
        <w:numPr>
          <w:ilvl w:val="0"/>
          <w:numId w:val="1004"/>
        </w:numPr>
        <w:spacing w:before="0" w:after="160"/>
        <w:ind w:left="360" w:hanging="259"/>
        <w:jc w:val="center"/>
        <w:keepNext w:val="0"/>
        <w:keepLines/>
        <w:widowControl w:val="1"/>
      </w:pPr>
      <w:bookmarkStart w:id="96"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96"/>
    </w:p>
    <w:p>
      <w:pPr>
        <w:pStyle w:val="Subtitle"/>
        <w:numPr>
          <w:ilvl w:val="0"/>
          <w:numId w:val="1004"/>
        </w:numPr>
        <w:spacing w:before="0" w:after="160"/>
        <w:ind w:left="360" w:hanging="259"/>
        <w:jc w:val="center"/>
        <w:keepNext w:val="0"/>
        <w:keepLines/>
        <w:widowControl w:val="1"/>
      </w:pPr>
      <w:bookmarkStart w:id="97"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97"/>
    </w:p>
    <w:p>
      <w:pPr>
        <w:pStyle w:val="Subtitle"/>
        <w:numPr>
          <w:ilvl w:val="0"/>
          <w:numId w:val="1004"/>
        </w:numPr>
        <w:spacing w:before="0" w:after="160"/>
        <w:ind w:left="360" w:hanging="259"/>
        <w:jc w:val="center"/>
        <w:keepNext w:val="0"/>
        <w:keepLines/>
        <w:widowControl w:val="1"/>
      </w:pPr>
      <w:bookmarkStart w:id="98"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8"/>
    </w:p>
    <w:p>
      <w:pPr>
        <w:pStyle w:val="Subtitle"/>
        <w:numPr>
          <w:ilvl w:val="0"/>
          <w:numId w:val="1004"/>
        </w:numPr>
        <w:spacing w:before="0" w:after="160"/>
        <w:ind w:left="360" w:hanging="259"/>
        <w:jc w:val="center"/>
        <w:keepNext w:val="0"/>
        <w:keepLines/>
        <w:widowControl w:val="1"/>
      </w:pPr>
      <w:bookmarkStart w:id="99"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9"/>
    </w:p>
    <w:p>
      <w:pPr>
        <w:pStyle w:val="Subtitle"/>
        <w:numPr>
          <w:ilvl w:val="0"/>
          <w:numId w:val="1004"/>
        </w:numPr>
        <w:spacing w:before="0" w:after="160"/>
        <w:ind w:left="360" w:hanging="259"/>
        <w:jc w:val="center"/>
        <w:keepNext w:val="0"/>
        <w:keepLines/>
        <w:widowControl w:val="1"/>
      </w:pPr>
      <w:bookmarkStart w:id="100"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100"/>
    </w:p>
    <w:p>
      <w:pPr>
        <w:pStyle w:val="Subtitle"/>
        <w:numPr>
          <w:ilvl w:val="0"/>
          <w:numId w:val="1004"/>
        </w:numPr>
        <w:spacing w:before="0" w:after="160"/>
        <w:ind w:left="360" w:hanging="259"/>
        <w:jc w:val="center"/>
        <w:keepNext w:val="0"/>
        <w:keepLines/>
        <w:widowControl w:val="1"/>
      </w:pPr>
      <w:bookmarkStart w:id="101"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101"/>
    </w:p>
    <w:p>
      <w:pPr>
        <w:pStyle w:val="Subtitle"/>
        <w:numPr>
          <w:ilvl w:val="0"/>
          <w:numId w:val="1004"/>
        </w:numPr>
        <w:spacing w:before="0" w:after="160"/>
        <w:ind w:left="360" w:hanging="259"/>
        <w:jc w:val="center"/>
        <w:keepNext w:val="0"/>
        <w:keepLines/>
        <w:widowControl w:val="1"/>
      </w:pPr>
      <w:bookmarkStart w:id="102"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102"/>
    </w:p>
    <w:p>
      <w:pPr>
        <w:pStyle w:val="Subtitle"/>
        <w:numPr>
          <w:ilvl w:val="0"/>
          <w:numId w:val="1004"/>
        </w:numPr>
        <w:spacing w:before="0" w:after="160"/>
        <w:ind w:left="360" w:hanging="259"/>
        <w:jc w:val="center"/>
        <w:keepNext w:val="0"/>
        <w:keepLines/>
        <w:widowControl w:val="1"/>
      </w:pPr>
      <w:bookmarkStart w:id="103"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103"/>
    </w:p>
    <w:p>
      <w:pPr>
        <w:pStyle w:val="Subtitle"/>
        <w:numPr>
          <w:ilvl w:val="0"/>
          <w:numId w:val="1004"/>
        </w:numPr>
        <w:spacing w:before="0" w:after="160"/>
        <w:ind w:left="360" w:hanging="259"/>
        <w:jc w:val="center"/>
        <w:keepNext w:val="0"/>
        <w:keepLines/>
        <w:widowControl w:val="1"/>
      </w:pPr>
      <w:bookmarkStart w:id="104"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104"/>
    </w:p>
    <w:p>
      <w:pPr>
        <w:pStyle w:val="Subtitle"/>
        <w:numPr>
          <w:ilvl w:val="0"/>
          <w:numId w:val="1004"/>
        </w:numPr>
        <w:spacing w:before="0" w:after="160"/>
        <w:ind w:left="360" w:hanging="259"/>
        <w:jc w:val="center"/>
        <w:keepNext w:val="0"/>
        <w:keepLines/>
        <w:widowControl w:val="1"/>
      </w:pPr>
      <w:bookmarkStart w:id="105"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105"/>
    </w:p>
    <w:p>
      <w:pPr>
        <w:pStyle w:val="Subtitle"/>
        <w:numPr>
          <w:ilvl w:val="0"/>
          <w:numId w:val="1004"/>
        </w:numPr>
        <w:spacing w:before="0" w:after="160"/>
        <w:ind w:left="360" w:hanging="259"/>
        <w:jc w:val="center"/>
        <w:keepNext w:val="0"/>
        <w:keepLines/>
        <w:widowControl w:val="1"/>
      </w:pPr>
      <w:bookmarkStart w:id="106"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06"/>
    </w:p>
    <w:p>
      <w:pPr>
        <w:pStyle w:val="Subtitle"/>
        <w:numPr>
          <w:ilvl w:val="0"/>
          <w:numId w:val="1004"/>
        </w:numPr>
        <w:spacing w:before="0" w:after="40"/>
        <w:ind w:left="360" w:hanging="259"/>
        <w:jc w:val="center"/>
        <w:keepNext/>
        <w:keepLines/>
        <w:widowControl w:val="1"/>
      </w:pPr>
      <w:bookmarkStart w:id="108"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07">
        <w:r>
          <w:rPr>
            <w:rStyle w:val="Hyperlink"/>
          </w:rPr>
          <w:t xml:space="preserve">cameochemicals.noaa.gov</w:t>
        </w:r>
      </w:hyperlink>
      <w:r>
        <w:rPr>
          <w:rFonts w:ascii="Times New Roman" w:hAnsi="Times New Roman"/>
          <w:b/>
          <w:i w:val="0"/>
          <w:sz w:val="24"/>
        </w:rPr>
        <w:t xml:space="preserve">.</w:t>
      </w:r>
      <w:bookmarkEnd w:id="108"/>
    </w:p>
    <w:p>
      <w:pPr>
        <w:pStyle w:val="Subtitle"/>
        <w:numPr>
          <w:ilvl w:val="0"/>
          <w:numId w:val="1004"/>
        </w:numPr>
        <w:spacing w:before="0" w:after="160"/>
        <w:ind w:left="360" w:hanging="259"/>
        <w:jc w:val="center"/>
        <w:keepNext w:val="0"/>
        <w:keepLines/>
        <w:widowControl w:val="1"/>
      </w:pPr>
      <w:bookmarkStart w:id="109"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09"/>
    </w:p>
    <w:p>
      <w:pPr>
        <w:pStyle w:val="Subtitle"/>
        <w:numPr>
          <w:ilvl w:val="0"/>
          <w:numId w:val="1004"/>
        </w:numPr>
        <w:spacing w:before="0" w:after="160"/>
        <w:ind w:left="360" w:hanging="259"/>
        <w:jc w:val="center"/>
        <w:keepNext w:val="0"/>
        <w:keepLines/>
        <w:widowControl w:val="1"/>
      </w:pPr>
      <w:bookmarkStart w:id="110"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10"/>
    </w:p>
    <w:p>
      <w:pPr>
        <w:pStyle w:val="Subtitle"/>
        <w:numPr>
          <w:ilvl w:val="0"/>
          <w:numId w:val="1004"/>
        </w:numPr>
        <w:spacing w:before="0" w:after="160"/>
        <w:ind w:left="360" w:hanging="259"/>
        <w:jc w:val="center"/>
        <w:keepNext w:val="0"/>
        <w:keepLines/>
        <w:widowControl w:val="1"/>
      </w:pPr>
      <w:bookmarkStart w:id="111"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11"/>
    </w:p>
    <w:p>
      <w:pPr>
        <w:pStyle w:val="Subtitle"/>
        <w:numPr>
          <w:ilvl w:val="0"/>
          <w:numId w:val="1004"/>
        </w:numPr>
        <w:spacing w:before="0" w:after="160"/>
        <w:ind w:left="360" w:hanging="259"/>
        <w:jc w:val="center"/>
        <w:keepNext w:val="0"/>
        <w:keepLines/>
        <w:widowControl w:val="1"/>
      </w:pPr>
      <w:bookmarkStart w:id="112"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12"/>
    </w:p>
    <w:p>
      <w:pPr>
        <w:pStyle w:val="Subtitle"/>
        <w:numPr>
          <w:ilvl w:val="0"/>
          <w:numId w:val="1004"/>
        </w:numPr>
        <w:spacing w:before="0" w:after="160"/>
        <w:ind w:left="360" w:hanging="259"/>
        <w:jc w:val="center"/>
        <w:keepNext w:val="0"/>
        <w:keepLines/>
        <w:widowControl w:val="1"/>
      </w:pPr>
      <w:bookmarkStart w:id="113"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13"/>
    </w:p>
    <w:p>
      <w:pPr>
        <w:pStyle w:val="Subtitle"/>
        <w:numPr>
          <w:ilvl w:val="0"/>
          <w:numId w:val="1004"/>
        </w:numPr>
        <w:spacing w:before="0" w:after="160"/>
        <w:ind w:left="360" w:hanging="259"/>
        <w:jc w:val="center"/>
        <w:keepNext w:val="0"/>
        <w:keepLines/>
        <w:widowControl w:val="1"/>
      </w:pPr>
      <w:bookmarkStart w:id="114"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14"/>
    </w:p>
    <w:p>
      <w:pPr>
        <w:pStyle w:val="Subtitle"/>
        <w:numPr>
          <w:ilvl w:val="0"/>
          <w:numId w:val="1004"/>
        </w:numPr>
        <w:spacing w:before="0" w:after="160"/>
        <w:ind w:left="360" w:hanging="259"/>
        <w:jc w:val="center"/>
        <w:keepNext w:val="0"/>
        <w:keepLines/>
        <w:widowControl w:val="1"/>
      </w:pPr>
      <w:bookmarkStart w:id="115"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115"/>
    </w:p>
    <w:p>
      <w:pPr>
        <w:pStyle w:val="Subtitle"/>
        <w:numPr>
          <w:ilvl w:val="0"/>
          <w:numId w:val="1004"/>
        </w:numPr>
        <w:spacing w:before="0" w:after="160"/>
        <w:ind w:left="360" w:hanging="259"/>
        <w:jc w:val="center"/>
        <w:keepNext w:val="0"/>
        <w:keepLines/>
        <w:widowControl w:val="1"/>
      </w:pPr>
      <w:bookmarkStart w:id="116"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116"/>
    </w:p>
    <w:p>
      <w:pPr>
        <w:pStyle w:val="Subtitle"/>
        <w:numPr>
          <w:ilvl w:val="0"/>
          <w:numId w:val="1004"/>
        </w:numPr>
        <w:spacing w:before="0" w:after="160"/>
        <w:ind w:left="360" w:hanging="259"/>
        <w:jc w:val="center"/>
        <w:keepNext w:val="0"/>
        <w:keepLines/>
        <w:widowControl w:val="1"/>
      </w:pPr>
      <w:bookmarkStart w:id="117"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117"/>
    </w:p>
    <w:p>
      <w:pPr>
        <w:pStyle w:val="Subtitle"/>
        <w:numPr>
          <w:ilvl w:val="0"/>
          <w:numId w:val="1004"/>
        </w:numPr>
        <w:spacing w:before="0" w:after="160"/>
        <w:ind w:left="360" w:hanging="259"/>
        <w:jc w:val="center"/>
        <w:keepNext w:val="0"/>
        <w:keepLines/>
        <w:widowControl w:val="1"/>
      </w:pPr>
      <w:bookmarkStart w:id="118"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118"/>
    </w:p>
    <w:p>
      <w:pPr>
        <w:pStyle w:val="Subtitle"/>
        <w:numPr>
          <w:ilvl w:val="0"/>
          <w:numId w:val="1004"/>
        </w:numPr>
        <w:spacing w:before="0" w:after="160"/>
        <w:ind w:left="360" w:hanging="259"/>
        <w:jc w:val="center"/>
        <w:keepNext w:val="0"/>
        <w:keepLines/>
        <w:widowControl w:val="1"/>
      </w:pPr>
      <w:bookmarkStart w:id="119"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19"/>
    </w:p>
    <w:p>
      <w:pPr>
        <w:pStyle w:val="Subtitle"/>
        <w:numPr>
          <w:ilvl w:val="0"/>
          <w:numId w:val="1004"/>
        </w:numPr>
        <w:spacing w:before="0" w:after="160"/>
        <w:ind w:left="360" w:hanging="259"/>
        <w:jc w:val="center"/>
        <w:keepNext w:val="0"/>
        <w:keepLines/>
        <w:widowControl w:val="1"/>
      </w:pPr>
      <w:bookmarkStart w:id="120"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120"/>
    </w:p>
    <w:bookmarkEnd w:id="12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0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58" Type="http://schemas.openxmlformats.org/officeDocument/2006/relationships/hyperlink" Target="https://www.daylight.com/dayhtml/doc/theory/theory.smarts.html" TargetMode="External"/><Relationship Id="rId81"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58" Type="http://schemas.openxmlformats.org/officeDocument/2006/relationships/hyperlink" Target="https://www.daylight.com/dayhtml/doc/theory/theory.smarts.html" TargetMode="External"/><Relationship Id="rId81"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2026-07-31T17:43:26Z</dcterms:created>
  <dcterms:modified xsi:type="dcterms:W3CDTF">2026-07-31T17:43:26Z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