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Supplementary Information</w:t>
      </w:r>
    </w:p>
    <w:p w14:paraId="12ABEACC" w14:textId="77777777" w:rsidR="009323F1" w:rsidRPr="00AF0422" w:rsidRDefault="009323F1" w:rsidP="009323F1">
      <w:pPr>
        <w:pStyle w:val="MDPI12title"/>
      </w:pPr>
      <w:r>
        <w:rPr>
          <w:b w:val="0"/>
        </w:rPr>
        <w:t>Supplementary Information for: Domain-Gated Latent Diffusion for the Inverse Design of Novel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Afeka Tel-Aviv College of Engineering, Tel-Aviv, Israel; 2 Holon Institute of Technology (HIT), Holon, Israel</w:t>
      </w:r>
    </w:p>
    <w:p w14:paraId="55E597B5" w14:textId="77777777" w:rsidR="009323F1" w:rsidRPr="00AF0422" w:rsidRDefault="009323F1" w:rsidP="009323F1">
      <w:pPr>
        <w:pStyle w:val="MDPI16affiliation"/>
      </w:pPr>
      <w:r>
        <w:rPr>
          <w:b w:val="0"/>
        </w:rPr>
        <w:t>* Correspondence: apersteiny@afeka.ac.il</w:t>
      </w:r>
    </w:p>
    <w:bookmarkEnd w:id="2"/>
    <w:bookmarkEnd w:id="3"/>
    <w:bookmarkEnd w:id="4"/>
    <w:p>
      <w:pPr>
        <w:pStyle w:val="MDPI21heading1"/>
        <w:ind w:left="2608"/>
      </w:pPr>
      <w:r>
        <w:t xml:space="preserve">Supplementary Notes</w:t>
      </w:r>
    </w:p>
    <w:p>
      <w:pPr>
        <w:pStyle w:val="MDPI22heading2"/>
        <w:ind w:left="2608"/>
      </w:pPr>
      <w:r>
        <w:t xml:space="preserve">A. Dataset details</w:t>
      </w:r>
    </w:p>
    <w:p>
      <w:pPr>
        <w:pStyle w:val="MDPI23heading3"/>
        <w:ind w:left="2608"/>
      </w:pPr>
      <w:r>
        <w:t xml:space="preserve">A.1 Data sources and provenance</w:t>
      </w:r>
    </w:p>
    <w:p>
      <w:pPr>
        <w:pStyle w:val="MDPI18keywords"/>
        <w:ind w:left="2608"/>
      </w:pPr>
      <w:r>
        <w:t xml:space="preserve">The labelled master, the unlabelled SMILES dump, and the motif-augmented expansion (Section 4) are assembled from the following public and quasi-public sources. Per-source row counts are post-canonicalisation, post-charge-filter, and post-token-length filter; they sum to more than the master because most molecules carry labels from several sources.</w:t>
      </w:r>
    </w:p>
    <w:p>
      <w:pPr>
        <w:pStyle w:val="MDPI18keywords"/>
        <w:ind w:left="2608"/>
      </w:pPr>
      <w:r>
        <w:rPr>
          <w:b/>
          <w:bCs/>
        </w:rPr>
        <w:t xml:space="preserve">Table A.1.</w:t>
      </w:r>
      <w:r>
        <w:t xml:space="preserve"> </w:t>
      </w:r>
      <w:r>
        <w:t xml:space="preserve">Per-source provenance of the labelled master, the unlabelled SMILES dump, and the motif-augmented expansion. Row counts are in the deduplicated 65 980-row master; a row can contribute labels at several tiers across different properties, so the tier counts do not partition the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73"/>
        <w:gridCol w:w="2831"/>
        <w:gridCol w:w="1135"/>
        <w:gridCol w:w="1082"/>
        <w:gridCol w:w="1637"/>
      </w:tblGrid>
      <w:tr>
        <w:trPr>
          <w:tblHeader w:val="on"/>
        </w:trPr>
        <w:tc>
          <w:tcPr>
            <w:tcBorders>
              <w:bottom w:val="single" w:sz="8" w:space="0" w:color="auto"/>
            </w:tcBorders>
            <w:vAlign w:val="center"/>
          </w:tcPr>
          <w:p>
            <w:pPr>
              <w:pStyle w:val="Compact"/>
              <w:suppressAutoHyphens/>
              <w:jc w:val="center"/>
            </w:pPr>
            <w:r>
              <w:rPr>
                <w:b/>
                <w:sz w:val="18"/>
                <w:szCs w:val="18"/>
              </w:rPr>
              <w:t xml:space="preserve">Role</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Approx. rows contributed</w:t>
            </w:r>
          </w:p>
        </w:tc>
        <w:tc>
          <w:tcPr>
            <w:tcBorders>
              <w:bottom w:val="single" w:sz="8" w:space="0" w:color="auto"/>
            </w:tcBorders>
            <w:vAlign w:val="center"/>
          </w:tcPr>
          <w:p>
            <w:pPr>
              <w:pStyle w:val="Compact"/>
              <w:suppressAutoHyphens/>
              <w:jc w:val="center"/>
            </w:pPr>
            <w:r>
              <w:rPr>
                <w:b/>
                <w:sz w:val="18"/>
                <w:szCs w:val="18"/>
              </w:rPr>
              <w:t xml:space="preserve">Tier(s)</w:t>
            </w:r>
          </w:p>
        </w:tc>
        <w:tc>
          <w:tcPr>
            <w:tcBorders>
              <w:bottom w:val="single" w:sz="8" w:space="0" w:color="auto"/>
            </w:tcBorders>
            <w:vAlign w:val="center"/>
          </w:tcPr>
          <w:p>
            <w:pPr>
              <w:pStyle w:val="Compact"/>
              <w:suppressAutoHyphens/>
              <w:jc w:val="center"/>
            </w:pPr>
            <w:r>
              <w:rPr>
                <w:b/>
                <w:sz w:val="18"/>
                <w:szCs w:val="18"/>
              </w:rPr>
              <w:t xml:space="preserve">Citation</w:t>
            </w:r>
          </w:p>
        </w:tc>
      </w:tr>
      <w:tr>
        <w:tc>
          <w:tcPr>
            <w:vAlign w:val="center"/>
          </w:tcPr>
          <w:p>
            <w:pPr>
              <w:pStyle w:val="Compact"/>
              <w:suppressAutoHyphens/>
              <w:jc w:val="center"/>
            </w:pPr>
            <w:r>
              <w:rPr>
                <w:sz w:val="18"/>
                <w:szCs w:val="18"/>
              </w:rPr>
              <w:t xml:space="preserve">Labelled master (energetics)</w:t>
            </w:r>
          </w:p>
        </w:tc>
        <w:tc>
          <w:tcPr>
            <w:vAlign w:val="center"/>
          </w:tcPr>
          <w:p>
            <w:pPr>
              <w:pStyle w:val="Compact"/>
              <w:suppressAutoHyphens/>
              <w:jc w:val="center"/>
            </w:pPr>
            <w:r>
              <w:rPr>
                <w:sz w:val="18"/>
                <w:szCs w:val="18"/>
              </w:rPr>
              <w:t xml:space="preserve">Experimental crystallographic densities (Davis et al. 2024, cm4c01978 SI) plus measured</w:t>
            </w:r>
            <w:r>
              <w:rPr>
                <w:sz w:val="18"/>
                <w:szCs w:val="18"/>
              </w:rPr>
              <w:t xml:space="preserve"> </w:t>
            </w:r>
            <m:oMath>
              <m:r>
                <w:rPr>
                  <w:sz w:val="18"/>
                  <w:szCs w:val="18"/>
                </w:rPr>
                <m:t>ρ</m:t>
              </m:r>
            </m:oMath>
            <w:r>
              <w:rPr>
                <w:sz w:val="18"/>
                <w:szCs w:val="18"/>
              </w:rPr>
              <w:t xml:space="preserve">,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hand-compiled from Klapötke (2019), Cooper (1996), and the LLNL Explosives Handbook (Dobratz &amp; Crawford 1985)</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hyperlink w:anchor="ref-emdb">
              <w:r>
                <w:rPr>
                  <w:rStyle w:val="Hyperlink"/>
                  <w:sz w:val="18"/>
                  <w:szCs w:val="18"/>
                </w:rPr>
                <w:t xml:space="preserve">[60]</w:t>
              </w:r>
            </w:hyperlink>
            <w:r>
              <w:rPr>
                <w:sz w:val="18"/>
                <w:szCs w:val="18"/>
              </w:rPr>
              <w:t xml:space="preserve">,</w:t>
            </w:r>
            <w:r>
              <w:rPr>
                <w:sz w:val="18"/>
                <w:szCs w:val="18"/>
              </w:rPr>
              <w:t xml:space="preserve"> </w:t>
            </w:r>
            <w:hyperlink w:anchor="ref-mlcrystdens-cm-2024">
              <w:r>
                <w:rPr>
                  <w:rStyle w:val="Hyperlink"/>
                  <w:sz w:val="18"/>
                  <w:szCs w:val="18"/>
                </w:rPr>
                <w:t xml:space="preserve">[71]</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Thermochemical detonation-property dataset (curated CHNO + CHNOClF subset;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on an EXPLO5 train/test split)</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hyperlink w:anchor="ref-npjcompmat2025">
              <w:r>
                <w:rPr>
                  <w:rStyle w:val="Hyperlink"/>
                  <w:sz w:val="18"/>
                  <w:szCs w:val="18"/>
                </w:rPr>
                <w:t xml:space="preserve">[npjcompmat2025]</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Kamlet–Jacobs derived rows: density and HOF from literature compilations propagated through the K-J equation to give surrogate</w:t>
            </w:r>
            <w:r>
              <w:rPr>
                <w:sz w:val="18"/>
                <w:szCs w:val="18"/>
              </w:rPr>
              <w:t xml:space="preserve"> </w:t>
            </w:r>
            <m:oMath>
              <m:r>
                <w:rPr>
                  <w:sz w:val="18"/>
                  <w:szCs w:val="18"/>
                </w:rPr>
                <m:t>D</m:t>
              </m:r>
              <m:r>
                <w:rPr>
                  <w:sz w:val="18"/>
                  <w:szCs w:val="18"/>
                </w:rPr>
                <m:rPr>
                  <m:sty m:val="p"/>
                </m:rPr>
                <m:t>,</m:t>
              </m:r>
              <m:r>
                <w:rPr>
                  <w:sz w:val="18"/>
                  <w:szCs w:val="18"/>
                </w:rPr>
                <m:t>P</m:t>
              </m:r>
            </m:oMath>
            <w:r>
              <w:rPr>
                <w:sz w:val="18"/>
                <w:szCs w:val="18"/>
              </w:rPr>
              <w:t xml:space="preserve"> </w:t>
            </w:r>
            <w:r>
              <w:rPr>
                <w:sz w:val="18"/>
                <w:szCs w:val="18"/>
              </w:rPr>
              <w:t xml:space="preserve">(densities and HOF from Davis et al. 2024, cm4c01978 SI)</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hyperlink w:anchor="ref-kamlet1968detonation">
              <w:r>
                <w:rPr>
                  <w:rStyle w:val="Hyperlink"/>
                  <w:sz w:val="18"/>
                  <w:szCs w:val="18"/>
                </w:rPr>
                <w:t xml:space="preserve">[62]</w:t>
              </w:r>
            </w:hyperlink>
            <w:r>
              <w:rPr>
                <w:sz w:val="18"/>
                <w:szCs w:val="18"/>
              </w:rPr>
              <w:t xml:space="preserve">,</w:t>
            </w:r>
            <w:r>
              <w:rPr>
                <w:sz w:val="18"/>
                <w:szCs w:val="18"/>
              </w:rPr>
              <w:t xml:space="preserve"> </w:t>
            </w:r>
            <w:hyperlink w:anchor="ref-mlcrystdens-cm-2024">
              <w:r>
                <w:rPr>
                  <w:rStyle w:val="Hyperlink"/>
                  <w:sz w:val="18"/>
                  <w:szCs w:val="18"/>
                </w:rPr>
                <w:t xml:space="preserve">[71]</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ML surrogate labels: in-house 3D-CNN smoke ensemble (trained on the union of A+B+C, eight outputs, 5-fold CV</w:t>
            </w:r>
            <w:r>
              <w:rPr>
                <w:sz w:val="18"/>
                <w:szCs w:val="18"/>
              </w:rPr>
              <w:t xml:space="preserve"> </w:t>
            </w:r>
            <m:oMath>
              <m:sSup>
                <m:e>
                  <m:r>
                    <w:rPr>
                      <w:sz w:val="18"/>
                      <w:szCs w:val="18"/>
                    </w:rPr>
                    <m:t>R</m:t>
                  </m:r>
                </m:e>
                <m:sup>
                  <m:r>
                    <w:rPr>
                      <w:sz w:val="18"/>
                      <w:szCs w:val="18"/>
                    </w:rPr>
                    <m:t>2</m:t>
                  </m:r>
                </m:sup>
              </m:sSup>
              <m:r>
                <w:rPr>
                  <w:sz w:val="18"/>
                  <w:szCs w:val="18"/>
                </w:rPr>
                <m:rPr>
                  <m:sty m:val="p"/>
                </m:rPr>
                <m:t>=</m:t>
              </m:r>
              <m:r>
                <w:rPr>
                  <w:sz w:val="18"/>
                  <w:szCs w:val="18"/>
                </w:rPr>
                <m:t>0.84</m:t>
              </m:r>
              <m:r>
                <w:rPr>
                  <w:sz w:val="18"/>
                  <w:szCs w:val="18"/>
                </w:rPr>
                <m:rPr>
                  <m:nor/>
                  <m:sty m:val="p"/>
                </m:rPr>
                <m:t>–</m:t>
              </m:r>
              <m:r>
                <w:rPr>
                  <w:sz w:val="18"/>
                  <w:szCs w:val="18"/>
                </w:rPr>
                <m:t>0.92</m:t>
              </m:r>
            </m:oMath>
            <w:r>
              <w:rPr>
                <w:sz w:val="18"/>
                <w:szCs w:val="18"/>
              </w:rPr>
              <w:t xml:space="preserve">) plus generative-model predictions (MDGNN, de-novo RL/TL sampling, q-RASPR), used to label rows with no higher-tier source</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this work,</w:t>
            </w:r>
            <w:r>
              <w:rPr>
                <w:sz w:val="18"/>
                <w:szCs w:val="18"/>
              </w:rPr>
              <w:t xml:space="preserve"> </w:t>
            </w:r>
            <w:hyperlink w:anchor="ref-casey2020prediction">
              <w:r>
                <w:rPr>
                  <w:rStyle w:val="Hyperlink"/>
                  <w:sz w:val="18"/>
                  <w:szCs w:val="18"/>
                </w:rPr>
                <w:t xml:space="preserve">[15]</w:t>
              </w:r>
            </w:hyperlink>
          </w:p>
        </w:tc>
      </w:tr>
      <w:tr>
        <w:tc>
          <w:tcPr>
            <w:vAlign w:val="center"/>
          </w:tcPr>
          <w:p>
            <w:pPr>
              <w:pStyle w:val="Compact"/>
              <w:suppressAutoHyphens/>
              <w:jc w:val="center"/>
            </w:pPr>
            <w:r>
              <w:rPr>
                <w:sz w:val="18"/>
                <w:szCs w:val="18"/>
              </w:rPr>
              <w:t xml:space="preserve">Negatives for viability classifier</w:t>
            </w:r>
          </w:p>
        </w:tc>
        <w:tc>
          <w:tcPr>
            <w:vAlign w:val="center"/>
          </w:tcPr>
          <w:p>
            <w:pPr>
              <w:pStyle w:val="Compact"/>
              <w:suppressAutoHyphens/>
              <w:jc w:val="center"/>
            </w:pPr>
            <w:r>
              <w:rPr>
                <w:sz w:val="18"/>
                <w:szCs w:val="18"/>
              </w:rPr>
              <w:t xml:space="preserve">ZINC-15 random subsample (drug-like, neutral, MW &lt; 500), used as inert chemistry against which the RandomForest viability classifier is trained</w:t>
            </w:r>
          </w:p>
        </w:tc>
        <w:tc>
          <w:tcPr>
            <w:vAlign w:val="center"/>
          </w:tcPr>
          <w:p>
            <w:pPr>
              <w:pStyle w:val="Compact"/>
              <w:suppressAutoHyphens/>
              <w:jc w:val="center"/>
            </w:pPr>
            <w:r>
              <w:rPr>
                <w:sz w:val="18"/>
                <w:szCs w:val="18"/>
              </w:rPr>
              <w:t xml:space="preserve">80 000</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sterling2015zinc">
              <w:r>
                <w:rPr>
                  <w:rStyle w:val="Hyperlink"/>
                  <w:sz w:val="18"/>
                  <w:szCs w:val="18"/>
                </w:rPr>
                <w:t xml:space="preserve">[22]</w:t>
              </w:r>
            </w:hyperlink>
          </w:p>
        </w:tc>
      </w:tr>
      <w:tr>
        <w:tc>
          <w:tcPr>
            <w:vAlign w:val="center"/>
          </w:tcPr>
          <w:p>
            <w:pPr>
              <w:pStyle w:val="Compact"/>
              <w:suppressAutoHyphens/>
              <w:jc w:val="center"/>
            </w:pPr>
            <w:r>
              <w:rPr>
                <w:sz w:val="18"/>
                <w:szCs w:val="18"/>
              </w:rPr>
              <w:t xml:space="preserve">Hard negatives</w:t>
            </w:r>
          </w:p>
        </w:tc>
        <w:tc>
          <w:tcPr>
            <w:vAlign w:val="center"/>
          </w:tcPr>
          <w:p>
            <w:pPr>
              <w:pStyle w:val="Compact"/>
              <w:suppressAutoHyphens/>
              <w:jc w:val="center"/>
            </w:pPr>
            <w:r>
              <w:rPr>
                <w:sz w:val="18"/>
                <w:szCs w:val="18"/>
              </w:rPr>
              <w:t xml:space="preserve">Cheats mined from earlier generation pools (gem-tetranitro on small rings, polyazene chains, trinitromethane, gem-dinitrocyclopropane, etc.), encoded through LIMO and used as viab=0 latents in score-model training</w:t>
            </w:r>
          </w:p>
        </w:tc>
        <w:tc>
          <w:tcPr>
            <w:vAlign w:val="center"/>
          </w:tcPr>
          <w:p>
            <w:pPr>
              <w:pStyle w:val="Compact"/>
              <w:suppressAutoHyphens/>
              <w:jc w:val="center"/>
            </w:pPr>
            <w:r>
              <w:rPr>
                <w:sz w:val="18"/>
                <w:szCs w:val="18"/>
              </w:rPr>
              <w:t xml:space="preserve">918</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this work, Section 4</w:t>
            </w:r>
          </w:p>
        </w:tc>
      </w:tr>
      <w:tr>
        <w:tc>
          <w:tcPr>
            <w:vAlign w:val="center"/>
          </w:tcPr>
          <w:p>
            <w:pPr>
              <w:pStyle w:val="Compact"/>
              <w:suppressAutoHyphens/>
              <w:jc w:val="center"/>
            </w:pPr>
            <w:r>
              <w:rPr>
                <w:sz w:val="18"/>
                <w:szCs w:val="18"/>
              </w:rPr>
              <w:t xml:space="preserve">Hazard SMARTS catalog</w:t>
            </w:r>
          </w:p>
        </w:tc>
        <w:tc>
          <w:tcPr>
            <w:vAlign w:val="center"/>
          </w:tcPr>
          <w:p>
            <w:pPr>
              <w:pStyle w:val="Compact"/>
              <w:suppressAutoHyphens/>
              <w:jc w:val="center"/>
            </w:pPr>
            <w:r>
              <w:rPr>
                <w:sz w:val="18"/>
                <w:szCs w:val="18"/>
              </w:rPr>
              <w:t xml:space="preserve">NIST CAMEO Chemicals reactivity database + ChemAxon “dangerous reactivity” SMARTS, distilled into the Bruns–Watson demerit catalog used by the SMARTS gate</w:t>
            </w:r>
          </w:p>
        </w:tc>
        <w:tc>
          <w:tcPr>
            <w:vAlign w:val="center"/>
          </w:tcPr>
          <w:p>
            <w:pPr>
              <w:pStyle w:val="Compact"/>
              <w:suppressAutoHyphens/>
              <w:jc w:val="center"/>
            </w:pPr>
            <w:r>
              <w:rPr>
                <w:sz w:val="18"/>
                <w:szCs w:val="18"/>
              </w:rPr>
              <w:t xml:space="preserve">n/a (rules)</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cameo">
              <w:r>
                <w:rPr>
                  <w:rStyle w:val="Hyperlink"/>
                  <w:sz w:val="18"/>
                  <w:szCs w:val="18"/>
                </w:rPr>
                <w:t xml:space="preserve">[63]</w:t>
              </w:r>
            </w:hyperlink>
            <w:r>
              <w:rPr>
                <w:sz w:val="18"/>
                <w:szCs w:val="18"/>
              </w:rPr>
              <w:t xml:space="preserve">,</w:t>
            </w:r>
            <w:r>
              <w:rPr>
                <w:sz w:val="18"/>
                <w:szCs w:val="18"/>
              </w:rPr>
              <w:t xml:space="preserve"> </w:t>
            </w:r>
            <w:hyperlink w:anchor="ref-bruns2020watson">
              <w:r>
                <w:rPr>
                  <w:rStyle w:val="Hyperlink"/>
                  <w:sz w:val="18"/>
                  <w:szCs w:val="18"/>
                </w:rPr>
                <w:t xml:space="preserve">[64]</w:t>
              </w:r>
            </w:hyperlink>
          </w:p>
        </w:tc>
      </w:tr>
      <w:tr>
        <w:tc>
          <w:tcPr>
            <w:vAlign w:val="center"/>
          </w:tcPr>
          <w:p>
            <w:pPr>
              <w:pStyle w:val="Compact"/>
              <w:suppressAutoHyphens/>
              <w:jc w:val="center"/>
            </w:pPr>
            <w:r>
              <w:rPr>
                <w:sz w:val="18"/>
                <w:szCs w:val="18"/>
              </w:rPr>
              <w:t xml:space="preserve">Unlabelled domain corpus</w:t>
            </w:r>
          </w:p>
        </w:tc>
        <w:tc>
          <w:tcPr>
            <w:vAlign w:val="center"/>
          </w:tcPr>
          <w:p>
            <w:pPr>
              <w:pStyle w:val="Compact"/>
              <w:suppressAutoHyphens/>
              <w:jc w:val="center"/>
            </w:pPr>
            <w:r>
              <w:rPr>
                <w:sz w:val="18"/>
                <w:szCs w:val="18"/>
              </w:rPr>
              <w:t xml:space="preserve">Augmented CHNO / CHNOClF SMILES dump assembled from public energetic-chemistry compilations (Klapötke reviews, patent-extracted SMILES, energetic-materials review papers); used only for the unconditional prior</w:t>
            </w:r>
          </w:p>
        </w:tc>
        <w:tc>
          <w:tcPr>
            <w:vAlign w:val="center"/>
          </w:tcPr>
          <w:p>
            <w:pPr>
              <w:pStyle w:val="Compact"/>
              <w:suppressAutoHyphens/>
              <w:jc w:val="center"/>
            </w:pPr>
            <w:r>
              <w:rPr>
                <w:sz w:val="18"/>
                <w:szCs w:val="18"/>
              </w:rPr>
              <w:t xml:space="preserve">~380 000</w:t>
            </w:r>
          </w:p>
        </w:tc>
        <w:tc>
          <w:tcPr>
            <w:vAlign w:val="center"/>
          </w:tcPr>
          <w:p>
            <w:pPr>
              <w:pStyle w:val="Compact"/>
              <w:suppressAutoHyphens/>
              <w:jc w:val="center"/>
            </w:pPr>
            <w:r>
              <w:rPr>
                <w:sz w:val="18"/>
                <w:szCs w:val="18"/>
              </w:rPr>
              <w:t xml:space="preserve">none</w:t>
            </w:r>
          </w:p>
        </w:tc>
        <w:tc>
          <w:tcPr>
            <w:vAlign w:val="center"/>
          </w:tcPr>
          <w:p>
            <w:pPr>
              <w:pStyle w:val="Compact"/>
              <w:suppressAutoHyphens/>
              <w:jc w:val="center"/>
            </w:pPr>
            <w:hyperlink w:anchor="ref-klapotke2017nitrogen">
              <w:r>
                <w:rPr>
                  <w:rStyle w:val="Hyperlink"/>
                  <w:sz w:val="18"/>
                  <w:szCs w:val="18"/>
                </w:rPr>
                <w:t xml:space="preserve">[58]</w:t>
              </w:r>
            </w:hyperlink>
          </w:p>
        </w:tc>
      </w:tr>
      <w:tr>
        <w:tc>
          <w:tcPr>
            <w:vAlign w:val="center"/>
          </w:tcPr>
          <w:p>
            <w:pPr>
              <w:pStyle w:val="Compact"/>
              <w:suppressAutoHyphens/>
              <w:jc w:val="center"/>
            </w:pPr>
            <w:r>
              <w:rPr>
                <w:sz w:val="18"/>
                <w:szCs w:val="18"/>
              </w:rPr>
              <w:t xml:space="preserve">Motif-augmented expansion</w:t>
            </w:r>
          </w:p>
        </w:tc>
        <w:tc>
          <w:tcPr>
            <w:vAlign w:val="center"/>
          </w:tcPr>
          <w:p>
            <w:pPr>
              <w:pStyle w:val="Compact"/>
              <w:suppressAutoHyphens/>
              <w:jc w:val="center"/>
            </w:pPr>
            <w:r>
              <w:rPr>
                <w:sz w:val="18"/>
                <w:szCs w:val="18"/>
              </w:rPr>
              <w:t xml:space="preserve">Programmatic substitution of nitro, nitramine, azide, cyano, tetrazole, oxadiazole groups onto the labelled master scaffolds, then re-canonicalised and de-duplicated</w:t>
            </w:r>
          </w:p>
        </w:tc>
        <w:tc>
          <w:tcPr>
            <w:vAlign w:val="center"/>
          </w:tcPr>
          <w:p>
            <w:pPr>
              <w:pStyle w:val="Compact"/>
              <w:suppressAutoHyphens/>
              <w:jc w:val="center"/>
            </w:pPr>
            <w:r>
              <w:rPr>
                <w:sz w:val="18"/>
                <w:szCs w:val="18"/>
              </w:rPr>
              <w:t xml:space="preserve">~1.08 M</w:t>
            </w:r>
          </w:p>
        </w:tc>
        <w:tc>
          <w:tcPr>
            <w:vAlign w:val="center"/>
          </w:tcPr>
          <w:p>
            <w:pPr>
              <w:pStyle w:val="Compact"/>
              <w:suppressAutoHyphens/>
              <w:jc w:val="center"/>
            </w:pPr>
            <w:r>
              <w:rPr>
                <w:sz w:val="18"/>
                <w:szCs w:val="18"/>
              </w:rPr>
              <w:t xml:space="preserve">none (only used in unlabelled prior)</w:t>
            </w:r>
          </w:p>
        </w:tc>
        <w:tc>
          <w:tcPr>
            <w:vAlign w:val="center"/>
          </w:tcPr>
          <w:p>
            <w:pPr>
              <w:pStyle w:val="Compact"/>
              <w:suppressAutoHyphens/>
              <w:jc w:val="center"/>
            </w:pPr>
            <w:r>
              <w:rPr>
                <w:sz w:val="18"/>
                <w:szCs w:val="18"/>
              </w:rPr>
              <w:t xml:space="preserve">this work</w:t>
            </w:r>
          </w:p>
        </w:tc>
      </w:tr>
      <w:tr>
        <w:tc>
          <w:tcPr>
            <w:vAlign w:val="center"/>
          </w:tcPr>
          <w:p>
            <w:pPr>
              <w:pStyle w:val="Compact"/>
              <w:suppressAutoHyphens/>
              <w:jc w:val="center"/>
            </w:pPr>
            <w:r>
              <w:rPr>
                <w:sz w:val="18"/>
                <w:szCs w:val="18"/>
              </w:rPr>
              <w:t xml:space="preserve">External novelty database</w:t>
            </w:r>
          </w:p>
        </w:tc>
        <w:tc>
          <w:tcPr>
            <w:vAlign w:val="center"/>
          </w:tcPr>
          <w:p>
            <w:pPr>
              <w:pStyle w:val="Compact"/>
              <w:suppressAutoHyphens/>
              <w:jc w:val="center"/>
            </w:pPr>
            <w:r>
              <w:rPr>
                <w:sz w:val="18"/>
                <w:szCs w:val="18"/>
              </w:rPr>
              <w:t xml:space="preserve">PubChem 2023 (PUG REST query on canonical SMILES) used to assess novelty of generated leads, not for training</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kim2023pubchem">
              <w:r>
                <w:rPr>
                  <w:rStyle w:val="Hyperlink"/>
                  <w:sz w:val="18"/>
                  <w:szCs w:val="18"/>
                </w:rPr>
                <w:t xml:space="preserve">[23]</w:t>
              </w:r>
            </w:hyperlink>
          </w:p>
        </w:tc>
      </w:tr>
      <w:tr>
        <w:tc>
          <w:tcPr>
            <w:vAlign w:val="center"/>
          </w:tcPr>
          <w:p>
            <w:pPr>
              <w:pStyle w:val="Compact"/>
              <w:suppressAutoHyphens/>
              <w:jc w:val="center"/>
            </w:pPr>
            <w:r>
              <w:rPr>
                <w:sz w:val="18"/>
                <w:szCs w:val="18"/>
              </w:rPr>
              <w:t xml:space="preserve">Stability triage tool</w:t>
            </w:r>
          </w:p>
        </w:tc>
        <w:tc>
          <w:tcPr>
            <w:vAlign w:val="center"/>
          </w:tcPr>
          <w:p>
            <w:pPr>
              <w:pStyle w:val="Compact"/>
              <w:suppressAutoHyphens/>
              <w:jc w:val="center"/>
            </w:pPr>
            <w:r>
              <w:rPr>
                <w:sz w:val="18"/>
                <w:szCs w:val="18"/>
              </w:rPr>
              <w:t xml:space="preserve">xTB 6.6.1 (GFN2-xTB) used at sample-time triage on top leads (</w:t>
            </w:r>
            <m:oMath>
              <m:r>
                <w:rPr>
                  <w:sz w:val="18"/>
                  <w:szCs w:val="18"/>
                </w:rPr>
                <m:rPr>
                  <m:sty m:val="p"/>
                </m:rPr>
                <m:t>≤</m:t>
              </m:r>
            </m:oMath>
            <w:r>
              <w:rPr>
                <w:sz w:val="18"/>
                <w:szCs w:val="18"/>
              </w:rPr>
              <w:t xml:space="preserve">100 candidates), not in the training set</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bannwarth2019gfn2">
              <w:r>
                <w:rPr>
                  <w:rStyle w:val="Hyperlink"/>
                  <w:sz w:val="18"/>
                  <w:szCs w:val="18"/>
                </w:rPr>
                <w:t xml:space="preserve">[65]</w:t>
              </w:r>
            </w:hyperlink>
          </w:p>
        </w:tc>
      </w:tr>
    </w:tbl>
    <w:p>
      <w:pPr>
        <w:pStyle w:val="MDPI18keywords"/>
        <w:ind w:left="2608"/>
      </w:pPr>
      <w:r>
        <w:rPr>
          <w:b/>
          <w:bCs/>
        </w:rPr>
        <w:t xml:space="preserve">What is and is not in the master.</w:t>
      </w:r>
      <w:r>
        <w:t xml:space="preserve"> </w:t>
      </w:r>
      <w:r>
        <w:t xml:space="preserve">The labelled master contains canonical, neutral, single-component CHNOClF SMILES with at least one of {density, HOF,</w:t>
      </w:r>
      <w:r>
        <w:t xml:space="preserve"> </w:t>
      </w:r>
      <m:oMath>
        <m:r>
          <m:t>D</m:t>
        </m:r>
      </m:oMath>
      <w:r>
        <w:t xml:space="preserve">,</w:t>
      </w:r>
      <w:r>
        <w:t xml:space="preserve"> </w:t>
      </w:r>
      <m:oMath>
        <m:r>
          <m:t>P</m:t>
        </m:r>
      </m:oMath>
      <w:r>
        <w:t xml:space="preserve">}. Salt fragments, mixtures, organometallics, isotopologues, and radicals are filtered. Per-row labels are aggregated to the highest-tier value available for each property; a row with experimental</w:t>
      </w:r>
      <w:r>
        <w:t xml:space="preserve"> </w:t>
      </w:r>
      <m:oMath>
        <m:r>
          <m:t>ρ</m:t>
        </m:r>
      </m:oMath>
      <w:r>
        <w:t xml:space="preserve"> </w:t>
      </w:r>
      <w:r>
        <w:t xml:space="preserve">(Tier A) and Kamlet–Jacobs</w:t>
      </w:r>
      <w:r>
        <w:t xml:space="preserve"> </w:t>
      </w:r>
      <m:oMath>
        <m:r>
          <m:t>P</m:t>
        </m:r>
      </m:oMath>
      <w:r>
        <w:t xml:space="preserve"> </w:t>
      </w:r>
      <w: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MDPI18keywords"/>
        <w:ind w:left="2608"/>
      </w:pPr>
      <w:r>
        <w:rPr>
          <w:b/>
          <w:bCs/>
        </w:rPr>
        <w:t xml:space="preserve">Row-count overlap and deduplication.</w:t>
      </w:r>
      <w:r>
        <w:t xml:space="preserve"> </w:t>
      </w:r>
      <w:r>
        <w:t xml:space="preserve">After cross-source canonical-SMILES deduplication the labelled master contains</w:t>
      </w:r>
      <w:r>
        <w:t xml:space="preserve"> </w:t>
      </w:r>
      <m:oMath>
        <m:r>
          <m:rPr>
            <m:sty m:val="p"/>
          </m:rPr>
          <m:t>∼</m:t>
        </m:r>
        <m:r>
          <m:t>65</m:t>
        </m:r>
        <m:r>
          <m:t> </m:t>
        </m:r>
        <m:r>
          <m:t>980</m:t>
        </m:r>
      </m:oMath>
      <w:r>
        <w:t xml:space="preserve"> </w:t>
      </w:r>
      <w:r>
        <w:t xml:space="preserve">unique molecules (Tier-A</w:t>
      </w:r>
      <w:r>
        <w:t xml:space="preserve"> </w:t>
      </w:r>
      <m:oMath>
        <m:r>
          <m:rPr>
            <m:sty m:val="p"/>
          </m:rPr>
          <m:t>∩</m:t>
        </m:r>
      </m:oMath>
      <w:r>
        <w:t xml:space="preserve"> </w:t>
      </w:r>
      <w:r>
        <w:t xml:space="preserve">Tier-B is small but non-zero:</w:t>
      </w:r>
      <w:r>
        <w:t xml:space="preserve"> </w:t>
      </w:r>
      <m:oMath>
        <m:r>
          <m:rPr>
            <m:sty m:val="p"/>
          </m:rPr>
          <m:t>∼</m:t>
        </m:r>
      </m:oMath>
      <w:r>
        <w:t xml:space="preserve">600 molecules carry both an experimental measurement and an independent DFT-derived label for at least one property; these contribute to a held-out cross-tier consistency check used during data-readiness audits). The unlabelled</w:t>
      </w:r>
      <w:r>
        <w:t xml:space="preserve"> </w:t>
      </w:r>
      <m:oMath>
        <m:r>
          <m:rPr>
            <m:sty m:val="p"/>
          </m:rPr>
          <m:t>∼</m:t>
        </m:r>
        <m:r>
          <m:t>380</m:t>
        </m:r>
        <m:r>
          <m:t> </m:t>
        </m:r>
      </m:oMath>
      <w:r>
        <w:t xml:space="preserve">k corpus and the motif-augmented</w:t>
      </w:r>
      <w:r>
        <w:t xml:space="preserve"> </w:t>
      </w:r>
      <m:oMath>
        <m:r>
          <m:rPr>
            <m:sty m:val="p"/>
          </m:rPr>
          <m:t>∼</m:t>
        </m:r>
        <m:r>
          <m:t>1.08</m:t>
        </m:r>
        <m:r>
          <m:t> </m:t>
        </m:r>
      </m:oMath>
      <w:r>
        <w:t xml:space="preserve">M expansion are deduplicated against the labelled master and against each other, yielding a final pretraining pool of</w:t>
      </w:r>
      <w:r>
        <w:t xml:space="preserve"> </w:t>
      </w:r>
      <m:oMath>
        <m:r>
          <m:rPr>
            <m:sty m:val="p"/>
          </m:rPr>
          <m:t>∼</m:t>
        </m:r>
        <m:r>
          <m:t>694</m:t>
        </m:r>
        <m:r>
          <m:t> </m:t>
        </m:r>
      </m:oMath>
      <w:r>
        <w:t xml:space="preserve">k unique canonical SMILES (this is the corpus referenced in the Section 2.4 Tanimoto stratification). Anchor compounds (RDX, HMX, TATB, FOX-7, PETN, NTO, TNT, etc.) appear in the labelled master and are</w:t>
      </w:r>
      <w:r>
        <w:t xml:space="preserve"> </w:t>
      </w:r>
      <w:r>
        <w:rPr>
          <w:i/>
          <w:iCs/>
        </w:rPr>
        <w:t xml:space="preserve">not</w:t>
      </w:r>
      <w:r>
        <w:t xml:space="preserve"> </w:t>
      </w:r>
      <w:r>
        <w:t xml:space="preserve">filtered from generation; their occasional surfacing in gated runs is a sanity-check rediscovery rather than a leak.</w:t>
      </w:r>
    </w:p>
    <w:p>
      <w:pPr>
        <w:pStyle w:val="MDPI23heading3"/>
        <w:ind w:left="2608"/>
      </w:pPr>
      <w:r>
        <w:t xml:space="preserve">A.2 Data preprocessing details</w:t>
      </w:r>
    </w:p>
    <w:p>
      <w:pPr>
        <w:pStyle w:val="MDPI18keywords"/>
        <w:ind w:left="2608"/>
      </w:pPr>
      <w: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 mol</w:t>
      </w:r>
      <w:r>
        <w:rPr>
          <w:vertAlign w:val="superscript"/>
        </w:rPr>
        <w:t xml:space="preserve">−1</w:t>
      </w:r>
      <w:r>
        <w:t xml:space="preserve">; densities in g cm</w:t>
      </w:r>
      <w:r>
        <w:rPr>
          <w:vertAlign w:val="superscript"/>
        </w:rPr>
        <w:t xml:space="preserve">−3</w:t>
      </w:r>
      <w:r>
        <w:t xml:space="preserve">; velocities in km s</w:t>
      </w:r>
      <w:r>
        <w:rPr>
          <w:vertAlign w:val="superscript"/>
        </w:rPr>
        <w:t xml:space="preserve">−1</w:t>
      </w:r>
      <w:r>
        <w:t xml:space="preserve">;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xmlns:a="http://schemas.openxmlformats.org/drawingml/2006/main" xmlns:pic="http://schemas.openxmlformats.org/drawingml/2006/picture">
      <w:pPr>
        <w:pStyle w:val="MDPI52figure"/>
        <w:ind w:left="2608"/>
        <w:jc w:val="center"/>
      </w:pPr>
      <w:r>
        <w:drawing>
          <wp:inline>
            <wp:extent cx="4989830" cy="1612338"/>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8"/>
                    <a:stretch>
                      <a:fillRect/>
                    </a:stretch>
                  </pic:blipFill>
                  <pic:spPr bwMode="auto">
                    <a:xfrm>
                      <a:off x="0" y="0"/>
                      <a:ext cx="4989830" cy="1612338"/>
                    </a:xfrm>
                    <a:prstGeom prst="rect">
                      <a:avLst/>
                    </a:prstGeom>
                    <a:noFill/>
                    <a:ln w="9525">
                      <a:noFill/>
                      <a:headEnd/>
                      <a:tailEnd/>
                    </a:ln>
                  </pic:spPr>
                </pic:pic>
              </a:graphicData>
            </a:graphic>
          </wp:inline>
        </w:drawing>
      </w:r>
    </w:p>
    <w:p>
      <w:pPr>
        <w:pStyle w:val="MDPI51figurecaption"/>
        <w:ind w:left="2608"/>
      </w:pPr>
      <w:r>
        <w:rPr>
          <w:b/>
          <w:bCs/>
        </w:rPr>
        <w:t xml:space="preserve">Figure S1.</w:t>
      </w:r>
      <w:r>
        <w:t xml:space="preserve"> </w:t>
      </w:r>
      <w:r>
        <w:t xml:space="preserve">Atom-composition statistics over a 30k subsample of the labelled corpus: molecular weight, nitro-group count, and joint C-vs-N atom counts. The corpus is heavily concentrated in CHNO chemistry with 2–6 nitro groups and MW between 150 and 350.</w:t>
      </w:r>
    </w:p>
    <w:p>
      <w:pPr>
        <w:pStyle w:val="MDPI22heading2"/>
        <w:ind w:left="2608"/>
      </w:pPr>
      <w:r>
        <w:t xml:space="preserve">B. Model architecture and hyperparameter values</w:t>
      </w:r>
    </w:p>
    <w:p>
      <w:pPr>
        <w:pStyle w:val="MDPI18keywords"/>
        <w:ind w:left="2608"/>
      </w:pPr>
      <w:r>
        <w:rPr>
          <w:b/>
          <w:bCs/>
        </w:rPr>
        <w:t xml:space="preserve">B.0 Architecture summary.</w:t>
      </w:r>
      <w:r>
        <w:t xml:space="preserve"> </w:t>
      </w:r>
      <w:r>
        <w:t xml:space="preserve">DGLD instantiates four neural networks plus two non-neural label sources. (1) The</w:t>
      </w:r>
      <w:r>
        <w:t xml:space="preserve"> </w:t>
      </w:r>
      <w:r>
        <w:rPr>
          <w:b/>
          <w:bCs/>
        </w:rPr>
        <w:t xml:space="preserve">LIMO SELFIES-VAE</w:t>
      </w:r>
      <w:r>
        <w:t xml:space="preserve"> </w:t>
      </w:r>
      <w:r>
        <w:t xml:space="preserve">(Fig 14) encodes every SMILES once into a deterministic 1024-d latent μ that the diffusion model treats as its data. (2) The</w:t>
      </w:r>
      <w:r>
        <w:t xml:space="preserve"> </w:t>
      </w:r>
      <w:r>
        <w:rPr>
          <w:b/>
          <w:bCs/>
        </w:rPr>
        <w:t xml:space="preserve">denoiser</w:t>
      </w:r>
      <w:r>
        <w:t xml:space="preserve"> </w:t>
      </w:r>
      <w:r>
        <w:t xml:space="preserve">ε</w:t>
      </w:r>
      <w:r>
        <w:rPr>
          <w:vertAlign w:val="subscript"/>
        </w:rPr>
        <w:t xml:space="preserve">θ</w:t>
      </w:r>
      <w:r>
        <w:t xml:space="preserve"> </w:t>
      </w:r>
      <w:r>
        <w:t xml:space="preserve">(Fig 16) is a 44.6 M-parameter FiLM-ResNet that reverses a 1000-step cosine DDPM in latent space; the production sampler runs two such denoisers in parallel (DGLD-H + DGLD-P, Section 4). (3) The</w:t>
      </w:r>
      <w:r>
        <w:t xml:space="preserve"> </w:t>
      </w:r>
      <w:r>
        <w:rPr>
          <w:b/>
          <w:bCs/>
        </w:rPr>
        <w:t xml:space="preserve">multi-task score model</w:t>
      </w:r>
      <w:r>
        <w:t xml:space="preserve"> </w:t>
      </w:r>
      <w:r>
        <w:t xml:space="preserve">(Figs 18 and 20) is a 4-block FiLM-MLP with a shared 1024-d trunk over (z, σ) with three active steering heads (Viability, Sensitivity, Hazard) and three auxiliary multi-task heads (Performance, SA, SC; the Supplementary Information; its per-head autograd gradients are the steering bus injected into DDIM at every sampling step. (4) Two</w:t>
      </w:r>
      <w:r>
        <w:t xml:space="preserve"> </w:t>
      </w:r>
      <w:r>
        <w:rPr>
          <w:b/>
          <w:bCs/>
        </w:rPr>
        <w:t xml:space="preserve">external label sources</w:t>
      </w:r>
      <w: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B.1a (LIMO VAE), B.1b (denoiser + score model), and B.1c (label sources + reranker).</w:t>
      </w:r>
    </w:p>
    <w:p>
      <w:pPr>
        <w:pStyle w:val="MDPI18keywords"/>
        <w:ind w:left="2608"/>
      </w:pPr>
      <w:r>
        <w:rPr>
          <w:b/>
          <w:bCs/>
        </w:rPr>
        <w:t xml:space="preserve">External label sources are training-time only.</w:t>
      </w:r>
      <w:r>
        <w:t xml:space="preserve"> </w:t>
      </w:r>
      <w:r>
        <w:t xml:space="preserve">The Random-Forest viability classifier and the 3D-CNN/Uni-Mol smoke-model ensemble are</w:t>
      </w:r>
      <w:r>
        <w:t xml:space="preserve"> </w:t>
      </w:r>
      <w:r>
        <w:rPr>
          <w:i/>
          <w:iCs/>
        </w:rPr>
        <w:t xml:space="preserve">not</w:t>
      </w:r>
      <w:r>
        <w:t xml:space="preserve"> </w:t>
      </w:r>
      <w:r>
        <w:t xml:space="preserve">executed at every diffusion step. They are run once, offline, over the cached training corpus to manufacture the per-row labels (</w:t>
      </w:r>
      <m:oMath>
        <m:sSub>
          <m:e>
            <m:r>
              <m:t>y</m:t>
            </m:r>
          </m:e>
          <m:sub>
            <m:r>
              <m:rPr>
                <m:nor/>
                <m:sty m:val="p"/>
              </m:rPr>
              <m:t>viab</m:t>
            </m:r>
          </m:sub>
        </m:sSub>
      </m:oMath>
      <w:r>
        <w:t xml:space="preserve">,</w:t>
      </w:r>
      <w:r>
        <w:t xml:space="preserve"> </w:t>
      </w:r>
      <m:oMath>
        <m:sSub>
          <m:e>
            <m:r>
              <m:t>y</m:t>
            </m:r>
          </m:e>
          <m:sub>
            <m:r>
              <m:t>ρ</m:t>
            </m:r>
          </m:sub>
        </m:sSub>
      </m:oMath>
      <w:r>
        <w:t xml:space="preserve">,</w:t>
      </w:r>
      <w:r>
        <w:t xml:space="preserve"> </w:t>
      </w:r>
      <m:oMath>
        <m:sSub>
          <m:e>
            <m:r>
              <m:t>y</m:t>
            </m:r>
          </m:e>
          <m:sub>
            <m:r>
              <m:t>D</m:t>
            </m:r>
          </m:sub>
        </m:sSub>
      </m:oMath>
      <w:r>
        <w:t xml:space="preserve">,</w:t>
      </w:r>
      <w:r>
        <w:t xml:space="preserve"> </w:t>
      </w:r>
      <m:oMath>
        <m:sSub>
          <m:e>
            <m:r>
              <m:t>y</m:t>
            </m:r>
          </m:e>
          <m:sub>
            <m:r>
              <m:t>P</m:t>
            </m:r>
          </m:sub>
        </m:sSub>
      </m:oMath>
      <w:r>
        <w:t xml:space="preserve">, HOF, etc.) that the multi-task score model is trained to regress and classify. At sample time, the only networks actually evaluated per DDIM step are the denoiser (one of DGLD-H or DGLD-P depending on the pool-fusion lane, Section 4 / Section 4) and the multi-task score model; the Random Forest and smoke ensemble do not appear in the sampling loop. The smoke ensemble is additionally invoked once per surviving candidate at re-ranking (Stage 1) to produce the (8-output) post-rerank property scores.</w:t>
      </w:r>
    </w:p>
    <w:p>
      <w:pPr>
        <w:pStyle w:val="MDPI18keywords"/>
        <w:ind w:left="2608"/>
      </w:pPr>
      <w:r>
        <w:rPr>
          <w:b/>
          <w:bCs/>
        </w:rPr>
        <w:t xml:space="preserve">Table B.1a.</w:t>
      </w:r>
      <w:r>
        <w:t xml:space="preserve"> </w:t>
      </w:r>
      <w:r>
        <w:t xml:space="preserve">LIMO SELFIES-VAE hyperparameters. Source of truth for all LIMO-related numeric values referenced in Section 4–Section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89"/>
        <w:gridCol w:w="1853"/>
        <w:gridCol w:w="4316"/>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LIMO SELFIES-VAE (Fig 4a)</w:t>
            </w:r>
          </w:p>
        </w:tc>
        <w:tc>
          <w:tcPr>
            <w:vAlign w:val="center"/>
          </w:tcPr>
          <w:p>
            <w:pPr>
              <w:pStyle w:val="Compact"/>
              <w:suppressAutoHyphens/>
              <w:jc w:val="center"/>
            </w:pPr>
            <w:r>
              <w:rPr>
                <w:sz w:val="18"/>
                <w:szCs w:val="18"/>
              </w:rPr>
              <w:t xml:space="preserve">Latent dim</w:t>
            </w:r>
          </w:p>
        </w:tc>
        <w:tc>
          <w:tcPr>
            <w:vAlign w:val="center"/>
          </w:tcPr>
          <w:p>
            <w:pPr>
              <w:pStyle w:val="Compact"/>
              <w:suppressAutoHyphens/>
              <w:jc w:val="center"/>
            </w:pPr>
            <w:r>
              <w:rPr>
                <w:sz w:val="18"/>
                <w:szCs w:val="18"/>
              </w:rPr>
              <w:t xml:space="preserve">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SELFIES max length</w:t>
            </w:r>
          </w:p>
        </w:tc>
        <w:tc>
          <w:tcPr>
            <w:vAlign w:val="center"/>
          </w:tcPr>
          <w:p>
            <w:pPr>
              <w:pStyle w:val="Compact"/>
              <w:suppressAutoHyphens/>
              <w:jc w:val="center"/>
            </w:pPr>
            <w:r>
              <w:rPr>
                <w:sz w:val="18"/>
                <w:szCs w:val="18"/>
              </w:rPr>
              <w:t xml:space="preserve">72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Vocabulary size</w:t>
            </w:r>
          </w:p>
        </w:tc>
        <w:tc>
          <w:tcPr>
            <w:vAlign w:val="center"/>
          </w:tcPr>
          <w:p>
            <w:pPr>
              <w:pStyle w:val="Compact"/>
              <w:suppressAutoHyphens/>
              <w:jc w:val="center"/>
            </w:pPr>
            <w:r>
              <w:rPr>
                <w:sz w:val="18"/>
                <w:szCs w:val="18"/>
              </w:rPr>
              <w:t xml:space="preserve">108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Embedding dim</w:t>
            </w:r>
          </w:p>
        </w:tc>
        <w:tc>
          <w:tcPr>
            <w:vAlign w:val="center"/>
          </w:tcPr>
          <w:p>
            <w:pPr>
              <w:pStyle w:val="Compact"/>
              <w:suppressAutoHyphens/>
              <w:jc w:val="center"/>
            </w:pPr>
            <w:r>
              <w:rPr>
                <w:sz w:val="18"/>
                <w:szCs w:val="18"/>
              </w:rPr>
              <w:t xml:space="preserve">64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Encoder layers</w:t>
            </w:r>
          </w:p>
        </w:tc>
        <w:tc>
          <w:tcPr>
            <w:vAlign w:val="center"/>
          </w:tcPr>
          <w:p>
            <w:pPr>
              <w:pStyle w:val="Compact"/>
              <w:suppressAutoHyphens/>
              <w:jc w:val="center"/>
            </w:pPr>
            <w:r>
              <w:rPr>
                <w:sz w:val="18"/>
                <w:szCs w:val="18"/>
              </w:rPr>
              <w:t xml:space="preserve">Linear(72·64=4608→2000)–ReLU–Linear(2000→1000)–BN1d–ReLU–Linear(1000→1000)–BN1d–ReLU–Linear(1000→2·1024)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Decoder layers</w:t>
            </w:r>
          </w:p>
        </w:tc>
        <w:tc>
          <w:tcPr>
            <w:vAlign w:val="center"/>
          </w:tcPr>
          <w:p>
            <w:pPr>
              <w:pStyle w:val="Compact"/>
              <w:suppressAutoHyphens/>
              <w:jc w:val="center"/>
            </w:pPr>
            <w:r>
              <w:rPr>
                <w:sz w:val="18"/>
                <w:szCs w:val="18"/>
              </w:rPr>
              <w:t xml:space="preserve">Linear(1024→1000)–BN1d–ReLU–Linear(1000→1000)–BN1d–ReLU–Linear(1000→2000)–ReLU–Linear(2000→72·108=7776)</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ReLU (encoder &amp; decoder hidden); log-softmax over vocab on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NLL reconstruction + β·KL (standard VAE ELBO; free-bits disabled)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KL weight β</w:t>
            </w:r>
          </w:p>
        </w:tc>
        <w:tc>
          <w:tcPr>
            <w:vAlign w:val="center"/>
          </w:tcPr>
          <w:p>
            <w:pPr>
              <w:pStyle w:val="Compact"/>
              <w:suppressAutoHyphens/>
              <w:jc w:val="center"/>
            </w:pPr>
            <w:r>
              <w:rPr>
                <w:sz w:val="18"/>
                <w:szCs w:val="18"/>
              </w:rPr>
              <w:t xml:space="preserve">0.01 (constant)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Fine-tune steps</w:t>
            </w:r>
          </w:p>
        </w:tc>
        <w:tc>
          <w:tcPr>
            <w:vAlign w:val="center"/>
          </w:tcPr>
          <w:p>
            <w:pPr>
              <w:pStyle w:val="Compact"/>
              <w:suppressAutoHyphens/>
              <w:jc w:val="center"/>
            </w:pPr>
            <w:r>
              <w:rPr>
                <w:sz w:val="18"/>
                <w:szCs w:val="18"/>
              </w:rPr>
              <w:t xml:space="preserve">~8500 on 326 k energetic-biased SMILES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combo_bundle/limo_model.py</w:t>
            </w:r>
            <w:r>
              <w:rPr>
                <w:sz w:val="18"/>
                <w:szCs w:val="18"/>
              </w:rPr>
              <w:t xml:space="preserve"> </w:t>
            </w:r>
            <w:r>
              <w:rPr>
                <w:sz w:val="18"/>
                <w:szCs w:val="18"/>
              </w:rPr>
              <w:t xml:space="preserve">(LIMOVAE class)</w:t>
            </w:r>
          </w:p>
        </w:tc>
      </w:tr>
    </w:tbl>
    <w:p>
      <w:pPr>
        <w:pStyle w:val="MDPI18keywords"/>
        <w:ind w:left="2608"/>
      </w:pPr>
    </w:p>
    <w:p>
      <w:pPr>
        <w:pStyle w:val="MDPI18keywords"/>
        <w:ind w:left="2608"/>
      </w:pPr>
      <w:r>
        <w:rPr>
          <w:b/>
          <w:bCs/>
        </w:rPr>
        <w:t xml:space="preserve">Table B.1b.</w:t>
      </w:r>
      <w:r>
        <w:t xml:space="preserve"> </w:t>
      </w:r>
      <w:r>
        <w:t xml:space="preserve">Denoiser and multi-task score-model hyperparameters. Source of truth for all denoiser and score-model numeric values referenced in Section 4–Section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44"/>
        <w:gridCol w:w="1989"/>
        <w:gridCol w:w="4225"/>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Denoiser ε</w:t>
            </w:r>
            <w:r>
              <w:rPr>
                <w:vertAlign w:val="subscript"/>
                <w:sz w:val="18"/>
                <w:szCs w:val="18"/>
              </w:rPr>
              <w:t xml:space="preserve">θ</w:t>
            </w:r>
            <w:r>
              <w:rPr>
                <w:sz w:val="18"/>
                <w:szCs w:val="18"/>
              </w:rPr>
              <w:t xml:space="preserve"> </w:t>
            </w:r>
            <w:r>
              <w:rPr>
                <w:sz w:val="18"/>
                <w:szCs w:val="18"/>
              </w:rPr>
              <w:t xml:space="preserve">(DGLD-P; Fig 4c)</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FiLM-modulated ResNet, 8 residual blocks, latent 1024, hidden 2048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LayerNorm–Linear(1024→2048)–FiLM(γ,β)–SiLU–Linear(2048→1024)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44.6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Time-embed dim</w:t>
            </w:r>
          </w:p>
        </w:tc>
        <w:tc>
          <w:tcPr>
            <w:vAlign w:val="center"/>
          </w:tcPr>
          <w:p>
            <w:pPr>
              <w:pStyle w:val="Compact"/>
              <w:suppressAutoHyphens/>
              <w:jc w:val="center"/>
            </w:pPr>
            <w:r>
              <w:rPr>
                <w:sz w:val="18"/>
                <w:szCs w:val="18"/>
              </w:rPr>
              <w:t xml:space="preserve">256 (sinusoidal → 2-layer MLP)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Property-embed dim</w:t>
            </w:r>
          </w:p>
        </w:tc>
        <w:tc>
          <w:tcPr>
            <w:vAlign w:val="center"/>
          </w:tcPr>
          <w:p>
            <w:pPr>
              <w:pStyle w:val="Compact"/>
              <w:suppressAutoHyphens/>
              <w:jc w:val="center"/>
            </w:pPr>
            <w:r>
              <w:rPr>
                <w:sz w:val="18"/>
                <w:szCs w:val="18"/>
              </w:rPr>
              <w:t xml:space="preserve">64 per property × 4 properties = 256, plus learned mask token</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masked MSE on predicted noise ε with mask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 (diffusion steps)</w:t>
            </w:r>
          </w:p>
        </w:tc>
        <w:tc>
          <w:tcPr>
            <w:vAlign w:val="center"/>
          </w:tcPr>
          <w:p>
            <w:pPr>
              <w:pStyle w:val="Compact"/>
              <w:suppressAutoHyphens/>
              <w:jc w:val="center"/>
            </w:pPr>
            <w:r>
              <w:rPr>
                <w:sz w:val="18"/>
                <w:szCs w:val="18"/>
              </w:rPr>
              <w:t xml:space="preserve">1000 (cosine schedule, Nichol &amp; Dhariwal)</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EMA decay</w:t>
            </w:r>
          </w:p>
        </w:tc>
        <w:tc>
          <w:tcPr>
            <w:vAlign w:val="center"/>
          </w:tcPr>
          <w:p>
            <w:pPr>
              <w:pStyle w:val="Compact"/>
              <w:suppressAutoHyphens/>
              <w:jc w:val="center"/>
            </w:pPr>
            <w:r>
              <w:rPr>
                <w:sz w:val="18"/>
                <w:szCs w:val="18"/>
              </w:rPr>
              <w:t xml:space="preserve">0.999</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1e-4 / 1e-4 (cosine decay)</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cfg-dropout rate</w:t>
            </w:r>
          </w:p>
        </w:tc>
        <w:tc>
          <w:tcPr>
            <w:vAlign w:val="center"/>
          </w:tcPr>
          <w:p>
            <w:pPr>
              <w:pStyle w:val="Compact"/>
              <w:suppressAutoHyphens/>
              <w:jc w:val="center"/>
            </w:pPr>
            <w:r>
              <w:rPr>
                <w:sz w:val="18"/>
                <w:szCs w:val="18"/>
              </w:rPr>
              <w:t xml:space="preserve">0.10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property-dropout rate (DGLD-P)</w:t>
            </w:r>
          </w:p>
        </w:tc>
        <w:tc>
          <w:tcPr>
            <w:vAlign w:val="center"/>
          </w:tcPr>
          <w:p>
            <w:pPr>
              <w:pStyle w:val="Compact"/>
              <w:suppressAutoHyphens/>
              <w:jc w:val="center"/>
            </w:pPr>
            <w:r>
              <w:rPr>
                <w:sz w:val="18"/>
                <w:szCs w:val="18"/>
              </w:rPr>
              <w:t xml:space="preserve">0.30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oversample-extreme factor / quantile</w:t>
            </w:r>
          </w:p>
        </w:tc>
        <w:tc>
          <w:tcPr>
            <w:vAlign w:val="center"/>
          </w:tcPr>
          <w:p>
            <w:pPr>
              <w:pStyle w:val="Compact"/>
              <w:suppressAutoHyphens/>
              <w:jc w:val="center"/>
            </w:pPr>
            <w:r>
              <w:rPr>
                <w:sz w:val="18"/>
                <w:szCs w:val="18"/>
              </w:rPr>
              <w:t xml:space="preserve">5×–10× above 90th percentile (high tail; matches Section 4)</w:t>
            </w:r>
          </w:p>
        </w:tc>
      </w:tr>
      <w:tr>
        <w:tc>
          <w:tcPr>
            <w:vMerge w:val="restart"/>
            <w:vAlign w:val="center"/>
          </w:tcPr>
          <w:p>
            <w:pPr>
              <w:pStyle w:val="Compact"/>
              <w:suppressAutoHyphens/>
              <w:jc w:val="center"/>
            </w:pPr>
            <w:r>
              <w:rPr>
                <w:sz w:val="18"/>
                <w:szCs w:val="18"/>
              </w:rPr>
              <w:t xml:space="preserve">Multi-task score model (Fig 4e1, 4f)</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4-block FiLM-MLP, latent 1024, hidden 1024, σ-embed 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Linear(1024→1024)–LayerNorm–FiLM(σ-emb→(γ,β) over 1024)–SiLU–Dropout(0.1)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σ embedding</w:t>
            </w:r>
          </w:p>
        </w:tc>
        <w:tc>
          <w:tcPr>
            <w:vAlign w:val="center"/>
          </w:tcPr>
          <w:p>
            <w:pPr>
              <w:pStyle w:val="Compact"/>
              <w:suppressAutoHyphens/>
              <w:jc w:val="center"/>
            </w:pPr>
            <w:r>
              <w:rPr>
                <w:sz w:val="18"/>
                <w:szCs w:val="18"/>
              </w:rPr>
              <w:t xml:space="preserve">Linear(1→128)–SiLU–Linear(128→128)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Heads (6, parallel on 1024-d trunk)</w:t>
            </w:r>
          </w:p>
        </w:tc>
        <w:tc>
          <w:tcPr>
            <w:vAlign w:val="center"/>
          </w:tcPr>
          <w:p>
            <w:pPr>
              <w:pStyle w:val="Compact"/>
              <w:suppressAutoHyphens/>
              <w:jc w:val="center"/>
            </w:pPr>
            <w:r>
              <w:rPr>
                <w:sz w:val="18"/>
                <w:szCs w:val="18"/>
              </w:rPr>
              <w:t xml:space="preserve">Linear(1024→256)–SiLU–Linear(256→d</w:t>
            </w:r>
            <w:r>
              <w:rPr>
                <w:vertAlign w:val="subscript"/>
                <w:sz w:val="18"/>
                <w:szCs w:val="18"/>
              </w:rPr>
              <w:t xml:space="preserve">k</w:t>
            </w:r>
            <w:r>
              <w:rPr>
                <w:sz w:val="18"/>
                <w:szCs w:val="18"/>
              </w:rPr>
              <w:t xml:space="preserve">); d</w:t>
            </w:r>
            <w:r>
              <w:rPr>
                <w:vertAlign w:val="subscript"/>
                <w:sz w:val="18"/>
                <w:szCs w:val="18"/>
              </w:rPr>
              <w:t xml:space="preserve">k</w:t>
            </w:r>
            <w:r>
              <w:rPr>
                <w:sz w:val="18"/>
                <w:szCs w:val="18"/>
              </w:rPr>
              <w:t xml:space="preserve">=1 for viability/SA/SC/sensitivity/hazard; d</w:t>
            </w:r>
            <w:r>
              <w:rPr>
                <w:vertAlign w:val="subscript"/>
                <w:sz w:val="18"/>
                <w:szCs w:val="18"/>
              </w:rPr>
              <w:t xml:space="preserve">k</w:t>
            </w:r>
            <w:r>
              <w:rPr>
                <w:sz w:val="18"/>
                <w:szCs w:val="18"/>
              </w:rPr>
              <w:t xml:space="preserve">=4 for performance (ρ, HOF, D, 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 (trunk); sigmoid on viability/hazard logits at use-time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Per-head loss</w:t>
            </w:r>
          </w:p>
        </w:tc>
        <w:tc>
          <w:tcPr>
            <w:vAlign w:val="center"/>
          </w:tcPr>
          <w:p>
            <w:pPr>
              <w:pStyle w:val="Compact"/>
              <w:suppressAutoHyphens/>
              <w:jc w:val="center"/>
            </w:pPr>
            <w:r>
              <w:rPr>
                <w:sz w:val="18"/>
                <w:szCs w:val="18"/>
              </w:rPr>
              <w:t xml:space="preserve">BCE-with-logits (viability, hazard); smooth-L1 on z-scored target (SA, SC, sensitivity, performance), performance masked to Tier-A/B</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Noise-level curriculum</w:t>
            </w:r>
          </w:p>
        </w:tc>
        <w:tc>
          <w:tcPr>
            <w:vAlign w:val="center"/>
          </w:tcPr>
          <w:p>
            <w:pPr>
              <w:pStyle w:val="Compact"/>
              <w:suppressAutoHyphens/>
              <w:jc w:val="center"/>
            </w:pPr>
            <w:r>
              <w:rPr>
                <w:sz w:val="18"/>
                <w:szCs w:val="18"/>
              </w:rPr>
              <w:t xml:space="preserve">σ ~ U(0, σ</w:t>
            </w:r>
            <w:r>
              <w:rPr>
                <w:vertAlign w:val="subscript"/>
                <w:sz w:val="18"/>
                <w:szCs w:val="18"/>
              </w:rPr>
              <w:t xml:space="preserve">max</w:t>
            </w:r>
            <w:r>
              <w:rPr>
                <w:sz w:val="18"/>
                <w:szCs w:val="18"/>
              </w:rPr>
              <w:t xml:space="preserve">=2.0) per batch; z</w:t>
            </w:r>
            <w:r>
              <w:rPr>
                <w:vertAlign w:val="subscript"/>
                <w:sz w:val="18"/>
                <w:szCs w:val="18"/>
              </w:rPr>
              <w:t xml:space="preserve">t</w:t>
            </w:r>
            <w:r>
              <w:rPr>
                <w:sz w:val="18"/>
                <w:szCs w:val="18"/>
              </w:rPr>
              <w:t xml:space="preserve">=z</w:t>
            </w:r>
            <w:r>
              <w:rPr>
                <w:vertAlign w:val="subscript"/>
                <w:sz w:val="18"/>
                <w:szCs w:val="18"/>
              </w:rPr>
              <w:t xml:space="preserve">0</w:t>
            </w:r>
            <w:r>
              <w:rPr>
                <w:sz w:val="18"/>
                <w:szCs w:val="18"/>
              </w:rPr>
              <w:t xml:space="preserve">+σ·ε</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2e-4 / 1e-4 (cosine decay), grad-norm clip 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Steps / batch</w:t>
            </w:r>
          </w:p>
        </w:tc>
        <w:tc>
          <w:tcPr>
            <w:vAlign w:val="center"/>
          </w:tcPr>
          <w:p>
            <w:pPr>
              <w:pStyle w:val="Compact"/>
              <w:suppressAutoHyphens/>
              <w:jc w:val="center"/>
            </w:pPr>
            <w:r>
              <w:rPr>
                <w:sz w:val="18"/>
                <w:szCs w:val="18"/>
              </w:rPr>
              <w:t xml:space="preserve">~40k AdamW steps / batch 1024 (matches Section 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Sample-time guidance</w:t>
            </w:r>
          </w:p>
        </w:tc>
        <w:tc>
          <w:tcPr>
            <w:vAlign w:val="center"/>
          </w:tcPr>
          <w:p>
            <w:pPr>
              <w:pStyle w:val="Compact"/>
              <w:suppressAutoHyphens/>
              <w:jc w:val="center"/>
            </w:pPr>
            <w:r>
              <w:rPr>
                <w:sz w:val="18"/>
                <w:szCs w:val="18"/>
              </w:rPr>
              <w:t xml:space="preserve">autograd of head losses w.r.t. z</w:t>
            </w:r>
            <w:r>
              <w:rPr>
                <w:vertAlign w:val="subscript"/>
                <w:sz w:val="18"/>
                <w:szCs w:val="18"/>
              </w:rPr>
              <w:t xml:space="preserve">t</w:t>
            </w:r>
            <w:r>
              <w:rPr>
                <w:sz w:val="18"/>
                <w:szCs w:val="18"/>
              </w:rPr>
              <w:t xml:space="preserve">; per-head clamp + alpha-anneal disabled (Section 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combo_bundle/train_multihead_latent.py</w:t>
            </w:r>
            <w:r>
              <w:rPr>
                <w:sz w:val="18"/>
                <w:szCs w:val="18"/>
              </w:rPr>
              <w:t xml:space="preserve"> </w:t>
            </w:r>
            <w:r>
              <w:rPr>
                <w:sz w:val="18"/>
                <w:szCs w:val="18"/>
              </w:rPr>
              <w:t xml:space="preserve">(MultiHeadScoreModel)</w:t>
            </w:r>
          </w:p>
        </w:tc>
      </w:tr>
    </w:tbl>
    <w:p>
      <w:pPr>
        <w:pStyle w:val="MDPI18keywords"/>
        <w:ind w:left="2608"/>
      </w:pPr>
    </w:p>
    <w:p>
      <w:pPr>
        <w:pStyle w:val="MDPI18keywords"/>
        <w:ind w:left="2608"/>
      </w:pPr>
      <w:r>
        <w:rPr>
          <w:b/>
          <w:bCs/>
        </w:rPr>
        <w:t xml:space="preserve">Table B.1c.</w:t>
      </w:r>
      <w:r>
        <w:t xml:space="preserve"> </w:t>
      </w:r>
      <w:r>
        <w:t xml:space="preserve">External label sources and re-ranking pipeline configuration. The Random Forest and 3D smoke-model ensemble run only at training-label preparation (and Stage-1 reranking for the smoke ensemble), not in the per-step sampling loop.</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994"/>
        <w:gridCol w:w="2108"/>
        <w:gridCol w:w="3756"/>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Random-Forest viability classifier (training-label source)</w:t>
            </w:r>
          </w:p>
        </w:tc>
        <w:tc>
          <w:tcPr>
            <w:vAlign w:val="center"/>
          </w:tcPr>
          <w:p>
            <w:pPr>
              <w:pStyle w:val="Compact"/>
              <w:suppressAutoHyphens/>
              <w:jc w:val="center"/>
            </w:pPr>
            <w:r>
              <w:rPr>
                <w:sz w:val="18"/>
                <w:szCs w:val="18"/>
              </w:rPr>
              <w:t xml:space="preserve">Algorithm</w:t>
            </w:r>
          </w:p>
        </w:tc>
        <w:tc>
          <w:tcPr>
            <w:vAlign w:val="center"/>
          </w:tcPr>
          <w:p>
            <w:pPr>
              <w:pStyle w:val="Compact"/>
              <w:suppressAutoHyphens/>
              <w:jc w:val="center"/>
            </w:pPr>
            <w:r>
              <w:rPr>
                <w:sz w:val="18"/>
                <w:szCs w:val="18"/>
              </w:rPr>
              <w:t xml:space="preserve">scikit-learn RandomForestClassifier (CPU)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n_estimators / max_depth / min_samples_leaf</w:t>
            </w:r>
          </w:p>
        </w:tc>
        <w:tc>
          <w:tcPr>
            <w:vAlign w:val="center"/>
          </w:tcPr>
          <w:p>
            <w:pPr>
              <w:pStyle w:val="Compact"/>
              <w:suppressAutoHyphens/>
              <w:jc w:val="center"/>
            </w:pPr>
            <w:r>
              <w:rPr>
                <w:sz w:val="18"/>
                <w:szCs w:val="18"/>
              </w:rPr>
              <w:t xml:space="preserve">200 / 22 / 4 (v2-hardneg; v1 uses CLI flags: see code)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Class weight / random_state</w:t>
            </w:r>
          </w:p>
        </w:tc>
        <w:tc>
          <w:tcPr>
            <w:vAlign w:val="center"/>
          </w:tcPr>
          <w:p>
            <w:pPr>
              <w:pStyle w:val="Compact"/>
              <w:suppressAutoHyphens/>
              <w:jc w:val="center"/>
            </w:pPr>
            <w:r>
              <w:rPr>
                <w:sz w:val="18"/>
                <w:szCs w:val="18"/>
              </w:rPr>
              <w:t xml:space="preserve">balanced / 42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Feature dim</w:t>
            </w:r>
          </w:p>
        </w:tc>
        <w:tc>
          <w:tcPr>
            <w:vAlign w:val="center"/>
          </w:tcPr>
          <w:p>
            <w:pPr>
              <w:pStyle w:val="Compact"/>
              <w:suppressAutoHyphens/>
              <w:jc w:val="center"/>
            </w:pPr>
            <w:r>
              <w:rPr>
                <w:sz w:val="18"/>
                <w:szCs w:val="18"/>
              </w:rPr>
              <w:t xml:space="preserve">~2089 = 2048 Morgan FP (radius 2) + 10 RDKit descriptors + 11 derived CHNO/OB features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Training data</w:t>
            </w:r>
          </w:p>
        </w:tc>
        <w:tc>
          <w:tcPr>
            <w:vAlign w:val="center"/>
          </w:tcPr>
          <w:p>
            <w:pPr>
              <w:pStyle w:val="Compact"/>
              <w:suppressAutoHyphens/>
              <w:jc w:val="center"/>
            </w:pPr>
            <w:r>
              <w:rPr>
                <w:sz w:val="18"/>
                <w:szCs w:val="18"/>
              </w:rPr>
              <w:t xml:space="preserve">66 k labelled energetics positives vs 80 k ZINC-250k random negatives + mined hard negatives (the Supplementary Information)</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AUC</w:t>
            </w:r>
          </w:p>
        </w:tc>
        <w:tc>
          <w:tcPr>
            <w:vAlign w:val="center"/>
          </w:tcPr>
          <w:p>
            <w:pPr>
              <w:pStyle w:val="Compact"/>
              <w:suppressAutoHyphens/>
              <w:jc w:val="center"/>
            </w:pPr>
            <w:r>
              <w:rPr>
                <w:sz w:val="18"/>
                <w:szCs w:val="18"/>
              </w:rPr>
              <w:t xml:space="preserve">0.9986 (v2-hardneg test split)</w:t>
            </w:r>
          </w:p>
        </w:tc>
      </w:tr>
      <w:tr>
        <w:tc>
          <w:tcPr>
            <w:vMerge w:val="restart"/>
            <w:vAlign w:val="center"/>
          </w:tcPr>
          <w:p>
            <w:pPr>
              <w:pStyle w:val="Compact"/>
              <w:suppressAutoHyphens/>
              <w:jc w:val="center"/>
            </w:pPr>
            <w:r>
              <w:rPr>
                <w:sz w:val="18"/>
                <w:szCs w:val="18"/>
              </w:rPr>
              <w:t xml:space="preserve">3D smoke-model ensemble (training-label source &amp; Stage-1 scorer)</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Uni-Mol v1 (Zhou et al. 2023) regression head, 2-fold scaffold-CV ensemble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~84 M per fold × 2 folds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Inputs</w:t>
            </w:r>
          </w:p>
        </w:tc>
        <w:tc>
          <w:tcPr>
            <w:vAlign w:val="center"/>
          </w:tcPr>
          <w:p>
            <w:pPr>
              <w:pStyle w:val="Compact"/>
              <w:suppressAutoHyphens/>
              <w:jc w:val="center"/>
            </w:pPr>
            <w:r>
              <w:rPr>
                <w:sz w:val="18"/>
                <w:szCs w:val="18"/>
              </w:rPr>
              <w:t xml:space="preserve">3D conformer atom-coordinate set (Uni-Mol native); not a raw voxel grid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Outputs (8)</w:t>
            </w:r>
          </w:p>
        </w:tc>
        <w:tc>
          <w:tcPr>
            <w:vAlign w:val="center"/>
          </w:tcPr>
          <w:p>
            <w:pPr>
              <w:pStyle w:val="Compact"/>
              <w:suppressAutoHyphens/>
              <w:jc w:val="center"/>
            </w:pPr>
            <w:r>
              <w:rPr>
                <w:sz w:val="18"/>
                <w:szCs w:val="18"/>
              </w:rPr>
              <w:t xml:space="preserve">ρ, D, P, det-temperature T, det-energy E, det-volume V, HOF, BDE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R</w:t>
            </w:r>
            <w:r>
              <w:rPr>
                <w:vertAlign w:val="superscript"/>
                <w:sz w:val="18"/>
                <w:szCs w:val="18"/>
              </w:rPr>
              <w:t xml:space="preserve">2</w:t>
            </w:r>
          </w:p>
        </w:tc>
        <w:tc>
          <w:tcPr>
            <w:vAlign w:val="center"/>
          </w:tcPr>
          <w:p>
            <w:pPr>
              <w:pStyle w:val="Compact"/>
              <w:suppressAutoHyphens/>
              <w:jc w:val="center"/>
            </w:pPr>
            <w:r>
              <w:rPr>
                <w:sz w:val="18"/>
                <w:szCs w:val="18"/>
              </w:rPr>
              <w:t xml:space="preserve">0.84–0.92 (5-fold CV, per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Wrapper / inference</w:t>
            </w:r>
          </w:p>
        </w:tc>
        <w:tc>
          <w:tcPr>
            <w:vAlign w:val="center"/>
          </w:tcPr>
          <w:p>
            <w:pPr>
              <w:pStyle w:val="Compact"/>
              <w:suppressAutoHyphens/>
              <w:jc w:val="center"/>
            </w:pPr>
            <w:r>
              <w:rPr>
                <w:rStyle w:val="VerbatimChar"/>
                <w:sz w:val="18"/>
                <w:szCs w:val="18"/>
              </w:rPr>
              <w:t xml:space="preserve">scripts/diffusion/unimol_validator.py</w:t>
            </w:r>
            <w:r>
              <w:rPr>
                <w:sz w:val="18"/>
                <w:szCs w:val="18"/>
              </w:rPr>
              <w:t xml:space="preserve">; reset every 80 batches</w:t>
            </w:r>
          </w:p>
        </w:tc>
      </w:tr>
      <w:tr>
        <w:tc>
          <w:tcPr>
            <w:vMerge w:val="restart"/>
            <w:vAlign w:val="center"/>
          </w:tcPr>
          <w:p>
            <w:pPr>
              <w:pStyle w:val="Compact"/>
              <w:suppressAutoHyphens/>
              <w:jc w:val="center"/>
            </w:pPr>
            <w:r>
              <w:rPr>
                <w:sz w:val="18"/>
                <w:szCs w:val="18"/>
              </w:rPr>
              <w:t xml:space="preserve">Re-ranking (Stage 1–2)</w:t>
            </w:r>
          </w:p>
        </w:tc>
        <w:tc>
          <w:tcPr>
            <w:vAlign w:val="center"/>
          </w:tcPr>
          <w:p>
            <w:pPr>
              <w:pStyle w:val="Compact"/>
              <w:suppressAutoHyphens/>
              <w:jc w:val="center"/>
            </w:pPr>
            <w:r>
              <w:rPr>
                <w:sz w:val="18"/>
                <w:szCs w:val="18"/>
              </w:rPr>
              <w:t xml:space="preserve">SA cap</w:t>
            </w:r>
          </w:p>
        </w:tc>
        <w:tc>
          <w:tcPr>
            <w:vAlign w:val="center"/>
          </w:tcPr>
          <w:p>
            <w:pPr>
              <w:pStyle w:val="Compact"/>
              <w:suppressAutoHyphens/>
              <w:jc w:val="center"/>
            </w:pPr>
            <w:r>
              <w:rPr>
                <w:sz w:val="18"/>
                <w:szCs w:val="18"/>
              </w:rPr>
              <w:t xml:space="preserve">5.0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SC cap</w:t>
            </w:r>
          </w:p>
        </w:tc>
        <w:tc>
          <w:tcPr>
            <w:vAlign w:val="center"/>
          </w:tcPr>
          <w:p>
            <w:pPr>
              <w:pStyle w:val="Compact"/>
              <w:suppressAutoHyphens/>
              <w:jc w:val="center"/>
            </w:pPr>
            <w:r>
              <w:rPr>
                <w:sz w:val="18"/>
                <w:szCs w:val="18"/>
              </w:rPr>
              <w:t xml:space="preserve">3.5</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Tanimoto window</w:t>
            </w:r>
          </w:p>
        </w:tc>
        <w:tc>
          <w:tcPr>
            <w:vAlign w:val="center"/>
          </w:tcPr>
          <w:p>
            <w:pPr>
              <w:pStyle w:val="Compact"/>
              <w:suppressAutoHyphens/>
              <w:jc w:val="center"/>
            </w:pPr>
            <w:r>
              <w:rPr>
                <w:sz w:val="18"/>
                <w:szCs w:val="18"/>
              </w:rPr>
              <w:t xml:space="preserve">(0.20, 0.55)</w:t>
            </w:r>
          </w:p>
        </w:tc>
      </w:tr>
    </w:tbl>
    <w:p>
      <w:pPr>
        <w:pStyle w:val="MDPI18keywords"/>
        <w:ind w:left="2608"/>
      </w:pPr>
      <w:r>
        <w:rPr>
          <w:b/>
          <w:bCs/>
        </w:rPr>
        <w:t xml:space="preserve">B.1 Hard-negative augmentation (self-distillation).</w:t>
      </w:r>
    </w:p>
    <w:p>
      <w:pPr>
        <w:pStyle w:val="MDPI18keywords"/>
        <w:ind w:left="2608"/>
      </w:pPr>
      <w:r>
        <w:rPr>
          <w:i/>
          <w:iCs/>
        </w:rPr>
        <w:t xml:space="preserve">Why it's needed.</w:t>
      </w:r>
      <w:r>
        <w:t xml:space="preserve"> </w:t>
      </w:r>
      <w:r>
        <w:t xml:space="preserve">The Viability head's labels at round 0 are produced by</w:t>
      </w:r>
      <w: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t xml:space="preserve"> </w:t>
      </w:r>
      <w:r>
        <w:t xml:space="preserve">(cf. Section 4). The Random Forest was trained on (labelled energetic corpus = positives, ZINC drug-like = negatives), a clean two-class boundary. The diffusion sampler, however, operates in</w:t>
      </w:r>
      <w:r>
        <w:t xml:space="preserve"> </w:t>
      </w:r>
      <w:r>
        <w:rPr>
          <w:i/>
          <w:iCs/>
        </w:rPr>
        <w:t xml:space="preserve">latent regions between</w:t>
      </w:r>
      <w:r>
        <w:t xml:space="preserve"> </w:t>
      </w:r>
      <w: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t xml:space="preserve"> </w:t>
      </w:r>
      <m:oMath>
        <m:sSub>
          <m:e>
            <m:r>
              <m:t>y</m:t>
            </m:r>
          </m:e>
          <m:sub>
            <m:r>
              <m:rPr>
                <m:nor/>
                <m:sty m:val="p"/>
              </m:rPr>
              <m:t>viab</m:t>
            </m:r>
          </m:sub>
        </m:sSub>
        <m:r>
          <m:rPr>
            <m:sty m:val="p"/>
          </m:rPr>
          <m:t>=</m:t>
        </m:r>
        <m:r>
          <m:t>0</m:t>
        </m:r>
      </m:oMath>
      <w:r>
        <w:t xml:space="preserve"> </w:t>
      </w:r>
      <w:r>
        <w:t xml:space="preserve">labels. The three-round training schedule (0 → 137 → 918 cumulative hard negatives; Fig 19) is specified in Section 4 and not repeated here. The held-out probe (7 anchors: RDX, HMX, TNT, FOX-7, PETN, TATB, NTO; 5 cheats: gem-tetranitro on C2, trinitromethane, gem-dinitrocyclopropane, polyazene-NO</w:t>
      </w:r>
      <w:r>
        <w:rPr>
          <w:vertAlign w:val="subscript"/>
        </w:rPr>
        <w:t xml:space="preserve">2</w:t>
      </w:r>
      <w:r>
        <w:t xml:space="preserve"> </w:t>
      </w:r>
      <w:r>
        <w:t xml:space="preserve">chain, dinitromethane) confirms anchors hold at 0.86–0.99 while cheats are demoted to 0.12–0.84. the Supplementary Information reports an early variant (137 cheats) versus the production variant (918 cheats).</w:t>
      </w:r>
    </w:p>
    <w:p>
      <w:pPr>
        <w:pStyle w:val="MDPI18keywords"/>
        <w:ind w:left="2608"/>
      </w:pPr>
      <w:r>
        <w:rPr>
          <w:i/>
          <w:iCs/>
        </w:rPr>
        <w:t xml:space="preserve">What's frozen vs trained.</w:t>
      </w:r>
      <w:r>
        <w:t xml:space="preserve"> </w:t>
      </w:r>
      <w: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t xml:space="preserve"> </w:t>
      </w:r>
      <w:r>
        <w:t xml:space="preserve">in their availability mask, Section 4). The score model after round 2 (corpus + 918 hard negatives) is the production checkpoint used in Section 2.</w:t>
      </w:r>
    </w:p>
    <w:p>
      <w:pPr>
        <w:pStyle w:val="MDPI18keywords"/>
        <w:ind w:left="2608"/>
      </w:pPr>
      <w:r>
        <w:rPr>
          <w:b/>
          <w:bCs/>
        </w:rPr>
        <w:t xml:space="preserve">Procedure summary.</w:t>
      </w:r>
      <w:r>
        <w:t xml:space="preserve"> </w:t>
      </w:r>
      <w:r>
        <w:t xml:space="preserve">The protocol of Fig 19 in five steps, repeated for at most three rounds:</w:t>
      </w:r>
    </w:p>
    <w:p>
      <w:pPr>
        <w:pStyle w:val="Compact"/>
      </w:pPr>
      <w:r>
        <w:rPr>
          <w:b/>
          <w:bCs/>
        </w:rPr>
        <w:t xml:space="preserve">Train</w:t>
      </w:r>
      <w:r>
        <w:t xml:space="preserve"> </w:t>
      </w:r>
      <w:r>
        <w:t xml:space="preserve">the score model for</w:t>
      </w:r>
      <w:r>
        <w:t xml:space="preserve"> </w:t>
      </w:r>
      <m:oMath>
        <m:r>
          <m:rPr>
            <m:sty m:val="p"/>
          </m:rPr>
          <m:t>∼</m:t>
        </m:r>
      </m:oMath>
      <w:r>
        <w:t xml:space="preserve">40k AdamW steps on the labelled corpus plus all hard negatives accumulated so far (zero negatives in round 0).</w:t>
      </w:r>
    </w:p>
    <w:p>
      <w:pPr>
        <w:pStyle w:val="Compact"/>
      </w:pPr>
      <w:r>
        <w:rPr>
          <w:b/>
          <w:bCs/>
        </w:rPr>
        <w:t xml:space="preserve">Probe</w:t>
      </w:r>
      <w:r>
        <w:t xml:space="preserve"> </w:t>
      </w:r>
      <w:r>
        <w:t xml:space="preserve">on a held-out 7-anchor / 5-cheat set; if all anchors score</w:t>
      </w:r>
      <w:r>
        <w:t xml:space="preserve"> </w:t>
      </w:r>
      <m:oMath>
        <m:r>
          <m:rPr>
            <m:sty m:val="p"/>
          </m:rPr>
          <m:t>≥</m:t>
        </m:r>
      </m:oMath>
      <w:r>
        <w:t xml:space="preserve"> </w:t>
      </w:r>
      <w:r>
        <w:t xml:space="preserve">0.86 and all cheats score</w:t>
      </w:r>
      <w:r>
        <w:t xml:space="preserve"> </w:t>
      </w:r>
      <m:oMath>
        <m:r>
          <m:rPr>
            <m:sty m:val="p"/>
          </m:rPr>
          <m:t>≤</m:t>
        </m:r>
      </m:oMath>
      <w:r>
        <w:t xml:space="preserve"> </w:t>
      </w:r>
      <w:r>
        <w:t xml:space="preserve">0.84, stop.</w:t>
      </w:r>
    </w:p>
    <w:p>
      <w:pPr>
        <w:pStyle w:val="Compact"/>
      </w:pPr>
      <w:r>
        <w:rPr>
          <w:b/>
          <w:bCs/>
        </w:rPr>
        <w:t xml:space="preserve">Sample</w:t>
      </w:r>
      <w:r>
        <w:t xml:space="preserve"> </w:t>
      </w:r>
      <w:r>
        <w:t xml:space="preserve">a candidate pool from the diffusion model using the current score-model's guidance.</w:t>
      </w:r>
    </w:p>
    <w:p>
      <w:pPr>
        <w:pStyle w:val="Compact"/>
      </w:pPr>
      <w:r>
        <w:rPr>
          <w:b/>
          <w:bCs/>
        </w:rPr>
        <w:t xml:space="preserve">Mine</w:t>
      </w:r>
      <w:r>
        <w:t xml:space="preserve"> </w:t>
      </w:r>
      <w:r>
        <w:t xml:space="preserve">false positives: high predicted viability but rejected by the chem-curated SMARTS gate.</w:t>
      </w:r>
    </w:p>
    <w:p>
      <w:pPr>
        <w:pStyle w:val="Compact"/>
      </w:pPr>
      <w:r>
        <w:rPr>
          <w:b/>
          <w:bCs/>
        </w:rPr>
        <w:t xml:space="preserve">Encode</w:t>
      </w:r>
      <w:r>
        <w:t xml:space="preserve"> </w:t>
      </w:r>
      <w:r>
        <w:t xml:space="preserve">the mined cheats through the frozen LIMO encoder, label them viab</w:t>
      </w:r>
      <m:oMath>
        <m:r>
          <m:rPr>
            <m:sty m:val="p"/>
          </m:rPr>
          <m:t>=</m:t>
        </m:r>
      </m:oMath>
      <w:r>
        <w:t xml:space="preserve">0, and add them to the cumulative hard-negative set for the next round.</w:t>
      </w:r>
    </w:p>
    <w:p>
      <w:pPr>
        <w:pStyle w:val="MDPI18keywords"/>
        <w:ind w:left="2608"/>
      </w:pPr>
      <w:r>
        <w:rPr>
          <w:b/>
          <w:bCs/>
        </w:rPr>
        <w:t xml:space="preserve">Why a teacher Random Forest rather than direct binary labels.</w:t>
      </w:r>
      <w:r>
        <w:t xml:space="preserve"> </w:t>
      </w:r>
      <w:r>
        <w:t xml:space="preserve">The score-model head trains on</w:t>
      </w:r>
      <w:r>
        <w:t xml:space="preserve"> </w:t>
      </w:r>
      <w:r>
        <w:rPr>
          <w:i/>
          <w:iCs/>
        </w:rPr>
        <w:t xml:space="preserve">noised</w:t>
      </w:r>
      <w:r>
        <w:t xml:space="preserve"> </w:t>
      </w:r>
      <w:r>
        <w:t xml:space="preserve">latents</w:t>
      </w:r>
      <w:r>
        <w:t xml:space="preserve"> </w:t>
      </w:r>
      <m:oMath>
        <m:sSub>
          <m:e>
            <m:r>
              <m:t>z</m:t>
            </m:r>
          </m:e>
          <m:sub>
            <m:r>
              <m:t>t</m:t>
            </m:r>
          </m:sub>
        </m:sSub>
      </m:oMath>
      <w:r>
        <w:t xml:space="preserve">, so we need a label-from-SMILES function that can be applied at</w:t>
      </w:r>
      <w:r>
        <w:t xml:space="preserve"> </w:t>
      </w:r>
      <m:oMath>
        <m:sSub>
          <m:e>
            <m:r>
              <m:t>z</m:t>
            </m:r>
          </m:e>
          <m:sub>
            <m:r>
              <m:t>0</m:t>
            </m:r>
          </m:sub>
        </m:sSub>
      </m:oMath>
      <w:r>
        <w:t xml:space="preserve"> </w:t>
      </w:r>
      <w: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t xml:space="preserve"> </w:t>
      </w:r>
      <m:oMath>
        <m:r>
          <m:rPr>
            <m:sty m:val="p"/>
          </m:rPr>
          <m:t>{</m:t>
        </m:r>
        <m:r>
          <m:t>0</m:t>
        </m:r>
        <m:r>
          <m:rPr>
            <m:sty m:val="p"/>
          </m:rPr>
          <m:t>,</m:t>
        </m:r>
        <m:r>
          <m:t>1</m:t>
        </m:r>
        <m:r>
          <m:rPr>
            <m:sty m:val="p"/>
          </m:rPr>
          <m:t>}</m:t>
        </m:r>
      </m:oMath>
      <w:r>
        <w:t xml:space="preserve"> </w:t>
      </w:r>
      <w: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MDPI18keywords"/>
        <w:ind w:left="2608"/>
      </w:pPr>
      <w:r>
        <w:t xml:space="preserve">Within a single call to</w:t>
      </w:r>
      <w:r>
        <w:t xml:space="preserve"> </w:t>
      </w:r>
      <w:r>
        <w:rPr>
          <w:rStyle w:val="VerbatimChar"/>
        </w:rPr>
        <w:t xml:space="preserve">train_score_model</w:t>
      </w:r>
      <w:r>
        <w:t xml:space="preserve"> </w:t>
      </w:r>
      <w:r>
        <w:t xml:space="preserve">the hard-negative set is fixed input data, indistinguishable from the labelled corpus rows; the only "self-distillation" is the outer-loop iteration where the</w:t>
      </w:r>
      <w:r>
        <w:t xml:space="preserve"> </w:t>
      </w:r>
      <w:r>
        <w:rPr>
          <w:i/>
          <w:iCs/>
        </w:rPr>
        <w:t xml:space="preserve">next</w:t>
      </w:r>
      <w:r>
        <w:t xml:space="preserve"> </w:t>
      </w:r>
      <w:r>
        <w:t xml:space="preserve">round's training data depends on the</w:t>
      </w:r>
      <w:r>
        <w:t xml:space="preserve"> </w:t>
      </w:r>
      <w:r>
        <w:rPr>
          <w:i/>
          <w:iCs/>
        </w:rPr>
        <w:t xml:space="preserve">current</w:t>
      </w:r>
      <w:r>
        <w:t xml:space="preserve"> </w:t>
      </w:r>
      <w:r>
        <w:t xml:space="preserve">round's model. Operational note: a third-party reproduction can skip rounds 0–1 entirely by loading the published 918 hard-negative latents (released alongside the labelled master, Section 5) and running only one round of</w:t>
      </w:r>
      <w:r>
        <w:t xml:space="preserve"> </w:t>
      </w:r>
      <w:r>
        <w:rPr>
          <w:rStyle w:val="VerbatimChar"/>
        </w:rPr>
        <w:t xml:space="preserve">train_score_model</w:t>
      </w:r>
      <w:r>
        <w:t xml:space="preserve"> </w:t>
      </w:r>
      <w:r>
        <w:t xml:space="preserve">with corpus + 918 negatives. This is the recipe used by the Zenodo-deposited production checkpoint.</w:t>
      </w:r>
    </w:p>
    <w:p>
      <w:pPr>
        <w:pStyle w:val="MDPI18keywords"/>
        <w:ind w:left="2608"/>
      </w:pPr>
      <w:r>
        <w:rPr>
          <w:b/>
          <w:bCs/>
        </w:rPr>
        <w:t xml:space="preserve">B.2 Sensitivity head: heuristic vs literature-grounded variants.</w:t>
      </w:r>
      <w:r>
        <w:t xml:space="preserve"> </w:t>
      </w:r>
      <w:r>
        <w:t xml:space="preserve">The default 5-head score model trains the sensitivity head against the hand-coded heuristic of Appendix B.2 (nitro density, open-chain N-NO</w:t>
      </w:r>
      <w:r>
        <w:rPr>
          <w:vertAlign w:val="subscript"/>
        </w:rPr>
        <w:t xml:space="preserve">2</w:t>
      </w:r>
      <w:r>
        <w:t xml:space="preserve"> </w:t>
      </w:r>
      <w:r>
        <w:t xml:space="preserve">count, small-skeleton penalties), then z-scored. Because guiding generation with gradients of a head trained on a heuristic is partially tautological as a measurement of sensitivity reduction, we additionally fine-tune a literature-grounded variant: the trunk and the four other heads are frozen at the default-score-model weights, the sensitivity head is re-initialised, and the head is fit on 306 (canonical SMILES, observed h</w:t>
      </w:r>
      <w:r>
        <w:rPr>
          <w:vertAlign w:val="subscript"/>
        </w:rPr>
        <w:t xml:space="preserve">50</w:t>
      </w:r>
      <w:r>
        <w:t xml:space="preserve">) pairs from the Huang &amp; Massa compilation</w:t>
      </w:r>
      <w:r>
        <w:t xml:space="preserve"> </w:t>
      </w:r>
      <w:hyperlink w:anchor="ref-huang2021applying">
        <w:r>
          <w:rPr>
            <w:rStyle w:val="Hyperlink"/>
          </w:rPr>
          <w:t xml:space="preserve">[58a]</w:t>
        </w:r>
      </w:hyperlink>
      <w:r>
        <w:t xml:space="preserve"> </w:t>
      </w:r>
      <w:r>
        <w:t xml:space="preserve">mapped to a sigmoid sensitivity proxy in [0, 1] (h</w:t>
      </w:r>
      <w:r>
        <w:rPr>
          <w:vertAlign w:val="subscript"/>
        </w:rPr>
        <w:t xml:space="preserve">50</w:t>
      </w:r>
      <w:r>
        <w:t xml:space="preserve">=40 cm pivot, slope 1.5 in log-h</w:t>
      </w:r>
      <w:r>
        <w:rPr>
          <w:vertAlign w:val="subscript"/>
        </w:rPr>
        <w:t xml:space="preserve">50</w:t>
      </w:r>
      <w:r>
        <w:t xml:space="preserve"> </w:t>
      </w:r>
      <w:r>
        <w:t xml:space="preserve">units). Training mixes a smooth-L1 loss on the 276-row h</w:t>
      </w:r>
      <w:r>
        <w:rPr>
          <w:vertAlign w:val="subscript"/>
        </w:rPr>
        <w:t xml:space="preserve">50</w:t>
      </w:r>
      <w:r>
        <w:t xml:space="preserve"> </w:t>
      </w:r>
      <w:r>
        <w:t xml:space="preserve">train split with a teacher regulariser pulling the new head toward the default-head prediction on 383 k auxiliary latents, weighted 1.0:0.25. The retrained head reaches Pearson</w:t>
      </w:r>
      <w:r>
        <w:t xml:space="preserve"> </w:t>
      </w:r>
      <w:r>
        <w:rPr>
          <w:i/>
          <w:iCs/>
        </w:rPr>
        <w:t xml:space="preserve">r</w:t>
      </w:r>
      <w:r>
        <w:t xml:space="preserve">=+0.71 on a 30-row held-out h</w:t>
      </w:r>
      <w:r>
        <w:rPr>
          <w:vertAlign w:val="subscript"/>
        </w:rPr>
        <w:t xml:space="preserve">50</w:t>
      </w:r>
      <w:r>
        <w:t xml:space="preserve"> </w:t>
      </w:r>
      <w:r>
        <w:t xml:space="preserve">split and produces qualitatively correct relative orderings on a 5-anchor smoke test (TATB, h</w:t>
      </w:r>
      <w:r>
        <w:rPr>
          <w:vertAlign w:val="subscript"/>
        </w:rPr>
        <w:t xml:space="preserve">50</w:t>
      </w:r>
      <w:r>
        <w:t xml:space="preserve">~490 cm, scored 0.37; trinitro-isoxazole lead scored 0.55). The literature-grounded variant is a drop-in replacement for the default score model at sample time.</w:t>
      </w:r>
    </w:p>
    <w:p>
      <w:pPr>
        <w:pStyle w:val="MDPI18keywords"/>
        <w:ind w:left="2608"/>
      </w:pPr>
      <w:r>
        <w:rPr>
          <w:b/>
          <w:bCs/>
        </w:rPr>
        <w:t xml:space="preserve">B.3 Per-head gradient-norm rebalancing (optional).</w:t>
      </w:r>
      <w:r>
        <w:t xml:space="preserve"> </w:t>
      </w:r>
      <w:r>
        <w:t xml:space="preserve">Different heads naturally produce different gradient magnitudes (sigmoid logits</w:t>
      </w:r>
      <w:r>
        <w:t xml:space="preserve"> </w:t>
      </w:r>
      <m:oMath>
        <m:r>
          <m:rPr>
            <m:sty m:val="p"/>
          </m:rPr>
          <m:t>∼</m:t>
        </m:r>
      </m:oMath>
      <w:r>
        <w:t xml:space="preserve">0.5; smooth-L1 z-scores</w:t>
      </w:r>
      <w:r>
        <w:t xml:space="preserve"> </w:t>
      </w:r>
      <m:oMath>
        <m:r>
          <m:rPr>
            <m:sty m:val="p"/>
          </m:rPr>
          <m:t>∼</m:t>
        </m:r>
      </m:oMath>
      <w:r>
        <w:t xml:space="preserve">2.0); the raw per-head scales</w:t>
      </w:r>
      <w:r>
        <w:t xml:space="preserve"> </w:t>
      </w:r>
      <m:oMath>
        <m:sSub>
          <m:e>
            <m:r>
              <m:t>s</m:t>
            </m:r>
          </m:e>
          <m:sub>
            <m:r>
              <m:t>k</m:t>
            </m:r>
          </m:sub>
        </m:sSub>
      </m:oMath>
      <w:r>
        <w:t xml:space="preserve"> </w:t>
      </w:r>
      <w:r>
        <w:t xml:space="preserve">therefore conflate "head importance" with "head gradient magnitude." We add an optional</w:t>
      </w:r>
      <w:r>
        <w:t xml:space="preserve"> </w:t>
      </w:r>
      <w:r>
        <w:rPr>
          <w:i/>
          <w:iCs/>
        </w:rPr>
        <w:t xml:space="preserve">unit-norm rebalancing</w:t>
      </w:r>
      <w:r>
        <w:t xml:space="preserve">: each head's gradient is normalised per-row before scaling, so</w:t>
      </w:r>
      <w:r>
        <w:t xml:space="preserve"> </w:t>
      </w:r>
      <m:oMath>
        <m:sSub>
          <m:e>
            <m:r>
              <m:t>s</m:t>
            </m:r>
          </m:e>
          <m:sub>
            <m:r>
              <m:t>k</m:t>
            </m:r>
          </m:sub>
        </m:sSub>
      </m:oMath>
      <w:r>
        <w:t xml:space="preserve"> </w:t>
      </w:r>
      <w:r>
        <w:t xml:space="preserve">cleanly controls steering weight. This makes the head-scale ablation cleanly interpretable; it is a no-op when only one head is active.</w:t>
      </w:r>
    </w:p>
    <w:p>
      <w:pPr>
        <w:pStyle w:val="MDPI18keywords"/>
        <w:ind w:left="2608"/>
      </w:pPr>
      <w:r>
        <w:rPr>
          <w:b/>
          <w:bCs/>
        </w:rPr>
        <w:t xml:space="preserve">B.4 Drug-domain transfer heads (SA, SC).</w:t>
      </w:r>
      <w:r>
        <w:t xml:space="preserve"> </w:t>
      </w:r>
      <w:r>
        <w:t xml:space="preserve">The score model architected in Section 4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3D-CNN smoke ensemble trained on Tier-A/B labelled energetic compounds). The remaining two heads,</w:t>
      </w:r>
      <w:r>
        <w:t xml:space="preserve"> </w:t>
      </w:r>
      <w:r>
        <w:rPr>
          <w:b/>
          <w:bCs/>
        </w:rPr>
        <w:t xml:space="preserve">SA</w:t>
      </w:r>
      <w:r>
        <w:t xml:space="preserve"> </w:t>
      </w:r>
      <w:r>
        <w:t xml:space="preserve">(Ertl synthetic-accessibility regression, label source RDKit's</w:t>
      </w:r>
      <w:r>
        <w:t xml:space="preserve"> </w:t>
      </w:r>
      <w:r>
        <w:rPr>
          <w:rStyle w:val="VerbatimChar"/>
        </w:rPr>
        <w:t xml:space="preserve">sascorer.py</w:t>
      </w:r>
      <w:r>
        <w:t xml:space="preserve">) and</w:t>
      </w:r>
      <w:r>
        <w:t xml:space="preserve"> </w:t>
      </w:r>
      <w:r>
        <w:rPr>
          <w:b/>
          <w:bCs/>
        </w:rPr>
        <w:t xml:space="preserve">SC</w:t>
      </w:r>
      <w:r>
        <w:t xml:space="preserve"> </w:t>
      </w:r>
      <w:r>
        <w:t xml:space="preserve">(Coley SCScore retrosynthetic-complexity regression, label source Coley's pretrained SCScorer), are</w:t>
      </w:r>
      <w:r>
        <w:t xml:space="preserve"> </w:t>
      </w:r>
      <w:r>
        <w:rPr>
          <w:b/>
          <w:bCs/>
        </w:rPr>
        <w:t xml:space="preserve">auxiliary multi-task heads (Performance, SA, SC)</w:t>
      </w:r>
      <w: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Section 4; that is a separate layer (post-decode hard caps on canonical SMILES) and is unaffected by the discussion here.</w:t>
      </w:r>
    </w:p>
    <w:p>
      <w:pPr>
        <w:pStyle w:val="MDPI18keywords"/>
        <w:ind w:left="2608"/>
      </w:pPr>
      <w:r>
        <w:rPr>
          <w:b/>
          <w:bCs/>
        </w:rPr>
        <w:t xml:space="preserve">Empirical sample-time evaluation.</w:t>
      </w:r>
      <w:r>
        <w:t xml:space="preserve"> </w:t>
      </w:r>
      <w:r>
        <w:t xml:space="preserve">SA was tested at sample time in the Supplementary Information SA-axis matrix at</w:t>
      </w:r>
      <w:r>
        <w:t xml:space="preserve"> </w:t>
      </w:r>
      <m:oMath>
        <m:sSub>
          <m:e>
            <m:r>
              <m:t>s</m:t>
            </m:r>
          </m:e>
          <m:sub>
            <m:r>
              <m:rPr>
                <m:nor/>
                <m:sty m:val="p"/>
              </m:rPr>
              <m:t>SA</m:t>
            </m:r>
          </m:sub>
        </m:sSub>
        <m:r>
          <m:rPr>
            <m:sty m:val="p"/>
          </m:rPr>
          <m:t>=</m:t>
        </m:r>
        <m:r>
          <m:t>0.15</m:t>
        </m:r>
      </m:oMath>
      <w:r>
        <w:t xml:space="preserve">. The result: turning SA-gradient on raised the top-1 composite penalty from 0.618</w:t>
      </w:r>
      <w:r>
        <w:t xml:space="preserve"> </w:t>
      </w:r>
      <m:oMath>
        <m:r>
          <m:rPr>
            <m:sty m:val="p"/>
          </m:rPr>
          <m:t>±</m:t>
        </m:r>
      </m:oMath>
      <w:r>
        <w:t xml:space="preserve"> </w:t>
      </w:r>
      <w:r>
        <w:t xml:space="preserve">0.056 (SA-C2 viab+sens, no SA) to 0.698</w:t>
      </w:r>
      <w:r>
        <w:t xml:space="preserve"> </w:t>
      </w:r>
      <m:oMath>
        <m:r>
          <m:rPr>
            <m:sty m:val="p"/>
          </m:rPr>
          <m:t>±</m:t>
        </m:r>
      </m:oMath>
      <w:r>
        <w:t xml:space="preserve"> </w:t>
      </w:r>
      <w:r>
        <w:t xml:space="preserve">0.015 (SA-C3 viab+sens+SA), a 0.080 (13 %)</w:t>
      </w:r>
      <w:r>
        <w:t xml:space="preserve"> </w:t>
      </w:r>
      <w:r>
        <w:rPr>
          <w:i/>
          <w:iCs/>
        </w:rPr>
        <w:t xml:space="preserve">worsening</w:t>
      </w:r>
      <w:r>
        <w:t xml:space="preserve">. The interpretation is that the drug-domain SA score actively penalises the very chemotype family the diffusion sampler is targeted at. Production therefore uses</w:t>
      </w:r>
      <w:r>
        <w:t xml:space="preserve"> </w:t>
      </w:r>
      <m:oMath>
        <m:sSub>
          <m:e>
            <m:r>
              <m:t>s</m:t>
            </m:r>
          </m:e>
          <m:sub>
            <m:r>
              <m:rPr>
                <m:nor/>
                <m:sty m:val="p"/>
              </m:rPr>
              <m:t>SA</m:t>
            </m:r>
          </m:sub>
        </m:sSub>
        <m:r>
          <m:rPr>
            <m:sty m:val="p"/>
          </m:rPr>
          <m:t>=</m:t>
        </m:r>
        <m:r>
          <m:t>0</m:t>
        </m:r>
      </m:oMath>
      <w:r>
        <w:t xml:space="preserve">. SC was retained as an architectural slot in the production score model for backward-compatibility with the 5-head predecessor (Appendix B.1) but was never plumbed into the sample-time gradient sum (no</w:t>
      </w:r>
      <w:r>
        <w:t xml:space="preserve"> </w:t>
      </w:r>
      <m:oMath>
        <m:sSub>
          <m:e>
            <m:r>
              <m:t>s</m:t>
            </m:r>
          </m:e>
          <m:sub>
            <m:r>
              <m:rPr>
                <m:nor/>
                <m:sty m:val="p"/>
              </m:rPr>
              <m:t>SC</m:t>
            </m:r>
          </m:sub>
        </m:sSub>
      </m:oMath>
      <w:r>
        <w:t xml:space="preserve"> </w:t>
      </w:r>
      <w:r>
        <w:t xml:space="preserve">is defined at sample time anywhere in the codebase or experiments); we make no empirical claim about its sample-time utility in this domain. The natural follow-up ablation, sweeping</w:t>
      </w:r>
      <w:r>
        <w:t xml:space="preserve"> </w:t>
      </w:r>
      <m:oMath>
        <m:sSub>
          <m:e>
            <m:r>
              <m:t>s</m:t>
            </m:r>
          </m:e>
          <m:sub>
            <m:r>
              <m:rPr>
                <m:nor/>
                <m:sty m:val="p"/>
              </m:rPr>
              <m:t>SC</m:t>
            </m:r>
          </m:sub>
        </m:sSub>
      </m:oMath>
      <w:r>
        <w:t xml:space="preserve"> </w:t>
      </w:r>
      <w:r>
        <w:t xml:space="preserve">at non-zero values to test whether the drug-domain SC label has a similar inversion effect to SA, is left to future work.</w:t>
      </w:r>
    </w:p>
    <w:p>
      <w:pPr>
        <w:pStyle w:val="MDPI18keywords"/>
        <w:ind w:left="2608"/>
      </w:pPr>
      <w:r>
        <w:rPr>
          <w:b/>
          <w:bCs/>
        </w:rPr>
        <w:t xml:space="preserve">Why retain the heads.</w:t>
      </w:r>
      <w:r>
        <w:t xml:space="preserve"> </w:t>
      </w:r>
      <w:r>
        <w:t xml:space="preserve">Both SA and SC heads share the 1024-d trunk used by the four domain-native heads; their trained weights add</w:t>
      </w:r>
      <w:r>
        <w:t xml:space="preserve"> </w:t>
      </w:r>
      <m:oMath>
        <m:r>
          <m:rPr>
            <m:sty m:val="p"/>
          </m:rPr>
          <m:t>∼</m:t>
        </m:r>
      </m:oMath>
      <w:r>
        <w:t xml:space="preserve">2</w:t>
      </w:r>
      <w:r>
        <w:t xml:space="preserve"> </w:t>
      </w:r>
      <m:oMath>
        <m:r>
          <m:rPr>
            <m:sty m:val="p"/>
          </m:rPr>
          <m:t>×</m:t>
        </m:r>
      </m:oMath>
      <w:r>
        <w:t xml:space="preserve"> </w:t>
      </w:r>
      <w:r>
        <w:t xml:space="preserve">256k parameters (negligible against the</w:t>
      </w:r>
      <w:r>
        <w:t xml:space="preserve"> </w:t>
      </w:r>
      <m:oMath>
        <m:r>
          <m:rPr>
            <m:sty m:val="p"/>
          </m:rPr>
          <m:t>∼</m:t>
        </m:r>
      </m:oMath>
      <w:r>
        <w:t xml:space="preserve">8 M parameter score-model trunk; cf. Table B.1b) and the per-head supervised signal during training does not appear to harm the domain-native heads on the held-out anchor/cheat probe (the six-head production model and its five-head predecessor score the same on the 7-anchor and 5-cheat test sets within the per-round monitoring tolerance of Appendix B.1). The cost of retaining is low; the cost of dropping (re-training the score model, re-running the Supplementary Information to confirm no SA-axis dependency) is non-trivial. The heads are therefore retained.</w:t>
      </w:r>
    </w:p>
    <w:p>
      <w:pPr>
        <w:pStyle w:val="MDPI18keywords"/>
        <w:ind w:left="2608"/>
      </w:pPr>
      <w:r>
        <w:rPr>
          <w:b/>
          <w:bCs/>
        </w:rPr>
        <w:t xml:space="preserve">Cross-references.</w:t>
      </w:r>
      <w:r>
        <w:t xml:space="preserve"> </w:t>
      </w:r>
      <w:r>
        <w:t xml:space="preserve">The same SA / SC story appears in three places relevant to the headline: Section 4 Architecture (drug-domain transfer paragraph); Section 4 Sample-time gradient (the "Why</w:t>
      </w:r>
      <w:r>
        <w:t xml:space="preserve"> </w:t>
      </w:r>
      <m:oMath>
        <m:sSub>
          <m:e>
            <m:r>
              <m:t>s</m:t>
            </m:r>
          </m:e>
          <m:sub>
            <m:r>
              <m:rPr>
                <m:nor/>
                <m:sty m:val="p"/>
              </m:rPr>
              <m:t>SA</m:t>
            </m:r>
          </m:sub>
        </m:sSub>
        <m:r>
          <m:rPr>
            <m:sty m:val="p"/>
          </m:rPr>
          <m:t>=</m:t>
        </m:r>
        <m:r>
          <m:t>0</m:t>
        </m:r>
      </m:oMath>
      <w:r>
        <w:t xml:space="preserve"> </w:t>
      </w:r>
      <w:r>
        <w:t xml:space="preserve">and where SC is" paragraph); the Supplementary Information Multi-seed pattern (the SA-C3-vs-SA-C2 numerical result). This appendix consolidates them.</w:t>
      </w:r>
    </w:p>
    <w:p>
      <w:pPr>
        <w:pStyle w:val="MDPI23heading3"/>
        <w:ind w:left="2608"/>
      </w:pPr>
      <w:r>
        <w:t xml:space="preserve">B.5 Production recipe (Table B.5)</w:t>
      </w:r>
    </w:p>
    <w:p>
      <w:pPr>
        <w:pStyle w:val="MDPI18keywords"/>
        <w:ind w:left="2608"/>
      </w:pPr>
      <w:r>
        <w:t xml:space="preserve">Complete configuration used throughout Section 2.2–Section 2.5. Each knob traces to the Section 2.6 ablation (or Section 4 hyperparameter sweep) that selected it.</w:t>
      </w:r>
    </w:p>
    <w:p>
      <w:pPr>
        <w:pStyle w:val="MDPI18keywords"/>
        <w:ind w:left="2608"/>
      </w:pPr>
      <w:r>
        <w:rPr>
          <w:b/>
          <w:bCs/>
        </w:rPr>
        <w:t xml:space="preserve">Table B.5.</w:t>
      </w:r>
      <w:r>
        <w:t xml:space="preserve"> </w:t>
      </w:r>
      <w:r>
        <w:t xml:space="preserve">Production recipe for the Section 2 experiments. Knobs grouped by stage: generative model, score model, sampler, filter pipeline (Stages 1–4), reranker. “Justified by” points to the ablation or sweep that fixed the value.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90"/>
        <w:gridCol w:w="3436"/>
        <w:gridCol w:w="2732"/>
      </w:tblGrid>
      <w:tr>
        <w:trPr>
          <w:tblHeader w:val="on"/>
        </w:trPr>
        <w:tc>
          <w:tcPr>
            <w:tcBorders>
              <w:bottom w:val="single" w:sz="8" w:space="0" w:color="auto"/>
            </w:tcBorders>
            <w:vAlign w:val="center"/>
          </w:tcPr>
          <w:p>
            <w:pPr>
              <w:pStyle w:val="Compact"/>
              <w:suppressAutoHyphens/>
              <w:jc w:val="center"/>
            </w:pPr>
            <w:r>
              <w:rPr>
                <w:b/>
                <w:sz w:val="18"/>
                <w:szCs w:val="18"/>
              </w:rPr>
              <w:t xml:space="preserve">Knob</w:t>
            </w:r>
          </w:p>
        </w:tc>
        <w:tc>
          <w:tcPr>
            <w:tcBorders>
              <w:bottom w:val="single" w:sz="8" w:space="0" w:color="auto"/>
            </w:tcBorders>
            <w:vAlign w:val="center"/>
          </w:tcPr>
          <w:p>
            <w:pPr>
              <w:pStyle w:val="Compact"/>
              <w:suppressAutoHyphens/>
              <w:jc w:val="center"/>
            </w:pPr>
            <w:r>
              <w:rPr>
                <w:b/>
                <w:sz w:val="18"/>
                <w:szCs w:val="18"/>
              </w:rPr>
              <w:t xml:space="preserve">Production value</w:t>
            </w:r>
          </w:p>
        </w:tc>
        <w:tc>
          <w:tcPr>
            <w:tcBorders>
              <w:bottom w:val="single" w:sz="8" w:space="0" w:color="auto"/>
            </w:tcBorders>
            <w:vAlign w:val="center"/>
          </w:tcPr>
          <w:p>
            <w:pPr>
              <w:pStyle w:val="Compact"/>
              <w:suppressAutoHyphens/>
              <w:jc w:val="center"/>
            </w:pPr>
            <w:r>
              <w:rPr>
                <w:b/>
                <w:sz w:val="18"/>
                <w:szCs w:val="18"/>
              </w:rPr>
              <w:t xml:space="preserve">Justified by</w:t>
            </w:r>
          </w:p>
        </w:tc>
      </w:tr>
      <w:tr>
        <w:tc>
          <w:tcPr>
            <w:vAlign w:val="center"/>
          </w:tcPr>
          <w:p>
            <w:pPr>
              <w:pStyle w:val="Compact"/>
              <w:suppressAutoHyphens/>
              <w:jc w:val="center"/>
            </w:pPr>
            <w:r>
              <w:rPr>
                <w:sz w:val="18"/>
                <w:szCs w:val="18"/>
              </w:rPr>
              <w:t xml:space="preserve">Generative model</w:t>
            </w:r>
          </w:p>
        </w:tc>
        <w:tc>
          <w:tcPr>
            <w:vAlign w:val="center"/>
          </w:tcPr>
          <w:p>
            <w:pPr>
              <w:pStyle w:val="Compact"/>
              <w:suppressAutoHyphens/>
              <w:jc w:val="center"/>
            </w:pPr>
            <w:r>
              <w:rPr>
                <w:sz w:val="18"/>
                <w:szCs w:val="18"/>
              </w:rPr>
              <w:t xml:space="preserve">LIMO VAE + conditional latent DDPM with classifier-free guidance</w:t>
            </w:r>
          </w:p>
        </w:tc>
        <w:tc>
          <w:tcPr>
            <w:vAlign w:val="center"/>
          </w:tcPr>
          <w:p>
            <w:pPr>
              <w:pStyle w:val="Compact"/>
              <w:suppressAutoHyphens/>
              <w:jc w:val="center"/>
            </w:pPr>
            <w:r>
              <w:rPr>
                <w:sz w:val="18"/>
                <w:szCs w:val="18"/>
              </w:rPr>
              <w:t xml:space="preserve">the Supplementary Information</w:t>
            </w:r>
          </w:p>
        </w:tc>
      </w:tr>
      <w:tr>
        <w:tc>
          <w:tcPr>
            <w:vAlign w:val="center"/>
          </w:tcPr>
          <w:p>
            <w:pPr>
              <w:pStyle w:val="Compact"/>
              <w:suppressAutoHyphens/>
              <w:jc w:val="center"/>
            </w:pPr>
            <w:r>
              <w:rPr>
                <w:sz w:val="18"/>
                <w:szCs w:val="18"/>
              </w:rPr>
              <w:t xml:space="preserve">Denoiser ensemble</w:t>
            </w:r>
          </w:p>
        </w:tc>
        <w:tc>
          <w:tcPr>
            <w:vAlign w:val="center"/>
          </w:tcPr>
          <w:p>
            <w:pPr>
              <w:pStyle w:val="Compact"/>
              <w:suppressAutoHyphens/>
              <w:jc w:val="center"/>
            </w:pPr>
            <w:r>
              <w:rPr>
                <w:sz w:val="18"/>
                <w:szCs w:val="18"/>
              </w:rPr>
              <w:t xml:space="preserve">DGLD-H + DGLD-P, pools fused post-decode</w:t>
            </w:r>
          </w:p>
        </w:tc>
        <w:tc>
          <w:tcPr>
            <w:vAlign w:val="center"/>
          </w:tcPr>
          <w:p>
            <w:pPr>
              <w:pStyle w:val="Compact"/>
              <w:suppressAutoHyphens/>
              <w:jc w:val="center"/>
            </w:pPr>
            <w:r>
              <w:rPr>
                <w:sz w:val="18"/>
                <w:szCs w:val="18"/>
              </w:rPr>
              <w:t xml:space="preserve">Section 4; the Supplementary Information</w:t>
            </w:r>
          </w:p>
        </w:tc>
      </w:tr>
      <w:tr>
        <w:tc>
          <w:tcPr>
            <w:vAlign w:val="center"/>
          </w:tcPr>
          <w:p>
            <w:pPr>
              <w:pStyle w:val="Compact"/>
              <w:suppressAutoHyphens/>
              <w:jc w:val="center"/>
            </w:pPr>
            <w:r>
              <w:rPr>
                <w:sz w:val="18"/>
                <w:szCs w:val="18"/>
              </w:rPr>
              <w:t xml:space="preserve">CFG scale w</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Section 4, Fig 23</w:t>
            </w:r>
          </w:p>
        </w:tc>
      </w:tr>
      <w:tr>
        <w:tc>
          <w:tcPr>
            <w:vAlign w:val="center"/>
          </w:tcPr>
          <w:p>
            <w:pPr>
              <w:pStyle w:val="Compact"/>
              <w:suppressAutoHyphens/>
              <w:jc w:val="center"/>
            </w:pPr>
            <w:r>
              <w:rPr>
                <w:sz w:val="18"/>
                <w:szCs w:val="18"/>
              </w:rPr>
              <w:t xml:space="preserve">DDIM steps</w:t>
            </w:r>
          </w:p>
        </w:tc>
        <w:tc>
          <w:tcPr>
            <w:vAlign w:val="center"/>
          </w:tcPr>
          <w:p>
            <w:pPr>
              <w:pStyle w:val="Compact"/>
              <w:suppressAutoHyphens/>
              <w:jc w:val="center"/>
            </w:pPr>
            <w:r>
              <w:rPr>
                <w:sz w:val="18"/>
                <w:szCs w:val="18"/>
              </w:rPr>
              <w:t xml:space="preserve">40</w:t>
            </w:r>
          </w:p>
        </w:tc>
        <w:tc>
          <w:tcPr>
            <w:vAlign w:val="center"/>
          </w:tcPr>
          <w:p>
            <w:pPr>
              <w:pStyle w:val="Compact"/>
              <w:suppressAutoHyphens/>
              <w:jc w:val="center"/>
            </w:pPr>
            <w:r>
              <w:rPr>
                <w:sz w:val="18"/>
                <w:szCs w:val="18"/>
              </w:rPr>
              <w:t xml:space="preserve">prior-art default; not separately swept</w:t>
            </w:r>
          </w:p>
        </w:tc>
      </w:tr>
      <w:tr>
        <w:tc>
          <w:tcPr>
            <w:vAlign w:val="center"/>
          </w:tcPr>
          <w:p>
            <w:pPr>
              <w:pStyle w:val="Compact"/>
              <w:suppressAutoHyphens/>
              <w:jc w:val="center"/>
            </w:pPr>
            <w:r>
              <w:rPr>
                <w:sz w:val="18"/>
                <w:szCs w:val="18"/>
              </w:rPr>
              <w:t xml:space="preserve">Pool size</w:t>
            </w:r>
          </w:p>
        </w:tc>
        <w:tc>
          <w:tcPr>
            <w:vAlign w:val="center"/>
          </w:tcPr>
          <w:p>
            <w:pPr>
              <w:pStyle w:val="Compact"/>
              <w:suppressAutoHyphens/>
              <w:jc w:val="center"/>
            </w:pPr>
            <m:oMath>
              <m:r>
                <w:rPr>
                  <w:sz w:val="18"/>
                  <w:szCs w:val="18"/>
                </w:rPr>
                <m:rPr>
                  <m:sty m:val="p"/>
                </m:rPr>
                <m:t>≥</m:t>
              </m:r>
            </m:oMath>
            <w:r>
              <w:rPr>
                <w:sz w:val="18"/>
                <w:szCs w:val="18"/>
              </w:rPr>
              <w:t xml:space="preserve"> </w:t>
            </w:r>
            <w:r>
              <w:rPr>
                <w:sz w:val="18"/>
                <w:szCs w:val="18"/>
              </w:rPr>
              <w:t xml:space="preserve">40k per denoiser, fused</w:t>
            </w:r>
          </w:p>
        </w:tc>
        <w:tc>
          <w:tcPr>
            <w:vAlign w:val="center"/>
          </w:tcPr>
          <w:p>
            <w:pPr>
              <w:pStyle w:val="Compact"/>
              <w:suppressAutoHyphens/>
              <w:jc w:val="center"/>
            </w:pPr>
            <w:r>
              <w:rPr>
                <w:sz w:val="18"/>
                <w:szCs w:val="18"/>
              </w:rPr>
              <w:t xml:space="preserve">the Supplementary Information; Section 4, Fig 24</w:t>
            </w:r>
          </w:p>
        </w:tc>
      </w:tr>
      <w:tr>
        <w:tc>
          <w:tcPr>
            <w:vAlign w:val="center"/>
          </w:tcPr>
          <w:p>
            <w:pPr>
              <w:pStyle w:val="Compact"/>
              <w:suppressAutoHyphens/>
              <w:jc w:val="center"/>
            </w:pPr>
            <w:r>
              <w:rPr>
                <w:sz w:val="18"/>
                <w:szCs w:val="18"/>
              </w:rPr>
              <w:t xml:space="preserve">Score-model training</w:t>
            </w:r>
          </w:p>
        </w:tc>
        <w:tc>
          <w:tcPr>
            <w:vAlign w:val="center"/>
          </w:tcPr>
          <w:p>
            <w:pPr>
              <w:pStyle w:val="Compact"/>
              <w:suppressAutoHyphens/>
              <w:jc w:val="center"/>
            </w:pPr>
            <w:r>
              <w:rPr>
                <w:sz w:val="18"/>
                <w:szCs w:val="18"/>
              </w:rPr>
              <w:t xml:space="preserve">4-block FiLM-MLP trunk, 6 heads, multi-task</w:t>
            </w:r>
          </w:p>
        </w:tc>
        <w:tc>
          <w:tcPr>
            <w:vAlign w:val="center"/>
          </w:tcPr>
          <w:p>
            <w:pPr>
              <w:pStyle w:val="Compact"/>
              <w:suppressAutoHyphens/>
              <w:jc w:val="center"/>
            </w:pPr>
            <w:r>
              <w:rPr>
                <w:sz w:val="18"/>
                <w:szCs w:val="18"/>
              </w:rPr>
              <w:t xml:space="preserve">Section 4; the Supplementary Information (HN budget = 918)</w:t>
            </w:r>
          </w:p>
        </w:tc>
      </w:tr>
      <w:tr>
        <w:tc>
          <w:tcPr>
            <w:vAlign w:val="center"/>
          </w:tcPr>
          <w:p>
            <w:pPr>
              <w:pStyle w:val="Compact"/>
              <w:suppressAutoHyphens/>
              <w:jc w:val="center"/>
            </w:pPr>
            <w:r>
              <w:rPr>
                <w:sz w:val="18"/>
                <w:szCs w:val="18"/>
              </w:rPr>
              <w:t xml:space="preserve">Active steering heads</w:t>
            </w:r>
          </w:p>
        </w:tc>
        <w:tc>
          <w:tcPr>
            <w:vAlign w:val="center"/>
          </w:tcPr>
          <w:p>
            <w:pPr>
              <w:pStyle w:val="Compact"/>
              <w:suppressAutoHyphens/>
              <w:jc w:val="center"/>
            </w:pPr>
            <w:r>
              <w:rPr>
                <w:sz w:val="18"/>
                <w:szCs w:val="18"/>
              </w:rPr>
              <w:t xml:space="preserve">Viability (</w:t>
            </w:r>
            <m:oMath>
              <m:r>
                <w:rPr>
                  <w:sz w:val="18"/>
                  <w:szCs w:val="18"/>
                </w:rPr>
                <m:t>s</m:t>
              </m:r>
              <m:r>
                <w:rPr>
                  <w:sz w:val="18"/>
                  <w:szCs w:val="18"/>
                </w:rPr>
                <m:rPr>
                  <m:sty m:val="p"/>
                </m:rPr>
                <m:t>=</m:t>
              </m:r>
              <m:r>
                <w:rPr>
                  <w:sz w:val="18"/>
                  <w:szCs w:val="18"/>
                </w:rPr>
                <m:t>1.0</m:t>
              </m:r>
            </m:oMath>
            <w:r>
              <w:rPr>
                <w:sz w:val="18"/>
                <w:szCs w:val="18"/>
              </w:rPr>
              <w:t xml:space="preserve">), Sensitivity (</w:t>
            </w:r>
            <m:oMath>
              <m:r>
                <w:rPr>
                  <w:sz w:val="18"/>
                  <w:szCs w:val="18"/>
                </w:rPr>
                <m:t>s</m:t>
              </m:r>
              <m:r>
                <w:rPr>
                  <w:sz w:val="18"/>
                  <w:szCs w:val="18"/>
                </w:rPr>
                <m:rPr>
                  <m:sty m:val="p"/>
                </m:rPr>
                <m:t>=</m:t>
              </m:r>
              <m:r>
                <w:rPr>
                  <w:sz w:val="18"/>
                  <w:szCs w:val="18"/>
                </w:rPr>
                <m:t>0.3</m:t>
              </m:r>
            </m:oMath>
            <w:r>
              <w:rPr>
                <w:sz w:val="18"/>
                <w:szCs w:val="18"/>
              </w:rPr>
              <w:t xml:space="preserve">), Hazard (</w:t>
            </w:r>
            <m:oMath>
              <m:r>
                <w:rPr>
                  <w:sz w:val="18"/>
                  <w:szCs w:val="18"/>
                </w:rPr>
                <m:t>s</m:t>
              </m:r>
              <m:r>
                <w:rPr>
                  <w:sz w:val="18"/>
                  <w:szCs w:val="18"/>
                </w:rPr>
                <m:rPr>
                  <m:sty m:val="p"/>
                </m: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the Supplementary Information, the Supplementary Information</w:t>
            </w:r>
          </w:p>
        </w:tc>
      </w:tr>
      <w:tr>
        <w:tc>
          <w:tcPr>
            <w:vAlign w:val="center"/>
          </w:tcPr>
          <w:p>
            <w:pPr>
              <w:pStyle w:val="Compact"/>
              <w:suppressAutoHyphens/>
              <w:jc w:val="center"/>
            </w:pPr>
            <w:r>
              <w:rPr>
                <w:sz w:val="18"/>
                <w:szCs w:val="18"/>
              </w:rPr>
              <w:t xml:space="preserve">Inactive heads</w:t>
            </w:r>
          </w:p>
        </w:tc>
        <w:tc>
          <w:tcPr>
            <w:vAlign w:val="center"/>
          </w:tcPr>
          <w:p>
            <w:pPr>
              <w:pStyle w:val="Compact"/>
              <w:suppressAutoHyphens/>
              <w:jc w:val="center"/>
            </w:pPr>
            <w:r>
              <w:rPr>
                <w:sz w:val="18"/>
                <w:szCs w:val="18"/>
              </w:rPr>
              <w:t xml:space="preserve">Performance, SA, SC (auxiliary multi-task only)</w:t>
            </w:r>
          </w:p>
        </w:tc>
        <w:tc>
          <w:tcPr>
            <w:vAlign w:val="center"/>
          </w:tcPr>
          <w:p>
            <w:pPr>
              <w:pStyle w:val="Compact"/>
              <w:suppressAutoHyphens/>
              <w:jc w:val="center"/>
            </w:pPr>
            <w:r>
              <w:rPr>
                <w:sz w:val="18"/>
                <w:szCs w:val="18"/>
              </w:rPr>
              <w:t xml:space="preserve">the Supplementary Information</w:t>
            </w:r>
          </w:p>
        </w:tc>
      </w:tr>
      <w:tr>
        <w:tc>
          <w:tcPr>
            <w:vAlign w:val="center"/>
          </w:tcPr>
          <w:p>
            <w:pPr>
              <w:pStyle w:val="Compact"/>
              <w:suppressAutoHyphens/>
              <w:jc w:val="center"/>
            </w:pPr>
            <w:r>
              <w:rPr>
                <w:sz w:val="18"/>
                <w:szCs w:val="18"/>
              </w:rPr>
              <w:t xml:space="preserve">Anneal / clamp</w:t>
            </w:r>
          </w:p>
        </w:tc>
        <w:tc>
          <w:tcPr>
            <w:vAlign w:val="center"/>
          </w:tcPr>
          <w:p>
            <w:pPr>
              <w:pStyle w:val="Compact"/>
              <w:suppressAutoHyphens/>
              <w:jc w:val="center"/>
            </w:pPr>
            <m:oMath>
              <m:sSub>
                <m:e>
                  <m:r>
                    <w:rPr>
                      <w:sz w:val="18"/>
                      <w:szCs w:val="18"/>
                    </w:rPr>
                    <m:t>σ</m:t>
                  </m:r>
                </m:e>
                <m:sub>
                  <m:r>
                    <w:rPr>
                      <w:sz w:val="18"/>
                      <w:szCs w:val="18"/>
                    </w:rPr>
                    <m:rPr>
                      <m:sty m:val="p"/>
                    </m:rPr>
                    <m:t>max</m:t>
                  </m:r>
                </m:sub>
              </m:sSub>
              <m:r>
                <w:rPr>
                  <w:sz w:val="18"/>
                  <w:szCs w:val="18"/>
                </w:rPr>
                <m:rPr>
                  <m:sty m:val="p"/>
                </m:rPr>
                <m:t>=</m:t>
              </m:r>
              <m:r>
                <w:rPr>
                  <w:sz w:val="18"/>
                  <w:szCs w:val="18"/>
                </w:rPr>
                <m:t>0</m:t>
              </m:r>
            </m:oMath>
            <w:r>
              <w:rPr>
                <w:sz w:val="18"/>
                <w:szCs w:val="18"/>
              </w:rPr>
              <w:t xml:space="preserve">,</w:t>
            </w:r>
            <w:r>
              <w:rPr>
                <w:sz w:val="18"/>
                <w:szCs w:val="18"/>
              </w:rPr>
              <w:t xml:space="preserve"> </w:t>
            </w:r>
            <m:oMath>
              <m:sSub>
                <m:e>
                  <m:r>
                    <w:rPr>
                      <w:sz w:val="18"/>
                      <w:szCs w:val="18"/>
                    </w:rPr>
                    <m:t>C</m:t>
                  </m:r>
                </m:e>
                <m:sub>
                  <m:r>
                    <w:rPr>
                      <w:sz w:val="18"/>
                      <w:szCs w:val="18"/>
                    </w:rPr>
                    <m:t>g</m:t>
                  </m:r>
                </m:sub>
              </m:sSub>
              <m:r>
                <w:rPr>
                  <w:sz w:val="18"/>
                  <w:szCs w:val="18"/>
                </w:rPr>
                <m:rPr>
                  <m:sty m:val="p"/>
                </m:rPr>
                <m:t>=</m:t>
              </m:r>
              <m:r>
                <w:rPr>
                  <w:sz w:val="18"/>
                  <w:szCs w:val="18"/>
                </w:rPr>
                <m:t>50</m:t>
              </m:r>
            </m:oMath>
          </w:p>
        </w:tc>
        <w:tc>
          <w:tcPr>
            <w:vAlign w:val="center"/>
          </w:tcPr>
          <w:p>
            <w:pPr>
              <w:pStyle w:val="Compact"/>
              <w:suppressAutoHyphens/>
              <w:jc w:val="center"/>
            </w:pPr>
            <w:r>
              <w:rPr>
                <w:sz w:val="18"/>
                <w:szCs w:val="18"/>
              </w:rPr>
              <w:t xml:space="preserve">Section 4; the Supplementary Information</w:t>
            </w:r>
          </w:p>
        </w:tc>
      </w:tr>
      <w:tr>
        <w:tc>
          <w:tcPr>
            <w:vAlign w:val="center"/>
          </w:tcPr>
          <w:p>
            <w:pPr>
              <w:pStyle w:val="Compact"/>
              <w:suppressAutoHyphens/>
              <w:jc w:val="center"/>
            </w:pPr>
            <w:r>
              <w:rPr>
                <w:sz w:val="18"/>
                <w:szCs w:val="18"/>
              </w:rPr>
              <w:t xml:space="preserve">Filter Stage 1</w:t>
            </w:r>
          </w:p>
        </w:tc>
        <w:tc>
          <w:tcPr>
            <w:vAlign w:val="center"/>
          </w:tcPr>
          <w:p>
            <w:pPr>
              <w:pStyle w:val="Compact"/>
              <w:suppressAutoHyphens/>
              <w:jc w:val="center"/>
            </w:pPr>
            <w:r>
              <w:rPr>
                <w:sz w:val="18"/>
                <w:szCs w:val="18"/>
              </w:rPr>
              <w:t xml:space="preserve">Chemist-curated SMARTS gate</w:t>
            </w:r>
          </w:p>
        </w:tc>
        <w:tc>
          <w:tcPr>
            <w:vAlign w:val="center"/>
          </w:tcPr>
          <w:p>
            <w:pPr>
              <w:pStyle w:val="Compact"/>
              <w:suppressAutoHyphens/>
              <w:jc w:val="center"/>
            </w:pPr>
            <w:r>
              <w:rPr>
                <w:sz w:val="18"/>
                <w:szCs w:val="18"/>
              </w:rPr>
              <w:t xml:space="preserve">Section 4</w:t>
            </w:r>
          </w:p>
        </w:tc>
      </w:tr>
      <w:tr>
        <w:tc>
          <w:tcPr>
            <w:vAlign w:val="center"/>
          </w:tcPr>
          <w:p>
            <w:pPr>
              <w:pStyle w:val="Compact"/>
              <w:suppressAutoHyphens/>
              <w:jc w:val="center"/>
            </w:pPr>
            <w:r>
              <w:rPr>
                <w:sz w:val="18"/>
                <w:szCs w:val="18"/>
              </w:rPr>
              <w:t xml:space="preserve">Filter Stage 2</w:t>
            </w:r>
          </w:p>
        </w:tc>
        <w:tc>
          <w:tcPr>
            <w:vAlign w:val="center"/>
          </w:tcPr>
          <w:p>
            <w:pPr>
              <w:pStyle w:val="Compact"/>
              <w:suppressAutoHyphens/>
              <w:jc w:val="center"/>
            </w:pPr>
            <w:r>
              <w:rPr>
                <w:sz w:val="18"/>
                <w:szCs w:val="18"/>
              </w:rPr>
              <w:t xml:space="preserve">Pareto reranker on 4 axes, composite tie-break, top-K = 100</w:t>
            </w:r>
          </w:p>
        </w:tc>
        <w:tc>
          <w:tcPr>
            <w:vAlign w:val="center"/>
          </w:tcPr>
          <w:p>
            <w:pPr>
              <w:pStyle w:val="Compact"/>
              <w:suppressAutoHyphens/>
              <w:jc w:val="center"/>
            </w:pPr>
            <w:r>
              <w:rPr>
                <w:sz w:val="18"/>
                <w:szCs w:val="18"/>
              </w:rPr>
              <w:t xml:space="preserve">Section 4</w:t>
            </w:r>
          </w:p>
        </w:tc>
      </w:tr>
      <w:tr>
        <w:tc>
          <w:tcPr>
            <w:vAlign w:val="center"/>
          </w:tcPr>
          <w:p>
            <w:pPr>
              <w:pStyle w:val="Compact"/>
              <w:suppressAutoHyphens/>
              <w:jc w:val="center"/>
            </w:pPr>
            <w:r>
              <w:rPr>
                <w:sz w:val="18"/>
                <w:szCs w:val="18"/>
              </w:rPr>
              <w:t xml:space="preserve">Filter Stage 3</w:t>
            </w:r>
          </w:p>
        </w:tc>
        <w:tc>
          <w:tcPr>
            <w:vAlign w:val="center"/>
          </w:tcPr>
          <w:p>
            <w:pPr>
              <w:pStyle w:val="Compact"/>
              <w:suppressAutoHyphens/>
              <w:jc w:val="center"/>
            </w:pPr>
            <w:r>
              <w:rPr>
                <w:sz w:val="18"/>
                <w:szCs w:val="18"/>
              </w:rPr>
              <w:t xml:space="preserve">GFN2-xTB, HOMO–LUMO gap</w:t>
            </w:r>
            <w:r>
              <w:rPr>
                <w:sz w:val="18"/>
                <w:szCs w:val="18"/>
              </w:rPr>
              <w:t xml:space="preserve"> </w:t>
            </w:r>
            <m:oMath>
              <m:r>
                <w:rPr>
                  <w:sz w:val="18"/>
                  <w:szCs w:val="18"/>
                </w:rPr>
                <m:rPr>
                  <m:sty m:val="p"/>
                </m:rPr>
                <m:t>≥</m:t>
              </m:r>
            </m:oMath>
            <w:r>
              <w:rPr>
                <w:sz w:val="18"/>
                <w:szCs w:val="18"/>
              </w:rPr>
              <w:t xml:space="preserve"> </w:t>
            </w:r>
            <w:r>
              <w:rPr>
                <w:sz w:val="18"/>
                <w:szCs w:val="18"/>
              </w:rPr>
              <w:t xml:space="preserve">1.5 eV</w:t>
            </w:r>
          </w:p>
        </w:tc>
        <w:tc>
          <w:tcPr>
            <w:vAlign w:val="center"/>
          </w:tcPr>
          <w:p>
            <w:pPr>
              <w:pStyle w:val="Compact"/>
              <w:suppressAutoHyphens/>
              <w:jc w:val="center"/>
            </w:pPr>
            <w:r>
              <w:rPr>
                <w:sz w:val="18"/>
                <w:szCs w:val="18"/>
              </w:rPr>
              <w:t xml:space="preserve">Section 4; chemist-set threshold</w:t>
            </w:r>
          </w:p>
        </w:tc>
      </w:tr>
      <w:tr>
        <w:tc>
          <w:tcPr>
            <w:vAlign w:val="center"/>
          </w:tcPr>
          <w:p>
            <w:pPr>
              <w:pStyle w:val="Compact"/>
              <w:suppressAutoHyphens/>
              <w:jc w:val="center"/>
            </w:pPr>
            <w:r>
              <w:rPr>
                <w:sz w:val="18"/>
                <w:szCs w:val="18"/>
              </w:rPr>
              <w:t xml:space="preserve">Filter Stage 4 – DFT</w:t>
            </w:r>
          </w:p>
        </w:tc>
        <w:tc>
          <w:tcPr>
            <w:vAlign w:val="center"/>
          </w:tcPr>
          <w:p>
            <w:pPr>
              <w:pStyle w:val="Compact"/>
              <w:suppressAutoHyphens/>
              <w:jc w:val="center"/>
            </w:pPr>
            <w:r>
              <w:rPr>
                <w:sz w:val="18"/>
                <w:szCs w:val="18"/>
              </w:rPr>
              <w:t xml:space="preserve">B3LYP/6-31G(d) opt +</w:t>
            </w:r>
            <w:r>
              <w:rPr>
                <w:sz w:val="18"/>
                <w:szCs w:val="18"/>
              </w:rPr>
              <w:t xml:space="preserve"> </w:t>
            </w:r>
            <m:oMath>
              <m:r>
                <w:rPr>
                  <w:sz w:val="18"/>
                  <w:szCs w:val="18"/>
                </w:rPr>
                <m:t>ω</m:t>
              </m:r>
            </m:oMath>
            <w:r>
              <w:rPr>
                <w:sz w:val="18"/>
                <w:szCs w:val="18"/>
              </w:rPr>
              <w:t xml:space="preserve">B97X-D3BJ/def2-TZVP single-point</w:t>
            </w:r>
          </w:p>
        </w:tc>
        <w:tc>
          <w:tcPr>
            <w:vAlign w:val="center"/>
          </w:tcPr>
          <w:p>
            <w:pPr>
              <w:pStyle w:val="Compact"/>
              <w:suppressAutoHyphens/>
              <w:jc w:val="center"/>
            </w:pPr>
            <w:r>
              <w:rPr>
                <w:sz w:val="18"/>
                <w:szCs w:val="18"/>
              </w:rPr>
              <w:t xml:space="preserve">Section 4; the Supplementary Information</w:t>
            </w:r>
          </w:p>
        </w:tc>
      </w:tr>
      <w:tr>
        <w:tc>
          <w:tcPr>
            <w:vAlign w:val="center"/>
          </w:tcPr>
          <w:p>
            <w:pPr>
              <w:pStyle w:val="Compact"/>
              <w:suppressAutoHyphens/>
              <w:jc w:val="center"/>
            </w:pPr>
            <w:r>
              <w:rPr>
                <w:sz w:val="18"/>
                <w:szCs w:val="18"/>
              </w:rPr>
              <w:t xml:space="preserve">Filter Stage 4 – calibration</w:t>
            </w:r>
          </w:p>
        </w:tc>
        <w:tc>
          <w:tcPr>
            <w:vAlign w:val="center"/>
          </w:tcPr>
          <w:p>
            <w:pPr>
              <w:pStyle w:val="Compact"/>
              <w:suppressAutoHyphens/>
              <w:jc w:val="center"/>
            </w:pPr>
            <w:r>
              <w:rPr>
                <w:sz w:val="18"/>
                <w:szCs w:val="18"/>
              </w:rPr>
              <w:t xml:space="preserve">6-anchor LOO fit:</w:t>
            </w:r>
            <w:r>
              <w:rPr>
                <w:sz w:val="18"/>
                <w:szCs w:val="18"/>
              </w:rPr>
              <w:t xml:space="preserve"> </w:t>
            </w:r>
            <m:oMath>
              <m:sSub>
                <m:e>
                  <m:r>
                    <w:rPr>
                      <w:sz w:val="18"/>
                      <w:szCs w:val="18"/>
                    </w:rPr>
                    <m:t>ρ</m:t>
                  </m:r>
                </m:e>
                <m:sub>
                  <m:r>
                    <w:rPr>
                      <w:sz w:val="18"/>
                      <w:szCs w:val="18"/>
                    </w:rPr>
                    <m:rPr>
                      <m:nor/>
                      <m:sty m:val="p"/>
                    </m:rPr>
                    <m:t>cal</m:t>
                  </m:r>
                </m:sub>
              </m:sSub>
              <m:r>
                <w:rPr>
                  <w:sz w:val="18"/>
                  <w:szCs w:val="18"/>
                </w:rPr>
                <m:rPr>
                  <m:sty m:val="p"/>
                </m:rPr>
                <m:t>=</m:t>
              </m:r>
              <m:r>
                <w:rPr>
                  <w:sz w:val="18"/>
                  <w:szCs w:val="18"/>
                </w:rPr>
                <m:t>1.392</m:t>
              </m:r>
              <m:r>
                <w:rPr>
                  <w:sz w:val="18"/>
                  <w:szCs w:val="18"/>
                </w:rPr>
                <m:t> </m:t>
              </m:r>
              <m:sSub>
                <m:e>
                  <m:r>
                    <w:rPr>
                      <w:sz w:val="18"/>
                      <w:szCs w:val="18"/>
                    </w:rPr>
                    <m:t>ρ</m:t>
                  </m:r>
                </m:e>
                <m:sub>
                  <m:r>
                    <w:rPr>
                      <w:sz w:val="18"/>
                      <w:szCs w:val="18"/>
                    </w:rPr>
                    <m:rPr>
                      <m:nor/>
                      <m:sty m:val="p"/>
                    </m:rPr>
                    <m:t>DFT</m:t>
                  </m:r>
                </m:sub>
              </m:sSub>
              <m:r>
                <w:rPr>
                  <w:sz w:val="18"/>
                  <w:szCs w:val="18"/>
                </w:rPr>
                <m:rPr>
                  <m:sty m:val="p"/>
                </m:rPr>
                <m:t>−</m:t>
              </m:r>
              <m:r>
                <w:rPr>
                  <w:sz w:val="18"/>
                  <w:szCs w:val="18"/>
                </w:rPr>
                <m:t>0.415</m:t>
              </m:r>
            </m:oMath>
            <w:r>
              <w:rPr>
                <w:sz w:val="18"/>
                <w:szCs w:val="18"/>
              </w:rPr>
              <w:t xml:space="preserve">, HOF</w:t>
            </w:r>
            <m:oMath>
              <m:sSub>
                <m:e>
                  <m:r>
                    <w:rPr>
                      <w:sz w:val="18"/>
                      <w:szCs w:val="18"/>
                    </w:rPr>
                    <m:t>​</m:t>
                  </m:r>
                </m:e>
                <m:sub>
                  <m:r>
                    <w:rPr>
                      <w:sz w:val="18"/>
                      <w:szCs w:val="18"/>
                    </w:rPr>
                    <m:rPr>
                      <m:nor/>
                      <m:sty m:val="p"/>
                    </m:rPr>
                    <m:t>cal</m:t>
                  </m:r>
                </m:sub>
              </m:sSub>
            </m:oMath>
            <w:r>
              <w:rPr>
                <w:sz w:val="18"/>
                <w:szCs w:val="18"/>
              </w:rPr>
              <w:t xml:space="preserve"> </w:t>
            </w:r>
            <w:r>
              <w:rPr>
                <w:sz w:val="18"/>
                <w:szCs w:val="18"/>
              </w:rPr>
              <w:t xml:space="preserve">= HOF</w:t>
            </w:r>
            <m:oMath>
              <m:sSub>
                <m:e>
                  <m:r>
                    <w:rPr>
                      <w:sz w:val="18"/>
                      <w:szCs w:val="18"/>
                    </w:rPr>
                    <m:t>​</m:t>
                  </m:r>
                </m:e>
                <m:sub>
                  <m:r>
                    <w:rPr>
                      <w:sz w:val="18"/>
                      <w:szCs w:val="18"/>
                    </w:rPr>
                    <m:rPr>
                      <m:nor/>
                      <m:sty m:val="p"/>
                    </m:rPr>
                    <m:t>DFT</m:t>
                  </m:r>
                </m:sub>
              </m:sSub>
              <m:r>
                <w:rPr>
                  <w:sz w:val="18"/>
                  <w:szCs w:val="18"/>
                </w:rPr>
                <m:rPr>
                  <m:sty m:val="p"/>
                </m:rPr>
                <m:t>−</m:t>
              </m:r>
              <m:r>
                <w:rPr>
                  <w:sz w:val="18"/>
                  <w:szCs w:val="18"/>
                </w:rPr>
                <m:t>206.7</m:t>
              </m:r>
            </m:oMath>
          </w:p>
        </w:tc>
        <w:tc>
          <w:tcPr>
            <w:vAlign w:val="center"/>
          </w:tcPr>
          <w:p>
            <w:pPr>
              <w:pStyle w:val="Compact"/>
              <w:suppressAutoHyphens/>
              <w:jc w:val="center"/>
            </w:pPr>
            <w:r>
              <w:rPr>
                <w:sz w:val="18"/>
                <w:szCs w:val="18"/>
              </w:rPr>
              <w:t xml:space="preserve">Section 2.3; the Supplementary Information</w:t>
            </w:r>
          </w:p>
        </w:tc>
      </w:tr>
      <w:tr>
        <w:tc>
          <w:tcPr>
            <w:vAlign w:val="center"/>
          </w:tcPr>
          <w:p>
            <w:pPr>
              <w:pStyle w:val="Compact"/>
              <w:suppressAutoHyphens/>
              <w:jc w:val="center"/>
            </w:pPr>
            <w:r>
              <w:rPr>
                <w:sz w:val="18"/>
                <w:szCs w:val="18"/>
              </w:rPr>
              <w:t xml:space="preserve">Filter Stage 4 – K-J recompute</w:t>
            </w:r>
          </w:p>
        </w:tc>
        <w:tc>
          <w:tcPr>
            <w:vAlign w:val="center"/>
          </w:tcPr>
          <w:p>
            <w:pPr>
              <w:pStyle w:val="Compact"/>
              <w:suppressAutoHyphens/>
              <w:jc w:val="center"/>
            </w:pPr>
            <w:r>
              <w:rPr>
                <w:sz w:val="18"/>
                <w:szCs w:val="18"/>
              </w:rPr>
              <w:t xml:space="preserve">Closed-form K-J on calibrated</w:t>
            </w:r>
            <w:r>
              <w:rPr>
                <w:sz w:val="18"/>
                <w:szCs w:val="18"/>
              </w:rPr>
              <w:t xml:space="preserve"> </w:t>
            </w:r>
            <m:oMath>
              <m:r>
                <w:rPr>
                  <w:sz w:val="18"/>
                  <w:szCs w:val="18"/>
                </w:rPr>
                <m:rPr>
                  <m:sty m:val="p"/>
                </m:rPr>
                <m:t>(</m:t>
              </m:r>
              <m:sSub>
                <m:e>
                  <m:r>
                    <w:rPr>
                      <w:sz w:val="18"/>
                      <w:szCs w:val="18"/>
                    </w:rPr>
                    <m:t>ρ</m:t>
                  </m:r>
                </m:e>
                <m:sub>
                  <m:r>
                    <w:rPr>
                      <w:sz w:val="18"/>
                      <w:szCs w:val="18"/>
                    </w:rPr>
                    <m:rPr>
                      <m:nor/>
                      <m:sty m:val="p"/>
                    </m:rPr>
                    <m:t>cal</m:t>
                  </m:r>
                </m:sub>
              </m:sSub>
              <m:r>
                <w:rPr>
                  <w:sz w:val="18"/>
                  <w:szCs w:val="18"/>
                </w:rPr>
                <m:rPr>
                  <m:sty m:val="p"/>
                </m:rPr>
                <m:t>,</m:t>
              </m:r>
              <m:sSub>
                <m:e>
                  <m:r>
                    <w:rPr>
                      <w:sz w:val="18"/>
                      <w:szCs w:val="18"/>
                    </w:rPr>
                    <m:rPr>
                      <m:nor/>
                      <m:sty m:val="p"/>
                    </m:rPr>
                    <m:t>HOF</m:t>
                  </m:r>
                </m:e>
                <m:sub>
                  <m:r>
                    <w:rPr>
                      <w:sz w:val="18"/>
                      <w:szCs w:val="18"/>
                    </w:rPr>
                    <m:rPr>
                      <m:nor/>
                      <m:sty m:val="p"/>
                    </m:rPr>
                    <m:t>cal</m:t>
                  </m:r>
                </m:sub>
              </m:sSub>
              <m:r>
                <w:rPr>
                  <w:sz w:val="18"/>
                  <w:szCs w:val="18"/>
                </w:rPr>
                <m:rPr>
                  <m:sty m:val="p"/>
                </m:rPr>
                <m:t>)</m:t>
              </m:r>
            </m:oMath>
            <w:r>
              <w:rPr>
                <w:sz w:val="18"/>
                <w:szCs w:val="18"/>
              </w:rPr>
              <w:t xml:space="preserve">; ranking-grade only</w:t>
            </w:r>
          </w:p>
        </w:tc>
        <w:tc>
          <w:tcPr>
            <w:vAlign w:val="center"/>
          </w:tcPr>
          <w:p>
            <w:pPr>
              <w:pStyle w:val="Compact"/>
              <w:suppressAutoHyphens/>
              <w:jc w:val="center"/>
            </w:pPr>
            <w:r>
              <w:rPr>
                <w:sz w:val="18"/>
                <w:szCs w:val="18"/>
              </w:rPr>
              <w:t xml:space="preserve">Section 2.3; the Supplementary Information</w:t>
            </w:r>
          </w:p>
        </w:tc>
      </w:tr>
      <w:tr>
        <w:tc>
          <w:tcPr>
            <w:vAlign w:val="center"/>
          </w:tcPr>
          <w:p>
            <w:pPr>
              <w:pStyle w:val="Compact"/>
              <w:suppressAutoHyphens/>
              <w:jc w:val="center"/>
            </w:pPr>
            <w:r>
              <w:rPr>
                <w:sz w:val="18"/>
                <w:szCs w:val="18"/>
              </w:rPr>
              <w:t xml:space="preserve">Reranker property scoring</w:t>
            </w:r>
          </w:p>
        </w:tc>
        <w:tc>
          <w:tcPr>
            <w:vAlign w:val="center"/>
          </w:tcPr>
          <w:p>
            <w:pPr>
              <w:pStyle w:val="Compact"/>
              <w:suppressAutoHyphens/>
              <w:jc w:val="center"/>
            </w:pPr>
            <w:r>
              <w:rPr>
                <w:rStyle w:val="VerbatimChar"/>
                <w:sz w:val="18"/>
                <w:szCs w:val="18"/>
              </w:rPr>
              <w:t xml:space="preserve">perf_score(\(\rho\), HOF, \(D\), \(P\))</w:t>
            </w:r>
            <w:r>
              <w:rPr>
                <w:sz w:val="18"/>
                <w:szCs w:val="18"/>
              </w:rPr>
              <w:t xml:space="preserve"> </w:t>
            </w:r>
            <w:r>
              <w:rPr>
                <w:sz w:val="18"/>
                <w:szCs w:val="18"/>
              </w:rPr>
              <w:t xml:space="preserve">ramp on 3D-CNN smoke ensemble outputs</w:t>
            </w:r>
          </w:p>
        </w:tc>
        <w:tc>
          <w:tcPr>
            <w:vAlign w:val="center"/>
          </w:tcPr>
          <w:p>
            <w:pPr>
              <w:pStyle w:val="Compact"/>
              <w:suppressAutoHyphens/>
              <w:jc w:val="center"/>
            </w:pPr>
            <w:r>
              <w:rPr>
                <w:sz w:val="18"/>
                <w:szCs w:val="18"/>
              </w:rPr>
              <w:t xml:space="preserve">Section 4</w:t>
            </w:r>
          </w:p>
        </w:tc>
      </w:tr>
    </w:tbl>
    <w:p>
      <w:pPr>
        <w:pStyle w:val="MDPI22heading2"/>
        <w:ind w:left="2608"/>
      </w:pPr>
      <w:r>
        <w:t xml:space="preserve">C. First-principles audit (DFT) methodology and uncertainty bounds</w:t>
      </w:r>
    </w:p>
    <w:p>
      <w:pPr>
        <w:pStyle w:val="MDPI18keywords"/>
        <w:ind w:left="2608"/>
      </w:pPr>
      <w:r>
        <w:t xml:space="preserve">This appendix collects the DFT-methodology details that support Section 2.3 (per-lead validation and anchor calibration). Body Section 2.3 reports only the result table; readers who want to assess the methodology choices, the systematic-bias bands, and the calibration-extension recommendations should refer to this appendix.</w:t>
      </w:r>
    </w:p>
    <w:p>
      <w:pPr>
        <w:pStyle w:val="MDPI18keywords"/>
        <w:ind w:left="2608"/>
      </w:pPr>
      <w:r>
        <w:rPr>
          <w:b/>
          <w:bCs/>
        </w:rPr>
        <w:t xml:space="preserve">C.1 Functional and basis-set choice.</w:t>
      </w:r>
      <w:r>
        <w:t xml:space="preserve"> </w:t>
      </w:r>
      <w:r>
        <w:t xml:space="preserve">We use B3LYP/6-31G(d) for geometry optimisation and</w:t>
      </w:r>
      <w:r>
        <w:t xml:space="preserve"> </w:t>
      </w:r>
      <m:oMath>
        <m:r>
          <m:t>ω</m:t>
        </m:r>
      </m:oMath>
      <w:r>
        <w:t xml:space="preserve">B97X-D3BJ/def2-TZVP for the single-point energy on the optimised geometry. The B3LYP/6-31G(d) geometry is a long-standing standard for CHNO molecules (Casey et al.</w:t>
      </w:r>
      <w:r>
        <w:t xml:space="preserve"> </w:t>
      </w:r>
      <w:hyperlink w:anchor="ref-casey2020prediction">
        <w:r>
          <w:rPr>
            <w:rStyle w:val="Hyperlink"/>
          </w:rPr>
          <w:t xml:space="preserve">[15]</w:t>
        </w:r>
      </w:hyperlink>
      <w:r>
        <w:t xml:space="preserve"> </w:t>
      </w:r>
      <w:r>
        <w:t xml:space="preserve">use the same level for the 3D-CNN training labels we calibrate against), and the</w:t>
      </w:r>
      <w:r>
        <w:t xml:space="preserve"> </w:t>
      </w:r>
      <m:oMath>
        <m:r>
          <m:t>ω</m:t>
        </m:r>
      </m:oMath>
      <w: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t xml:space="preserve"> </w:t>
      </w:r>
      <m:oMath>
        <m:r>
          <m:t>ω</m:t>
        </m:r>
      </m:oMath>
      <w:r>
        <w:t xml:space="preserve">B97M-V or B97M-V might offer marginal further accuracy gains (</w:t>
      </w:r>
      <m:oMath>
        <m:r>
          <m:rPr>
            <m:sty m:val="p"/>
          </m:rPr>
          <m:t>∼</m:t>
        </m:r>
      </m:oMath>
      <w:r>
        <w:t xml:space="preserve">1–2 kJ mol</w:t>
      </w:r>
      <w:r>
        <w:rPr>
          <w:vertAlign w:val="superscript"/>
        </w:rPr>
        <w:t xml:space="preserve">−1</w:t>
      </w:r>
      <w:r>
        <w:t xml:space="preserve"> </w:t>
      </w:r>
      <w:r>
        <w:t xml:space="preserve">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t xml:space="preserve"> </w:t>
      </w:r>
      <m:oMath>
        <m:r>
          <m:rPr>
            <m:sty m:val="p"/>
          </m:rPr>
          <m:t>∼</m:t>
        </m:r>
      </m:oMath>
      <w: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MDPI18keywords"/>
        <w:ind w:left="2608"/>
      </w:pPr>
      <w:r>
        <w:rPr>
          <w:b/>
          <w:bCs/>
        </w:rPr>
        <w:t xml:space="preserve">C.2 Thermal correction to 298 K.</w:t>
      </w:r>
      <w:r>
        <w:t xml:space="preserve"> </w:t>
      </w:r>
      <w:r>
        <w:t xml:space="preserve">All HOFs in Section 2.3 are reported at 0 K (atomization-energy method gives</w:t>
      </w:r>
      <w:r>
        <w:t xml:space="preserve"> </w:t>
      </w:r>
      <m:oMath>
        <m:r>
          <m:rPr>
            <m:sty m:val="p"/>
          </m:rPr>
          <m:t>Δ</m:t>
        </m:r>
        <m:sSubSup>
          <m:e>
            <m:r>
              <m:t>H</m:t>
            </m:r>
          </m:e>
          <m:sub>
            <m:r>
              <m:t>f</m:t>
            </m:r>
          </m:sub>
          <m:sup>
            <m:r>
              <m:t>0</m:t>
            </m:r>
            <m:r>
              <m:t> </m:t>
            </m:r>
            <m:r>
              <m:rPr>
                <m:nor/>
                <m:sty m:val="p"/>
              </m:rPr>
              <m:t>K</m:t>
            </m:r>
          </m:sup>
        </m:sSubSup>
      </m:oMath>
      <w:r>
        <w:t xml:space="preserve">). The thermal correction</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for an isolated nonlinear ideal-gas molecule is dominated by 4 RT (translational + rotational + PV term</w:t>
      </w:r>
      <w:r>
        <w:t xml:space="preserve"> </w:t>
      </w:r>
      <m:oMath>
        <m:r>
          <m:rPr>
            <m:sty m:val="p"/>
          </m:rPr>
          <m:t>=</m:t>
        </m:r>
      </m:oMath>
      <w:r>
        <w:t xml:space="preserve"> </w:t>
      </w:r>
      <m:oMath>
        <m:r>
          <m:rPr>
            <m:sty m:val="p"/>
          </m:rPr>
          <m:t>∼</m:t>
        </m:r>
      </m:oMath>
      <w:r>
        <w:t xml:space="preserve">9.9 kJ mol</w:t>
      </w:r>
      <w:r>
        <w:rPr>
          <w:vertAlign w:val="superscript"/>
        </w:rPr>
        <w:t xml:space="preserve">−1</w:t>
      </w:r>
      <w:r>
        <w:t xml:space="preserve">) plus a small low-frequency-vibration contribution (each mode</w:t>
      </w:r>
      <w:r>
        <w:t xml:space="preserve"> </w:t>
      </w:r>
      <m:oMath>
        <m:r>
          <m:rPr>
            <m:sty m:val="p"/>
          </m:rPr>
          <m:t>&lt;</m:t>
        </m:r>
        <m:r>
          <m:t>200</m:t>
        </m:r>
      </m:oMath>
      <w:r>
        <w:t xml:space="preserve"> </w:t>
      </w:r>
      <w:r>
        <w:t xml:space="preserve">cm</w:t>
      </w:r>
      <w:r>
        <w:rPr>
          <w:vertAlign w:val="superscript"/>
        </w:rPr>
        <w:t xml:space="preserve">−1</w:t>
      </w:r>
      <w:r>
        <w:t xml:space="preserve"> </w:t>
      </w:r>
      <w:r>
        <w:t xml:space="preserve">contributes</w:t>
      </w:r>
      <w:r>
        <w:t xml:space="preserve"> </w:t>
      </w:r>
      <m:oMath>
        <m:r>
          <m:rPr>
            <m:sty m:val="p"/>
          </m:rPr>
          <m:t>∼</m:t>
        </m:r>
      </m:oMath>
      <w:r>
        <w:t xml:space="preserve">RT</w:t>
      </w:r>
      <w:r>
        <w:t xml:space="preserve"> </w:t>
      </w:r>
      <m:oMath>
        <m:r>
          <m:rPr>
            <m:sty m:val="p"/>
          </m:rPr>
          <m:t>=</m:t>
        </m:r>
      </m:oMath>
      <w:r>
        <w:t xml:space="preserve"> </w:t>
      </w:r>
      <w:r>
        <w:t xml:space="preserve">2.5 kJ mol</w:t>
      </w:r>
      <w:r>
        <w:rPr>
          <w:vertAlign w:val="superscript"/>
        </w:rPr>
        <w:t xml:space="preserve">−1</w:t>
      </w:r>
      <w:r>
        <w:t xml:space="preserve">). For our top-10 leads with 0–6 low-frequency modes each,</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ranges 10–25 kJ mol</w:t>
      </w:r>
      <w:r>
        <w:rPr>
          <w:vertAlign w:val="superscript"/>
        </w:rPr>
        <w:t xml:space="preserve">−1</w:t>
      </w:r>
      <w:r>
        <w:t xml:space="preserve">, smaller than the</w:t>
      </w:r>
      <w:r>
        <w:t xml:space="preserve"> </w:t>
      </w:r>
      <m:oMath>
        <m:r>
          <m:rPr>
            <m:sty m:val="p"/>
          </m:rPr>
          <m:t>±</m:t>
        </m:r>
        <m:r>
          <m:t>64.6</m:t>
        </m:r>
      </m:oMath>
      <w:r>
        <w:t xml:space="preserve"> kJ mol</w:t>
      </w:r>
      <w:r>
        <w:rPr>
          <w:vertAlign w:val="superscript"/>
        </w:rPr>
        <w:t xml:space="preserve">−1</w:t>
      </w:r>
      <w:r>
        <w:t xml:space="preserve"> </w:t>
      </w:r>
      <w:r>
        <w:t xml:space="preserve">LOO uncertainty from the 6-anchor calibration of the atomization energy (C.4). We report 0 K HOFs throughout for consistency; converting to 298 K standard HOF would shift values uniformly by ~10–25 kJ mol</w:t>
      </w:r>
      <w:r>
        <w:rPr>
          <w:vertAlign w:val="superscript"/>
        </w:rPr>
        <w:t xml:space="preserve">−1</w:t>
      </w:r>
      <w:r>
        <w:t xml:space="preserve"> </w:t>
      </w:r>
      <w:r>
        <w:t xml:space="preserve">with no impact on relative rankings or the K-J residual.</w:t>
      </w:r>
    </w:p>
    <w:p>
      <w:pPr>
        <w:pStyle w:val="MDPI18keywords"/>
        <w:ind w:left="2608"/>
      </w:pPr>
      <w:r>
        <w:rPr>
          <w:b/>
          <w:bCs/>
        </w:rPr>
        <w:t xml:space="preserve">C.3 Calibration uncertainty: literature bias bands.</w:t>
      </w:r>
      <w:r>
        <w:t xml:space="preserve"> </w:t>
      </w:r>
      <w:r>
        <w:t xml:space="preserve">The 6-anchor LOO RMS quoted in Section 2.3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t xml:space="preserve"> </w:t>
      </w:r>
      <w:hyperlink w:anchor="ref-goerigk2017benchmark">
        <w:r>
          <w:rPr>
            <w:rStyle w:val="Hyperlink"/>
          </w:rPr>
          <w:t xml:space="preserve">[Goerigk2017]</w:t>
        </w:r>
      </w:hyperlink>
      <w:r>
        <w:t xml:space="preserve"> </w:t>
      </w:r>
      <w:r>
        <w:t xml:space="preserve">place the systematic atomization-energy bias of B3LYP with a double-zeta polarised basis at approximately 5–15 kJ mol</w:t>
      </w:r>
      <w:r>
        <w:rPr>
          <w:vertAlign w:val="superscript"/>
        </w:rPr>
        <w:t xml:space="preserve">−1</w:t>
      </w:r>
      <w:r>
        <w:t xml:space="preserve"> </w:t>
      </w:r>
      <w:r>
        <w:t xml:space="preserve">per atom, which scales to</w:t>
      </w:r>
      <w:r>
        <w:t xml:space="preserve"> </w:t>
      </w:r>
      <m:oMath>
        <m:r>
          <m:rPr>
            <m:sty m:val="p"/>
          </m:rPr>
          <m:t>∼</m:t>
        </m:r>
      </m:oMath>
      <w:r>
        <w:t xml:space="preserve">100–250 kJ mol</w:t>
      </w:r>
      <w:r>
        <w:rPr>
          <w:vertAlign w:val="superscript"/>
        </w:rPr>
        <w:t xml:space="preserve">−1</w:t>
      </w:r>
      <w:r>
        <w:t xml:space="preserve"> </w:t>
      </w:r>
      <w:r>
        <w:t xml:space="preserve">at the molecular level for our 15–25-atom leads, consistent with the +170 to +224 kJ mol</w:t>
      </w:r>
      <w:r>
        <w:rPr>
          <w:vertAlign w:val="superscript"/>
        </w:rPr>
        <w:t xml:space="preserve">−1</w:t>
      </w:r>
      <w:r>
        <w:t xml:space="preserve"> </w:t>
      </w:r>
      <w:r>
        <w:t xml:space="preserve">offsets we observe at the RDX/TATB anchors. Casey et al.</w:t>
      </w:r>
      <w:r>
        <w:t xml:space="preserve"> </w:t>
      </w:r>
      <w:hyperlink w:anchor="ref-casey2020prediction">
        <w:r>
          <w:rPr>
            <w:rStyle w:val="Hyperlink"/>
          </w:rPr>
          <w:t xml:space="preserve">[15]</w:t>
        </w:r>
      </w:hyperlink>
      <w:r>
        <w:t xml:space="preserve"> </w:t>
      </w:r>
      <w:r>
        <w:t xml:space="preserve">report B3LYP/6-31G* HOF residuals on a CHNO test set with molecule-level RMSE in the</w:t>
      </w:r>
      <w:r>
        <w:t xml:space="preserve"> </w:t>
      </w:r>
      <m:oMath>
        <m:r>
          <m:rPr>
            <m:sty m:val="p"/>
          </m:rPr>
          <m:t>∼</m:t>
        </m:r>
      </m:oMath>
      <w:r>
        <w:t xml:space="preserve">30–50 kJ mol</w:t>
      </w:r>
      <w:r>
        <w:rPr>
          <w:vertAlign w:val="superscript"/>
        </w:rPr>
        <w:t xml:space="preserve">−1</w:t>
      </w:r>
      <w:r>
        <w:t xml:space="preserve"> </w:t>
      </w:r>
      <w:r>
        <w:t xml:space="preserve">band (</w:t>
      </w:r>
      <m:oMath>
        <m:r>
          <m:rPr>
            <m:sty m:val="p"/>
          </m:rPr>
          <m:t>∼</m:t>
        </m:r>
      </m:oMath>
      <w:r>
        <w:t xml:space="preserve">5–10 kJ mol</w:t>
      </w:r>
      <w:r>
        <w:rPr>
          <w:vertAlign w:val="superscript"/>
        </w:rPr>
        <w:t xml:space="preserve">−1</w:t>
      </w:r>
      <w:r>
        <w:t xml:space="preserve"> </w:t>
      </w:r>
      <w:r>
        <w:t xml:space="preserve">per heavy atom), which is the closest published analogue to our setup and which we adopt as the residual-uncertainty band on calibrated HOFs in Section 2.3. For density, the Bondi van-der-Waals volume estimator</w:t>
      </w:r>
      <w:r>
        <w:t xml:space="preserve"> </w:t>
      </w:r>
      <w:hyperlink w:anchor="ref-bondi1964vdw">
        <w:r>
          <w:rPr>
            <w:rStyle w:val="Hyperlink"/>
          </w:rPr>
          <w:t xml:space="preserve">[Bondi1964]</w:t>
        </w:r>
      </w:hyperlink>
      <w:r>
        <w:t xml:space="preserve"> </w:t>
      </w:r>
      <w:r>
        <w:t xml:space="preserve">requires a packing coefficient that ranges 0.65–0.78 across observed CHNO crystal structures; our fixed value of 0.69 sits near the middle of this range, and the anchor-calibrated</w:t>
      </w:r>
      <w:r>
        <w:t xml:space="preserve"> </w:t>
      </w:r>
      <m:oMath>
        <m:r>
          <m:t>ρ</m:t>
        </m:r>
      </m:oMath>
      <w:r>
        <w:t xml:space="preserve"> </w:t>
      </w:r>
      <w:r>
        <w:t xml:space="preserve">would shift by approximately</w:t>
      </w:r>
      <w:r>
        <w:t xml:space="preserve"> </w:t>
      </w:r>
      <m:oMath>
        <m:r>
          <m:rPr>
            <m:sty m:val="p"/>
          </m:rPr>
          <m:t>±</m:t>
        </m:r>
        <m:r>
          <m:t>0.15</m:t>
        </m:r>
      </m:oMath>
      <w:r>
        <w:t xml:space="preserve"> g cm</w:t>
      </w:r>
      <w:r>
        <w:rPr>
          <w:vertAlign w:val="superscript"/>
        </w:rPr>
        <w:t xml:space="preserve">−3</w:t>
      </w:r>
      <w:r>
        <w:t xml:space="preserve"> </w:t>
      </w:r>
      <w:r>
        <w:t xml:space="preserve">across the full packing-coefficient interval, which dominates the</w:t>
      </w:r>
      <w:r>
        <w:t xml:space="preserve"> </w:t>
      </w:r>
      <m:oMath>
        <m:sSub>
          <m:e>
            <m:r>
              <m:t>ρ</m:t>
            </m:r>
          </m:e>
          <m:sub>
            <m:r>
              <m:rPr>
                <m:nor/>
                <m:sty m:val="p"/>
              </m:rPr>
              <m:t>cal</m:t>
            </m:r>
          </m:sub>
        </m:sSub>
      </m:oMath>
      <w:r>
        <w:t xml:space="preserve"> </w:t>
      </w:r>
      <w:r>
        <w:t xml:space="preserve">uncertainty for any single lead.</w:t>
      </w:r>
    </w:p>
    <w:p>
      <w:pPr>
        <w:pStyle w:val="MDPI18keywords"/>
        <w:ind w:left="2608"/>
      </w:pPr>
      <w:r>
        <w:rPr>
          <w:b/>
          <w:bCs/>
        </w:rPr>
        <w:t xml:space="preserve">C.4 6-anchor calibration (provenance and robustness).</w:t>
      </w:r>
      <w:r>
        <w:t xml:space="preserve"> </w:t>
      </w:r>
      <w:r>
        <w:t xml:space="preserve">The calibration equation and leave-one-out residuals are stated in Table 1 (Section 1.1) and are not repeated here; this note documents their provenance and numerical robustness. The four added anchors (HMX, PETN, FOX-7, NTO) were computed on two independent GPU compute runs (separate hosts); cross-run consistency was</w:t>
      </w:r>
      <w:r>
        <w:t xml:space="preserve"> </w:t>
      </w:r>
      <m:oMath>
        <m:r>
          <m:rPr>
            <m:sty m:val="p"/>
          </m:rPr>
          <m:t>Δ</m:t>
        </m:r>
        <m:r>
          <m:t>ρ</m:t>
        </m:r>
        <m:r>
          <m:rPr>
            <m:sty m:val="p"/>
          </m:rPr>
          <m:t>≤</m:t>
        </m:r>
        <m:r>
          <m:t>0.0002</m:t>
        </m:r>
      </m:oMath>
      <w:r>
        <w:t xml:space="preserve"> g cm</w:t>
      </w:r>
      <w:r>
        <w:rPr>
          <w:vertAlign w:val="superscript"/>
        </w:rPr>
        <w:t xml:space="preserve">−3</w:t>
      </w:r>
      <w:r>
        <w:t xml:space="preserve"> </w:t>
      </w:r>
      <w:r>
        <w:t xml:space="preserve">and</w:t>
      </w:r>
      <w:r>
        <w:t xml:space="preserve"> </w:t>
      </w:r>
      <m:oMath>
        <m:r>
          <m:rPr>
            <m:sty m:val="p"/>
          </m:rPr>
          <m:t>Δ</m:t>
        </m:r>
      </m:oMath>
      <w:r>
        <w:t xml:space="preserve">HOF</w:t>
      </w:r>
      <m:oMath>
        <m:r>
          <m:t> </m:t>
        </m:r>
        <m:r>
          <m:rPr>
            <m:sty m:val="p"/>
          </m:rPr>
          <m:t>=</m:t>
        </m:r>
        <m:r>
          <m:t> </m:t>
        </m:r>
        <m:r>
          <m:t>0.0</m:t>
        </m:r>
      </m:oMath>
      <w:r>
        <w:t xml:space="preserve"> kJ mol</w:t>
      </w:r>
      <w:r>
        <w:rPr>
          <w:vertAlign w:val="superscript"/>
        </w:rPr>
        <w:t xml:space="preserve">−1</w:t>
      </w:r>
      <w:r>
        <w:t xml:space="preserve"> </w:t>
      </w:r>
      <w:r>
        <w:t xml:space="preserve">on every anchor, demonstrating run-to-run determinism of the GPU4PySCF pipeline. The density slope of</w:t>
      </w:r>
      <w:r>
        <w:t xml:space="preserve"> </w:t>
      </w:r>
      <m:oMath>
        <m:r>
          <m:t>1.392</m:t>
        </m:r>
      </m:oMath>
      <w:r>
        <w:t xml:space="preserve"> </w:t>
      </w:r>
      <w:r>
        <w:t xml:space="preserve">sits in the physically expected</w:t>
      </w:r>
      <w:r>
        <w:t xml:space="preserve"> </w:t>
      </w:r>
      <m:oMath>
        <m:r>
          <m:rPr>
            <m:sty m:val="p"/>
          </m:rPr>
          <m:t>[</m:t>
        </m:r>
        <m:r>
          <m:t>1.0</m:t>
        </m:r>
        <m:r>
          <m:rPr>
            <m:sty m:val="p"/>
          </m:rPr>
          <m:t>,</m:t>
        </m:r>
        <m:r>
          <m:t>2.0</m:t>
        </m:r>
        <m:r>
          <m:rPr>
            <m:sty m:val="p"/>
          </m:rPr>
          <m:t>]</m:t>
        </m:r>
      </m:oMath>
      <w:r>
        <w:t xml:space="preserve"> </w:t>
      </w:r>
      <w:r>
        <w:t xml:space="preserve">range for the Bondi-vdW + 0.69-packing estimator under DFT-optimised geometry; the previously reported 2-anchor slope of 4.275 (RDX/TATB only) was a 2-point regression artefact corrected by the 6-anchor extension. The 6-anchor calibration is the source of truth for Section 2.3; per-anchor fit residuals are tabulated in Appendix C.4. The calibrated DFT numbers in Section 2.3 remain ranking-grade rather than absolute-value-grade, with residual atomization-method uncertainty of approximately 5–15 kJ mol</w:t>
      </w:r>
      <w:r>
        <w:rPr>
          <w:vertAlign w:val="superscript"/>
        </w:rPr>
        <w:t xml:space="preserve">−1</w:t>
      </w:r>
      <w:r>
        <w:t xml:space="preserve"> </w:t>
      </w:r>
      <w:r>
        <w:t xml:space="preserve">per atom for B3LYP/6-31G(d) HOFs (Goerigk and Casey benchmarks). (The TATB experimental HOF = −141 kJ mol</w:t>
      </w:r>
      <w:r>
        <w:rPr>
          <w:vertAlign w:val="superscript"/>
        </w:rPr>
        <w:t xml:space="preserve">−1</w:t>
      </w:r>
      <w:r>
        <w:t xml:space="preserve"> </w:t>
      </w:r>
      <w:r>
        <w:t xml:space="preserve">is the 298 K condensed-phase value; applying HOF_cal = HOF_DFT − 206.7 to our 0 K DFT output (+82.9 kJ mol</w:t>
      </w:r>
      <w:r>
        <w:rPr>
          <w:vertAlign w:val="superscript"/>
        </w:rPr>
        <w:t xml:space="preserve">−1</w:t>
      </w:r>
      <w:r>
        <w:t xml:space="preserve">) gives −123.7 kJ mol</w:t>
      </w:r>
      <w:r>
        <w:rPr>
          <w:vertAlign w:val="superscript"/>
        </w:rPr>
        <w:t xml:space="preserve">−1</w:t>
      </w:r>
      <w:r>
        <w:t xml:space="preserve">, a 17 kJ mol</w:t>
      </w:r>
      <w:r>
        <w:rPr>
          <w:vertAlign w:val="superscript"/>
        </w:rPr>
        <w:t xml:space="preserve">−1</w:t>
      </w:r>
      <w:r>
        <w:t xml:space="preserve"> </w:t>
      </w:r>
      <w:r>
        <w:t xml:space="preserve">residual attributable to the 0 K → 298 K thermal correction not included in the linear offset; this is within the ±64.6 kJ mol</w:t>
      </w:r>
      <w:r>
        <w:rPr>
          <w:vertAlign w:val="superscript"/>
        </w:rPr>
        <w:t xml:space="preserve">−1</w:t>
      </w:r>
      <w:r>
        <w:t xml:space="preserve"> </w:t>
      </w:r>
      <w:r>
        <w:t xml:space="preserve">LOO RMS.)</w:t>
      </w:r>
    </w:p>
    <w:p>
      <w:pPr>
        <w:pStyle w:val="MDPI18keywords"/>
        <w:ind w:left="2608"/>
      </w:pPr>
      <w:r>
        <w:rPr>
          <w:b/>
          <w:bCs/>
        </w:rPr>
        <w:t xml:space="preserve">C.5 Per-lead DFT-recomputed property table.</w:t>
      </w:r>
      <w:r>
        <w:t xml:space="preserve"> </w:t>
      </w:r>
      <w:r>
        <w:t xml:space="preserve">Full per-lead B3LYP/6-31G(d) optimisation +</w:t>
      </w:r>
      <w:r>
        <w:t xml:space="preserve"> </w:t>
      </w:r>
      <m:oMath>
        <m:r>
          <m:t>ω</m:t>
        </m:r>
      </m:oMath>
      <w:r>
        <w:t xml:space="preserve">B97X-D3BJ/def2-TZVP single-point results for the chem-pass leads and the two anchors (RDX, TATB):</w:t>
      </w:r>
    </w:p>
    <w:p>
      <w:pPr>
        <w:pStyle w:val="MDPI18keywords"/>
        <w:ind w:left="2608"/>
      </w:pPr>
      <w:r>
        <w:rPr>
          <w:b/>
          <w:bCs/>
        </w:rPr>
        <w:t xml:space="preserve">Table C.1.</w:t>
      </w:r>
      <w:r>
        <w:t xml:space="preserve"> </w:t>
      </w:r>
      <w:r>
        <w:t xml:space="preserve">Per-lead B3LYP/6-31G(d) optimisation + ωB97X-D3BJ/def2-TZVP single-point</w:t>
      </w:r>
      <w:r>
        <w:t xml:space="preserve"> </w:t>
      </w:r>
      <w:r>
        <w:rPr>
          <w:i/>
          <w:iCs/>
        </w:rPr>
        <w:t xml:space="preserve">structural</w:t>
      </w:r>
      <w:r>
        <w:t xml:space="preserve"> </w:t>
      </w:r>
      <w:r>
        <w:t xml:space="preserve">validation for the 12 chem-pass leads and the two anchors (RDX, TATB). Columns: lead ID; molecular formula; atom count; number of imaginary frequencies (0 = real local minimum); minimum real-mode wavenumber; zero-point vibrational energy. Per-lead numbers from</w:t>
      </w:r>
      <w:r>
        <w:t xml:space="preserve"> </w:t>
      </w:r>
      <w:r>
        <w:rPr>
          <w:rStyle w:val="VerbatimChar"/>
        </w:rPr>
        <w:t xml:space="preserve">m2_summary.json</w:t>
      </w:r>
      <w:r>
        <w:t xml:space="preserve"> </w:t>
      </w:r>
      <w:r>
        <w:t xml:space="preserve">and</w:t>
      </w:r>
      <w:r>
        <w:t xml:space="preserve"> </w:t>
      </w:r>
      <w:r>
        <w:rPr>
          <w:rStyle w:val="VerbatimChar"/>
        </w:rPr>
        <w:t xml:space="preserve">m2_lead_*.json</w:t>
      </w:r>
      <w:r>
        <w:t xml:space="preserve">. DFT densities, HOFs, and h</w:t>
      </w:r>
      <w:r>
        <w:rPr>
          <w:vertAlign w:val="subscript"/>
        </w:rPr>
        <w:t xml:space="preserve">50</w:t>
      </w:r>
      <w:r>
        <w:t xml:space="preserve"> </w:t>
      </w:r>
      <w:r>
        <w:t xml:space="preserve">predictions are in Table C.1c.</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81"/>
        <w:gridCol w:w="1533"/>
        <w:gridCol w:w="1241"/>
        <w:gridCol w:w="1105"/>
        <w:gridCol w:w="1484"/>
        <w:gridCol w:w="1614"/>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13.4</w:t>
            </w:r>
          </w:p>
        </w:tc>
        <w:tc>
          <w:tcPr>
            <w:vAlign w:val="center"/>
          </w:tcPr>
          <w:p>
            <w:pPr>
              <w:pStyle w:val="Compact"/>
              <w:suppressAutoHyphens/>
              <w:jc w:val="center"/>
            </w:pPr>
            <w:r>
              <w:rPr>
                <w:sz w:val="18"/>
                <w:szCs w:val="18"/>
              </w:rPr>
              <w:t xml:space="preserve">169.7</w:t>
            </w:r>
          </w:p>
        </w:tc>
      </w:tr>
      <w:tr>
        <w:tc>
          <w:tcPr>
            <w:vAlign w:val="center"/>
          </w:tcPr>
          <w:p>
            <w:pPr>
              <w:pStyle w:val="Compact"/>
              <w:suppressAutoHyphens/>
              <w:jc w:val="center"/>
            </w:pPr>
            <w:r>
              <w:rPr>
                <w:sz w:val="18"/>
                <w:szCs w:val="18"/>
              </w:rPr>
              <w:t xml:space="preserve">L2</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47.1</w:t>
            </w:r>
          </w:p>
        </w:tc>
        <w:tc>
          <w:tcPr>
            <w:vAlign w:val="center"/>
          </w:tcPr>
          <w:p>
            <w:pPr>
              <w:pStyle w:val="Compact"/>
              <w:suppressAutoHyphens/>
              <w:jc w:val="center"/>
            </w:pPr>
            <w:r>
              <w:rPr>
                <w:sz w:val="18"/>
                <w:szCs w:val="18"/>
              </w:rPr>
              <w:t xml:space="preserve">263.1</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52.0</w:t>
            </w:r>
          </w:p>
        </w:tc>
        <w:tc>
          <w:tcPr>
            <w:vAlign w:val="center"/>
          </w:tcPr>
          <w:p>
            <w:pPr>
              <w:pStyle w:val="Compact"/>
              <w:suppressAutoHyphens/>
              <w:jc w:val="center"/>
            </w:pPr>
            <w:r>
              <w:rPr>
                <w:sz w:val="18"/>
                <w:szCs w:val="18"/>
              </w:rPr>
              <w:t xml:space="preserve">205.5</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23.8</w:t>
            </w:r>
          </w:p>
        </w:tc>
        <w:tc>
          <w:tcPr>
            <w:vAlign w:val="center"/>
          </w:tcPr>
          <w:p>
            <w:pPr>
              <w:pStyle w:val="Compact"/>
              <w:suppressAutoHyphens/>
              <w:jc w:val="center"/>
            </w:pPr>
            <w:r>
              <w:rPr>
                <w:sz w:val="18"/>
                <w:szCs w:val="18"/>
              </w:rPr>
              <w:t xml:space="preserve">153.0</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9</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396.4</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18</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9.1</w:t>
            </w:r>
          </w:p>
        </w:tc>
        <w:tc>
          <w:tcPr>
            <w:vAlign w:val="center"/>
          </w:tcPr>
          <w:p>
            <w:pPr>
              <w:pStyle w:val="Compact"/>
              <w:suppressAutoHyphens/>
              <w:jc w:val="center"/>
            </w:pPr>
            <w:r>
              <w:rPr>
                <w:sz w:val="18"/>
                <w:szCs w:val="18"/>
              </w:rPr>
              <w:t xml:space="preserve">271.4</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24.8</w:t>
            </w:r>
          </w:p>
        </w:tc>
        <w:tc>
          <w:tcPr>
            <w:vAlign w:val="center"/>
          </w:tcPr>
          <w:p>
            <w:pPr>
              <w:pStyle w:val="Compact"/>
              <w:suppressAutoHyphens/>
              <w:jc w:val="center"/>
            </w:pPr>
            <w:r>
              <w:rPr>
                <w:sz w:val="18"/>
                <w:szCs w:val="18"/>
              </w:rPr>
              <w:t xml:space="preserve">232.1</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4</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12.9</w:t>
            </w:r>
          </w:p>
        </w:tc>
        <w:tc>
          <w:tcPr>
            <w:vAlign w:val="center"/>
          </w:tcPr>
          <w:p>
            <w:pPr>
              <w:pStyle w:val="Compact"/>
              <w:suppressAutoHyphens/>
              <w:jc w:val="center"/>
            </w:pPr>
            <w:r>
              <w:rPr>
                <w:sz w:val="18"/>
                <w:szCs w:val="18"/>
              </w:rPr>
              <w:t xml:space="preserve">303.0</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2</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172.8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190.6</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40.3</w:t>
            </w:r>
          </w:p>
        </w:tc>
        <w:tc>
          <w:tcPr>
            <w:vAlign w:val="center"/>
          </w:tcPr>
          <w:p>
            <w:pPr>
              <w:pStyle w:val="Compact"/>
              <w:suppressAutoHyphens/>
              <w:jc w:val="center"/>
            </w:pPr>
            <w:r>
              <w:rPr>
                <w:sz w:val="18"/>
                <w:szCs w:val="18"/>
              </w:rPr>
              <w:t xml:space="preserve">375.0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C</w:t>
            </w:r>
            <w:r>
              <w:rPr>
                <w:vertAlign w:val="subscript"/>
                <w:sz w:val="18"/>
                <w:szCs w:val="18"/>
              </w:rPr>
              <w:t xml:space="preserve">6</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6.8</w:t>
            </w:r>
          </w:p>
        </w:tc>
        <w:tc>
          <w:tcPr>
            <w:vAlign w:val="center"/>
          </w:tcPr>
          <w:p>
            <w:pPr>
              <w:pStyle w:val="Compact"/>
              <w:suppressAutoHyphens/>
              <w:jc w:val="center"/>
            </w:pPr>
            <w:r>
              <w:rPr>
                <w:sz w:val="18"/>
                <w:szCs w:val="18"/>
              </w:rPr>
              <w:t xml:space="preserve">419.1</w:t>
            </w:r>
          </w:p>
        </w:tc>
      </w:tr>
    </w:tbl>
    <w:p>
      <w:pPr>
        <w:pStyle w:val="MDPI18keywords"/>
        <w:ind w:left="2608"/>
      </w:pPr>
      <w:r>
        <w:rPr>
          <w:b/>
          <w:bCs/>
        </w:rPr>
        <w:t xml:space="preserve">Note on L3/L16.</w:t>
      </w:r>
      <w:r>
        <w:t xml:space="preserve"> </w:t>
      </w:r>
      <w: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MDPI18keywords"/>
        <w:ind w:left="2608"/>
      </w:pPr>
      <w:r>
        <w:rPr>
          <w:b/>
          <w:bCs/>
        </w:rPr>
        <w:t xml:space="preserve">Note on L9/L20.</w:t>
      </w:r>
      <w:r>
        <w:t xml:space="preserve"> </w:t>
      </w:r>
      <w:r>
        <w:t xml:space="preserve">ν_min = 0.0 cm</w:t>
      </w:r>
      <w:r>
        <w:rPr>
          <w:vertAlign w:val="superscript"/>
        </w:rPr>
        <w:t xml:space="preserve">−1</w:t>
      </w:r>
      <w:r>
        <w:t xml:space="preserve"> </w:t>
      </w:r>
      <w:r>
        <w:t xml:space="preserve">reflects a near-zero torsional frequency (soft dihedral mode within numerical precision of the geometry optimizer) rather than an imaginary mode or saddle point; n_imag = 0 confirms these are real local minima.</w:t>
      </w:r>
    </w:p>
    <w:p>
      <w:pPr>
        <w:pStyle w:val="MDPI18keywords"/>
        <w:ind w:left="2608"/>
      </w:pPr>
      <w:r>
        <w:rPr>
          <w:b/>
          <w:bCs/>
        </w:rPr>
        <w:t xml:space="preserve">Table C.1c.</w:t>
      </w:r>
      <w:r>
        <w:t xml:space="preserve"> </w:t>
      </w:r>
      <w:r>
        <w:t xml:space="preserve">DFT-derived</w:t>
      </w:r>
      <w:r>
        <w:t xml:space="preserve"> </w:t>
      </w:r>
      <w:r>
        <w:rPr>
          <w:i/>
          <w:iCs/>
        </w:rPr>
        <w:t xml:space="preserve">properties</w:t>
      </w:r>
      <w:r>
        <w:t xml:space="preserve"> </w:t>
      </w:r>
      <w:r>
        <w:t xml:space="preserve">for the 12 chem-pass leads and the two RDX/TATB anchors under the 6-anchor calibration. ρ</w:t>
      </w:r>
      <w:r>
        <w:rPr>
          <w:vertAlign w:val="subscript"/>
        </w:rPr>
        <w:t xml:space="preserve">cal</w:t>
      </w:r>
      <w:r>
        <w:t xml:space="preserve"> </w:t>
      </w:r>
      <w:r>
        <w:t xml:space="preserve">= 1.392·ρ</w:t>
      </w:r>
      <w:r>
        <w:rPr>
          <w:vertAlign w:val="subscript"/>
        </w:rPr>
        <w:t xml:space="preserve">DFT</w:t>
      </w:r>
      <w:r>
        <w:t xml:space="preserve"> </w:t>
      </w:r>
      <w:r>
        <w:t xml:space="preserve">− 0.415; HOF</w:t>
      </w:r>
      <w:r>
        <w:rPr>
          <w:vertAlign w:val="subscript"/>
        </w:rPr>
        <w:t xml:space="preserve">cal</w:t>
      </w:r>
      <w:r>
        <w:t xml:space="preserve"> </w:t>
      </w:r>
      <w:r>
        <w:t xml:space="preserve">= HOF</w:t>
      </w:r>
      <w:r>
        <w:rPr>
          <w:vertAlign w:val="subscript"/>
        </w:rPr>
        <w:t xml:space="preserve">DFT</w:t>
      </w:r>
      <w:r>
        <w:t xml:space="preserve"> </w:t>
      </w:r>
      <w:r>
        <w:t xml:space="preserve">− 206.7 kJ mol</w:t>
      </w:r>
      <w:r>
        <w:rPr>
          <w:vertAlign w:val="superscript"/>
        </w:rPr>
        <w:t xml:space="preserve">−1</w:t>
      </w:r>
      <w:r>
        <w:t xml:space="preserve"> </w:t>
      </w:r>
      <w:r>
        <w:t xml:space="preserve">(6-anchor RDX/TATB/HMX/PETN/FOX-7/NTO fit; LOO RMS ±0.078 g cm</w:t>
      </w:r>
      <w:r>
        <w:rPr>
          <w:vertAlign w:val="superscript"/>
        </w:rPr>
        <w:t xml:space="preserve">−3</w:t>
      </w:r>
      <w:r>
        <w:t xml:space="preserve"> </w:t>
      </w:r>
      <w:r>
        <w:t xml:space="preserve">on ρ and ±64.6 kJ mol</w:t>
      </w:r>
      <w:r>
        <w:rPr>
          <w:vertAlign w:val="superscript"/>
        </w:rPr>
        <w:t xml:space="preserve">−1</w:t>
      </w:r>
      <w:r>
        <w:t xml:space="preserve"> </w:t>
      </w:r>
      <w:r>
        <w:t xml:space="preserve">on HOF). h</w:t>
      </w:r>
      <w:r>
        <w:rPr>
          <w:vertAlign w:val="subscript"/>
        </w:rPr>
        <w:t xml:space="preserve">50,model</w:t>
      </w:r>
      <w:r>
        <w:t xml:space="preserve"> </w:t>
      </w:r>
      <w:r>
        <w:t xml:space="preserve">from the h50 score-model head (Huang and Massa</w:t>
      </w:r>
      <w:r>
        <w:t xml:space="preserve"> </w:t>
      </w:r>
      <w:hyperlink w:anchor="ref-huang2021applying">
        <w:r>
          <w:rPr>
            <w:rStyle w:val="Hyperlink"/>
          </w:rPr>
          <w:t xml:space="preserve">[huang2021]</w:t>
        </w:r>
      </w:hyperlink>
      <w:r>
        <w:t xml:space="preserve">); h</w:t>
      </w:r>
      <w:r>
        <w:rPr>
          <w:vertAlign w:val="subscript"/>
        </w:rPr>
        <w:t xml:space="preserve">50,BDE</w:t>
      </w:r>
      <w:r>
        <w:t xml:space="preserve"> </w:t>
      </w:r>
      <w:r>
        <w:t xml:space="preserve">via Politzer–Murray 2014 chemotype-class linear fit h</w:t>
      </w:r>
      <w:r>
        <w:rPr>
          <w:vertAlign w:val="subscript"/>
        </w:rPr>
        <w:t xml:space="preserve">50</w:t>
      </w:r>
      <w:r>
        <w:t xml:space="preserve">=1.93·BDE−52.4 (BDE class typicals: Ar–NO</w:t>
      </w:r>
      <w:r>
        <w:rPr>
          <w:vertAlign w:val="subscript"/>
        </w:rPr>
        <w:t xml:space="preserve">2</w:t>
      </w:r>
      <w:r>
        <w:t xml:space="preserve"> </w:t>
      </w:r>
      <w:r>
        <w:t xml:space="preserve">70, R</w:t>
      </w:r>
      <w:r>
        <w:rPr>
          <w:vertAlign w:val="subscript"/>
        </w:rPr>
        <w:t xml:space="preserve">2</w:t>
      </w:r>
      <w:r>
        <w:t xml:space="preserve">N–NO</w:t>
      </w:r>
      <w:r>
        <w:rPr>
          <w:vertAlign w:val="subscript"/>
        </w:rPr>
        <w:t xml:space="preserve">2</w:t>
      </w:r>
      <w:r>
        <w:t xml:space="preserve"> </w:t>
      </w:r>
      <w:r>
        <w:t xml:space="preserve">47, R-CH-NO</w:t>
      </w:r>
      <w:r>
        <w:rPr>
          <w:vertAlign w:val="subscript"/>
        </w:rPr>
        <w:t xml:space="preserve">2</w:t>
      </w:r>
      <w:r>
        <w:t xml:space="preserve"> </w:t>
      </w:r>
      <w:r>
        <w:t xml:space="preserve">55, R-O-NO</w:t>
      </w:r>
      <w:r>
        <w:rPr>
          <w:vertAlign w:val="subscript"/>
        </w:rPr>
        <w:t xml:space="preserve">2</w:t>
      </w:r>
      <w:r>
        <w:t xml:space="preserve"> </w:t>
      </w:r>
      <w:r>
        <w:t xml:space="preserve">40 kcal mol</w:t>
      </w:r>
      <w:r>
        <w:rPr>
          <w:vertAlign w:val="superscript"/>
        </w:rPr>
        <w:t xml:space="preserve">−1</w:t>
      </w:r>
      <w:r>
        <w:t xml:space="preserve">). Anchor sanity check: RDX h</w:t>
      </w:r>
      <w:r>
        <w:rPr>
          <w:vertAlign w:val="subscript"/>
        </w:rPr>
        <w:t xml:space="preserve">50,model</w:t>
      </w:r>
      <w:r>
        <w:t xml:space="preserve">=26.3 cm vs literature 25–30; TATB 89.2 vs literature 140–490 (both routes underpredict TATB; H-bond cushioning is not in the BDE-only class scheme).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736"/>
        <w:gridCol w:w="1013"/>
        <w:gridCol w:w="1013"/>
        <w:gridCol w:w="1351"/>
        <w:gridCol w:w="1214"/>
        <w:gridCol w:w="1338"/>
        <w:gridCol w:w="119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50,model</w:t>
            </w:r>
            <w:r>
              <w:rPr>
                <w:b/>
                <w:sz w:val="18"/>
                <w:szCs w:val="18"/>
              </w:rPr>
              <w:t xml:space="preserve"> </w:t>
            </w:r>
            <w:r>
              <w:rPr>
                <w:b/>
                <w:sz w:val="18"/>
                <w:szCs w:val="18"/>
              </w:rPr>
              <w:t xml:space="preserve">(cm)</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1.801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+229.5</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30.3</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L2</w:t>
            </w:r>
          </w:p>
        </w:tc>
        <w:tc>
          <w:tcPr>
            <w:vAlign w:val="center"/>
          </w:tcPr>
          <w:p>
            <w:pPr>
              <w:pStyle w:val="Compact"/>
              <w:suppressAutoHyphens/>
              <w:jc w:val="center"/>
            </w:pPr>
            <w:r>
              <w:rPr>
                <w:sz w:val="18"/>
                <w:szCs w:val="18"/>
              </w:rPr>
              <w:t xml:space="preserve">1.699</w:t>
            </w:r>
          </w:p>
        </w:tc>
        <w:tc>
          <w:tcPr>
            <w:vAlign w:val="center"/>
          </w:tcPr>
          <w:p>
            <w:pPr>
              <w:pStyle w:val="Compact"/>
              <w:suppressAutoHyphens/>
              <w:jc w:val="center"/>
            </w:pPr>
            <w:r>
              <w:rPr>
                <w:sz w:val="18"/>
                <w:szCs w:val="18"/>
              </w:rPr>
              <w:t xml:space="preserve">1.949</w:t>
            </w:r>
          </w:p>
        </w:tc>
        <w:tc>
          <w:tcPr>
            <w:vAlign w:val="center"/>
          </w:tcPr>
          <w:p>
            <w:pPr>
              <w:pStyle w:val="Compact"/>
              <w:suppressAutoHyphens/>
              <w:jc w:val="center"/>
            </w:pPr>
            <w:r>
              <w:rPr>
                <w:sz w:val="18"/>
                <w:szCs w:val="18"/>
              </w:rPr>
              <w:t xml:space="preserve">+117.3</w:t>
            </w:r>
          </w:p>
        </w:tc>
        <w:tc>
          <w:tcPr>
            <w:vAlign w:val="center"/>
          </w:tcPr>
          <w:p>
            <w:pPr>
              <w:pStyle w:val="Compact"/>
              <w:suppressAutoHyphens/>
              <w:jc w:val="center"/>
            </w:pPr>
            <w:r>
              <w:rPr>
                <w:sz w:val="18"/>
                <w:szCs w:val="18"/>
              </w:rPr>
              <w:t xml:space="preserve">-89.3</w:t>
            </w:r>
          </w:p>
        </w:tc>
        <w:tc>
          <w:tcPr>
            <w:vAlign w:val="center"/>
          </w:tcPr>
          <w:p>
            <w:pPr>
              <w:pStyle w:val="Compact"/>
              <w:suppressAutoHyphens/>
              <w:jc w:val="center"/>
            </w:pPr>
            <w:r>
              <w:rPr>
                <w:sz w:val="18"/>
                <w:szCs w:val="18"/>
              </w:rPr>
              <w:t xml:space="preserve">33.5</w:t>
            </w:r>
          </w:p>
        </w:tc>
        <w:tc>
          <w:tcPr>
            <w:vAlign w:val="center"/>
          </w:tcPr>
          <w:p>
            <w:pPr>
              <w:pStyle w:val="Compact"/>
              <w:suppressAutoHyphens/>
              <w:jc w:val="center"/>
            </w:pPr>
            <w:r>
              <w:rPr>
                <w:sz w:val="18"/>
                <w:szCs w:val="18"/>
              </w:rPr>
              <w:t xml:space="preserve">53.8</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1.692</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+498.8</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27.8</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1.693</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+53.6</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33.4</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+536.5</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21.9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1.634</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+321.8</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31.0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1.619</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+388.7</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1.666</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-166.7</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45.5</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1.723</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+194.7</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1.632</w:t>
            </w:r>
          </w:p>
        </w:tc>
        <w:tc>
          <w:tcPr>
            <w:vAlign w:val="center"/>
          </w:tcPr>
          <w:p>
            <w:pPr>
              <w:pStyle w:val="Compact"/>
              <w:suppressAutoHyphens/>
              <w:jc w:val="center"/>
            </w:pPr>
            <w:r>
              <w:rPr>
                <w:sz w:val="18"/>
                <w:szCs w:val="18"/>
              </w:rPr>
              <w:t xml:space="preserve">1.857</w:t>
            </w:r>
          </w:p>
        </w:tc>
        <w:tc>
          <w:tcPr>
            <w:vAlign w:val="center"/>
          </w:tcPr>
          <w:p>
            <w:pPr>
              <w:pStyle w:val="Compact"/>
              <w:suppressAutoHyphens/>
              <w:jc w:val="center"/>
            </w:pPr>
            <w:r>
              <w:rPr>
                <w:sz w:val="18"/>
                <w:szCs w:val="18"/>
              </w:rPr>
              <w:t xml:space="preserve">+240.4</w:t>
            </w:r>
          </w:p>
        </w:tc>
        <w:tc>
          <w:tcPr>
            <w:vAlign w:val="center"/>
          </w:tcPr>
          <w:p>
            <w:pPr>
              <w:pStyle w:val="Compact"/>
              <w:suppressAutoHyphens/>
              <w:jc w:val="center"/>
            </w:pPr>
            <w:r>
              <w:rPr>
                <w:sz w:val="18"/>
                <w:szCs w:val="18"/>
              </w:rPr>
              <w:t xml:space="preserve">+33.8</w:t>
            </w:r>
          </w:p>
        </w:tc>
        <w:tc>
          <w:tcPr>
            <w:vAlign w:val="center"/>
          </w:tcPr>
          <w:p>
            <w:pPr>
              <w:pStyle w:val="Compact"/>
              <w:suppressAutoHyphens/>
              <w:jc w:val="center"/>
            </w:pPr>
            <w:r>
              <w:rPr>
                <w:sz w:val="18"/>
                <w:szCs w:val="18"/>
              </w:rPr>
              <w:t xml:space="preserve">26.3</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+82.9</w:t>
            </w:r>
          </w:p>
        </w:tc>
        <w:tc>
          <w:tcPr>
            <w:vAlign w:val="center"/>
          </w:tcPr>
          <w:p>
            <w:pPr>
              <w:pStyle w:val="Compact"/>
              <w:suppressAutoHyphens/>
              <w:jc w:val="center"/>
            </w:pPr>
            <w:r>
              <w:rPr>
                <w:sz w:val="18"/>
                <w:szCs w:val="18"/>
              </w:rPr>
              <w:t xml:space="preserve">-123.7</w:t>
            </w:r>
          </w:p>
        </w:tc>
        <w:tc>
          <w:tcPr>
            <w:vAlign w:val="center"/>
          </w:tcPr>
          <w:p>
            <w:pPr>
              <w:pStyle w:val="Compact"/>
              <w:suppressAutoHyphens/>
              <w:jc w:val="center"/>
            </w:pPr>
            <w:r>
              <w:rPr>
                <w:sz w:val="18"/>
                <w:szCs w:val="18"/>
              </w:rPr>
              <w:t xml:space="preserve">89.2</w:t>
            </w:r>
          </w:p>
        </w:tc>
        <w:tc>
          <w:tcPr>
            <w:vAlign w:val="center"/>
          </w:tcPr>
          <w:p>
            <w:pPr>
              <w:pStyle w:val="Compact"/>
              <w:suppressAutoHyphens/>
              <w:jc w:val="center"/>
            </w:pPr>
            <w:r>
              <w:rPr>
                <w:sz w:val="18"/>
                <w:szCs w:val="18"/>
              </w:rPr>
              <w:t xml:space="preserve">82.7</w:t>
            </w:r>
          </w:p>
        </w:tc>
      </w:tr>
    </w:tbl>
    <w:p>
      <w:pPr>
        <w:pStyle w:val="MDPI18keywords"/>
        <w:ind w:left="2608"/>
      </w:pPr>
      <w:r>
        <w:rPr>
          <w:b/>
          <w:bCs/>
        </w:rPr>
        <w:t xml:space="preserve">L1 discrepancy.</w:t>
      </w:r>
      <w:r>
        <w:t xml:space="preserve"> </w:t>
      </w:r>
      <w:r>
        <w:t xml:space="preserve">The score model predicts h</w:t>
      </w:r>
      <w:r>
        <w:rPr>
          <w:vertAlign w:val="subscript"/>
        </w:rPr>
        <w:t xml:space="preserve">50,model</w:t>
      </w:r>
      <w:r>
        <w:t xml:space="preserve">=30.3 cm (more sensitive) while the BDE estimate gives h</w:t>
      </w:r>
      <w:r>
        <w:rPr>
          <w:vertAlign w:val="subscript"/>
        </w:rPr>
        <w:t xml:space="preserve">50,BDE</w:t>
      </w:r>
      <w:r>
        <w:t xml:space="preserve">=82.7 cm (less sensitive), a factor of 2.7. The two methods disagree on L1 because the model was calibrated on a drug-domain distribution (few isoxazole-class nitro compounds in training), whereas the BDE formula classifies L1's Ar–NO</w:t>
      </w:r>
      <w:r>
        <w:rPr>
          <w:vertAlign w:val="subscript"/>
        </w:rPr>
        <w:t xml:space="preserve">2</w:t>
      </w:r>
      <w:r>
        <w:t xml:space="preserve"> </w:t>
      </w:r>
      <w:r>
        <w:t xml:space="preserve">bonds using the aromatic-nitro class typical (BDE~70 kcal mol</w:t>
      </w:r>
      <w:r>
        <w:rPr>
          <w:vertAlign w:val="superscript"/>
        </w:rPr>
        <w:t xml:space="preserve">−1</w:t>
      </w:r>
      <w:r>
        <w:t xml:space="preserve">). Neither route is authoritative for a novel chemotype; experimental impact-sensitivity testing is required.</w:t>
      </w:r>
    </w:p>
    <w:p>
      <w:pPr>
        <w:pStyle w:val="MDPI18keywords"/>
        <w:ind w:left="2608"/>
      </w:pPr>
      <w:r>
        <w:rPr>
          <w:b/>
          <w:bCs/>
        </w:rPr>
        <w:t xml:space="preserve">Reference-class scaffolds.</w:t>
      </w:r>
      <w:r>
        <w:t xml:space="preserve"> </w:t>
      </w:r>
      <w:r>
        <w:t xml:space="preserve">Three reference-class compounds (R2, R3, R14) flagged by the strengthened SMARTS gate of Section 2.4 were optimised with the same protocol; they are</w:t>
      </w:r>
      <w:r>
        <w:t xml:space="preserve"> </w:t>
      </w:r>
      <w:r>
        <w:rPr>
          <w:i/>
          <w:iCs/>
        </w:rPr>
        <w:t xml:space="preserve">not</w:t>
      </w:r>
      <w:r>
        <w:t xml:space="preserve"> </w:t>
      </w:r>
      <w:r>
        <w:t xml:space="preserve">chem-pass leads and are reported here for completeness:</w:t>
      </w:r>
    </w:p>
    <w:p>
      <w:pPr>
        <w:pStyle w:val="MDPI18keywords"/>
        <w:ind w:left="2608"/>
      </w:pPr>
      <w:r>
        <w:rPr>
          <w:b/>
          <w:bCs/>
        </w:rPr>
        <w:t xml:space="preserve">Table C.1b.</w:t>
      </w:r>
      <w:r>
        <w:t xml:space="preserve"> </w:t>
      </w:r>
      <w:r>
        <w:t xml:space="preserve">Reference-class (chem-rejected) scaffolds optimised with the same B3LYP/6-31G(d) + ωB97X-D3BJ/def2-TZVP protocol. R2 is an N-nitroimine, R3 a polyazene chain, R14 an azo-amino-nitrate. DFT-derived properties for these compounds are in Table C.1d.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63"/>
        <w:gridCol w:w="1570"/>
        <w:gridCol w:w="1274"/>
        <w:gridCol w:w="1133"/>
        <w:gridCol w:w="1540"/>
        <w:gridCol w:w="167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47.1</w:t>
            </w:r>
          </w:p>
        </w:tc>
        <w:tc>
          <w:tcPr>
            <w:vAlign w:val="center"/>
          </w:tcPr>
          <w:p>
            <w:pPr>
              <w:pStyle w:val="Compact"/>
              <w:suppressAutoHyphens/>
              <w:jc w:val="center"/>
            </w:pPr>
            <w:r>
              <w:rPr>
                <w:sz w:val="18"/>
                <w:szCs w:val="18"/>
              </w:rPr>
              <w:t xml:space="preserve">263.1</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33.3</w:t>
            </w:r>
          </w:p>
        </w:tc>
        <w:tc>
          <w:tcPr>
            <w:vAlign w:val="center"/>
          </w:tcPr>
          <w:p>
            <w:pPr>
              <w:pStyle w:val="Compact"/>
              <w:suppressAutoHyphens/>
              <w:jc w:val="center"/>
            </w:pPr>
            <w:r>
              <w:rPr>
                <w:sz w:val="18"/>
                <w:szCs w:val="18"/>
              </w:rPr>
              <w:t xml:space="preserve">234.3</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36.9</w:t>
            </w:r>
          </w:p>
        </w:tc>
        <w:tc>
          <w:tcPr>
            <w:vAlign w:val="center"/>
          </w:tcPr>
          <w:p>
            <w:pPr>
              <w:pStyle w:val="Compact"/>
              <w:suppressAutoHyphens/>
              <w:jc w:val="center"/>
            </w:pPr>
            <w:r>
              <w:rPr>
                <w:sz w:val="18"/>
                <w:szCs w:val="18"/>
              </w:rPr>
              <w:t xml:space="preserve">348.6</w:t>
            </w:r>
          </w:p>
        </w:tc>
      </w:tr>
    </w:tbl>
    <w:p>
      <w:pPr>
        <w:pStyle w:val="MDPI18keywords"/>
        <w:ind w:left="2608"/>
      </w:pPr>
    </w:p>
    <w:p>
      <w:pPr>
        <w:pStyle w:val="MDPI18keywords"/>
        <w:ind w:left="2608"/>
      </w:pPr>
      <w:r>
        <w:rPr>
          <w:b/>
          <w:bCs/>
        </w:rPr>
        <w:t xml:space="preserve">Table C.1d.</w:t>
      </w:r>
      <w:r>
        <w:t xml:space="preserve"> </w:t>
      </w:r>
      <w:r>
        <w:t xml:space="preserve">DFT-derived properties for the three reference-class scaffolds. Calibration as Table C.1c. h</w:t>
      </w:r>
      <w:r>
        <w:rPr>
          <w:vertAlign w:val="subscript"/>
        </w:rPr>
        <w:t xml:space="preserve">50</w:t>
      </w:r>
      <w:r>
        <w:t xml:space="preserve"> </w:t>
      </w:r>
      <w:r>
        <w:t xml:space="preserve">not reported because the score-model training set does not include reference-class chemotypes at sufficient density.</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70"/>
        <w:gridCol w:w="1576"/>
        <w:gridCol w:w="1576"/>
        <w:gridCol w:w="2086"/>
        <w:gridCol w:w="1950"/>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1.699</w:t>
            </w:r>
          </w:p>
        </w:tc>
        <w:tc>
          <w:tcPr>
            <w:vAlign w:val="center"/>
          </w:tcPr>
          <w:p>
            <w:pPr>
              <w:pStyle w:val="Compact"/>
              <w:suppressAutoHyphens/>
              <w:jc w:val="center"/>
            </w:pPr>
            <w:r>
              <w:rPr>
                <w:sz w:val="18"/>
                <w:szCs w:val="18"/>
              </w:rPr>
              <w:t xml:space="preserve">1.950</w:t>
            </w:r>
          </w:p>
        </w:tc>
        <w:tc>
          <w:tcPr>
            <w:vAlign w:val="center"/>
          </w:tcPr>
          <w:p>
            <w:pPr>
              <w:pStyle w:val="Compact"/>
              <w:suppressAutoHyphens/>
              <w:jc w:val="center"/>
            </w:pPr>
            <w:r>
              <w:rPr>
                <w:sz w:val="18"/>
                <w:szCs w:val="18"/>
              </w:rPr>
              <w:t xml:space="preserve">+117.3</w:t>
            </w:r>
          </w:p>
        </w:tc>
        <w:tc>
          <w:tcPr>
            <w:vAlign w:val="center"/>
          </w:tcPr>
          <w:p>
            <w:pPr>
              <w:pStyle w:val="Compact"/>
              <w:suppressAutoHyphens/>
              <w:jc w:val="center"/>
            </w:pPr>
            <w:r>
              <w:rPr>
                <w:sz w:val="18"/>
                <w:szCs w:val="18"/>
              </w:rPr>
              <w:t xml:space="preserve">-89.4</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1.642</w:t>
            </w:r>
          </w:p>
        </w:tc>
        <w:tc>
          <w:tcPr>
            <w:vAlign w:val="center"/>
          </w:tcPr>
          <w:p>
            <w:pPr>
              <w:pStyle w:val="Compact"/>
              <w:suppressAutoHyphens/>
              <w:jc w:val="center"/>
            </w:pPr>
            <w:r>
              <w:rPr>
                <w:sz w:val="18"/>
                <w:szCs w:val="18"/>
              </w:rPr>
              <w:t xml:space="preserve">1.871</w:t>
            </w:r>
          </w:p>
        </w:tc>
        <w:tc>
          <w:tcPr>
            <w:vAlign w:val="center"/>
          </w:tcPr>
          <w:p>
            <w:pPr>
              <w:pStyle w:val="Compact"/>
              <w:suppressAutoHyphens/>
              <w:jc w:val="center"/>
            </w:pPr>
            <w:r>
              <w:rPr>
                <w:sz w:val="18"/>
                <w:szCs w:val="18"/>
              </w:rPr>
              <w:t xml:space="preserve">+521.7</w:t>
            </w:r>
          </w:p>
        </w:tc>
        <w:tc>
          <w:tcPr>
            <w:vAlign w:val="center"/>
          </w:tcPr>
          <w:p>
            <w:pPr>
              <w:pStyle w:val="Compact"/>
              <w:suppressAutoHyphens/>
              <w:jc w:val="center"/>
            </w:pPr>
            <w:r>
              <w:rPr>
                <w:sz w:val="18"/>
                <w:szCs w:val="18"/>
              </w:rPr>
              <w:t xml:space="preserve">+315.0</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1.604</w:t>
            </w:r>
          </w:p>
        </w:tc>
        <w:tc>
          <w:tcPr>
            <w:vAlign w:val="center"/>
          </w:tcPr>
          <w:p>
            <w:pPr>
              <w:pStyle w:val="Compact"/>
              <w:suppressAutoHyphens/>
              <w:jc w:val="center"/>
            </w:pPr>
            <w:r>
              <w:rPr>
                <w:sz w:val="18"/>
                <w:szCs w:val="18"/>
              </w:rPr>
              <w:t xml:space="preserve">1.818</w:t>
            </w:r>
          </w:p>
        </w:tc>
        <w:tc>
          <w:tcPr>
            <w:vAlign w:val="center"/>
          </w:tcPr>
          <w:p>
            <w:pPr>
              <w:pStyle w:val="Compact"/>
              <w:suppressAutoHyphens/>
              <w:jc w:val="center"/>
            </w:pPr>
            <w:r>
              <w:rPr>
                <w:sz w:val="18"/>
                <w:szCs w:val="18"/>
              </w:rPr>
              <w:t xml:space="preserve">+437.4</w:t>
            </w:r>
          </w:p>
        </w:tc>
        <w:tc>
          <w:tcPr>
            <w:vAlign w:val="center"/>
          </w:tcPr>
          <w:p>
            <w:pPr>
              <w:pStyle w:val="Compact"/>
              <w:suppressAutoHyphens/>
              <w:jc w:val="center"/>
            </w:pPr>
            <w:r>
              <w:rPr>
                <w:sz w:val="18"/>
                <w:szCs w:val="18"/>
              </w:rPr>
              <w:t xml:space="preserve">+230.7</w:t>
            </w:r>
          </w:p>
        </w:tc>
      </w:tr>
    </w:tbl>
    <w:p>
      <w:pPr>
        <w:pStyle w:val="MDPI18keywords"/>
        <w:ind w:left="2608"/>
      </w:pPr>
      <w:r>
        <w:rPr>
          <w:b/>
          <w:bCs/>
        </w:rPr>
        <w:t xml:space="preserve">Anchor calibration (6-anchor).</w:t>
      </w:r>
      <w:r>
        <w:t xml:space="preserve"> </w:t>
      </w:r>
      <w:r>
        <w:t xml:space="preserve">Experimental</w:t>
      </w:r>
      <w:r>
        <w:t xml:space="preserve"> </w:t>
      </w:r>
      <m:oMath>
        <m:r>
          <m:rPr>
            <m:sty m:val="p"/>
          </m:rPr>
          <m:t>(</m:t>
        </m:r>
        <m:r>
          <m:t>ρ</m:t>
        </m:r>
        <m:r>
          <m:rPr>
            <m:sty m:val="p"/>
          </m:rPr>
          <m:t>,</m:t>
        </m:r>
        <m:r>
          <m:rPr>
            <m:nor/>
            <m:sty m:val="p"/>
          </m:rPr>
          <m:t>HOF</m:t>
        </m:r>
        <m:r>
          <m:rPr>
            <m:sty m:val="p"/>
          </m:rPr>
          <m:t>)</m:t>
        </m:r>
      </m:oMath>
      <w:r>
        <w:t xml:space="preserve"> </w:t>
      </w:r>
      <w:r>
        <w:t xml:space="preserve">anchors: RDX</w:t>
      </w:r>
      <w:r>
        <w:t xml:space="preserve"> </w:t>
      </w:r>
      <m:oMath>
        <m:r>
          <m:rPr>
            <m:sty m:val="p"/>
          </m:rPr>
          <m:t>(</m:t>
        </m:r>
        <m:r>
          <m:t>1.82</m:t>
        </m:r>
        <m:r>
          <m:rPr>
            <m:sty m:val="p"/>
          </m:rPr>
          <m:t>,</m:t>
        </m:r>
        <m:r>
          <m:rPr>
            <m:sty m:val="p"/>
          </m:rPr>
          <m:t>+</m:t>
        </m:r>
        <m:r>
          <m:t>70</m:t>
        </m:r>
        <m:r>
          <m:rPr>
            <m:sty m:val="p"/>
          </m:rPr>
          <m:t>)</m:t>
        </m:r>
      </m:oMath>
      <w:r>
        <w:t xml:space="preserve">, TATB</w:t>
      </w:r>
      <w:r>
        <w:t xml:space="preserve"> </w:t>
      </w:r>
      <m:oMath>
        <m:r>
          <m:rPr>
            <m:sty m:val="p"/>
          </m:rPr>
          <m:t>(</m:t>
        </m:r>
        <m:r>
          <m:t>1.94</m:t>
        </m:r>
        <m:r>
          <m:rPr>
            <m:sty m:val="p"/>
          </m:rPr>
          <m:t>,</m:t>
        </m:r>
        <m:r>
          <m:rPr>
            <m:sty m:val="p"/>
          </m:rPr>
          <m:t>−</m:t>
        </m:r>
        <m:r>
          <m:t>141</m:t>
        </m:r>
        <m:r>
          <m:rPr>
            <m:sty m:val="p"/>
          </m:rPr>
          <m:t>)</m:t>
        </m:r>
      </m:oMath>
      <w:r>
        <w:t xml:space="preserve">, HMX</w:t>
      </w:r>
      <w:r>
        <w:t xml:space="preserve"> </w:t>
      </w:r>
      <m:oMath>
        <m:r>
          <m:rPr>
            <m:sty m:val="p"/>
          </m:rPr>
          <m:t>(</m:t>
        </m:r>
        <m:r>
          <m:t>1.91</m:t>
        </m:r>
        <m:r>
          <m:rPr>
            <m:sty m:val="p"/>
          </m:rPr>
          <m:t>,</m:t>
        </m:r>
        <m:r>
          <m:rPr>
            <m:sty m:val="p"/>
          </m:rPr>
          <m:t>+</m:t>
        </m:r>
        <m:r>
          <m:t>75</m:t>
        </m:r>
        <m:r>
          <m:rPr>
            <m:sty m:val="p"/>
          </m:rPr>
          <m:t>)</m:t>
        </m:r>
      </m:oMath>
      <w:r>
        <w:t xml:space="preserve">, PETN</w:t>
      </w:r>
      <w:r>
        <w:t xml:space="preserve"> </w:t>
      </w:r>
      <m:oMath>
        <m:r>
          <m:rPr>
            <m:sty m:val="p"/>
          </m:rPr>
          <m:t>(</m:t>
        </m:r>
        <m:r>
          <m:t>1.77</m:t>
        </m:r>
        <m:r>
          <m:rPr>
            <m:sty m:val="p"/>
          </m:rPr>
          <m:t>,</m:t>
        </m:r>
        <m:r>
          <m:rPr>
            <m:sty m:val="p"/>
          </m:rPr>
          <m:t>−</m:t>
        </m:r>
        <m:r>
          <m:t>538</m:t>
        </m:r>
        <m:r>
          <m:rPr>
            <m:sty m:val="p"/>
          </m:rPr>
          <m:t>)</m:t>
        </m:r>
      </m:oMath>
      <w:r>
        <w:t xml:space="preserve">, FOX-7</w:t>
      </w:r>
      <w:r>
        <w:t xml:space="preserve"> </w:t>
      </w:r>
      <m:oMath>
        <m:r>
          <m:rPr>
            <m:sty m:val="p"/>
          </m:rPr>
          <m:t>(</m:t>
        </m:r>
        <m:r>
          <m:t>1.89</m:t>
        </m:r>
        <m:r>
          <m:rPr>
            <m:sty m:val="p"/>
          </m:rPr>
          <m:t>,</m:t>
        </m:r>
        <m:r>
          <m:rPr>
            <m:sty m:val="p"/>
          </m:rPr>
          <m:t>−</m:t>
        </m:r>
        <m:r>
          <m:t>134</m:t>
        </m:r>
        <m:r>
          <m:rPr>
            <m:sty m:val="p"/>
          </m:rPr>
          <m:t>)</m:t>
        </m:r>
      </m:oMath>
      <w:r>
        <w:t xml:space="preserve">, NTO</w:t>
      </w:r>
      <w:r>
        <w:t xml:space="preserve"> </w:t>
      </w:r>
      <m:oMath>
        <m:r>
          <m:rPr>
            <m:sty m:val="p"/>
          </m:rPr>
          <m:t>(</m:t>
        </m:r>
        <m:r>
          <m:t>1.93</m:t>
        </m:r>
        <m:r>
          <m:rPr>
            <m:sty m:val="p"/>
          </m:rPr>
          <m:t>,</m:t>
        </m:r>
        <m:r>
          <m:rPr>
            <m:sty m:val="p"/>
          </m:rPr>
          <m:t>−</m:t>
        </m:r>
        <m:r>
          <m:t>129</m:t>
        </m:r>
        <m:r>
          <m:rPr>
            <m:sty m:val="p"/>
          </m:rPr>
          <m:t>)</m:t>
        </m:r>
      </m:oMath>
      <w:r>
        <w:t xml:space="preserve">, in g cm</w:t>
      </w:r>
      <w:r>
        <w:rPr>
          <w:vertAlign w:val="superscript"/>
        </w:rPr>
        <w:t xml:space="preserve">−3</w:t>
      </w:r>
      <w:r>
        <w:t xml:space="preserve"> </w:t>
      </w:r>
      <w:r>
        <w:t xml:space="preserve">and kJ mol</w:t>
      </w:r>
      <w:r>
        <w:rPr>
          <w:vertAlign w:val="superscript"/>
        </w:rPr>
        <w:t xml:space="preserve">−1</w:t>
      </w:r>
      <w:r>
        <w:t xml:space="preserve"> </w:t>
      </w:r>
      <w:r>
        <w:t xml:space="preserve">respectively. Raw</w:t>
      </w:r>
      <w:r>
        <w:t xml:space="preserve"> </w:t>
      </w:r>
      <m:oMath>
        <m:r>
          <m:t>ω</m:t>
        </m:r>
      </m:oMath>
      <w:r>
        <w:t xml:space="preserve">B97X-D3BJ DFT outputs are tabulated in Table C.1c. The 6-anchor regression gives</w:t>
      </w:r>
      <w: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oMath>
      <w:r>
        <w:t xml:space="preserve"> </w:t>
      </w:r>
      <w:r>
        <w:t xml:space="preserve">= HOF</w:t>
      </w:r>
      <m:oMath>
        <m:sSub>
          <m:e>
            <m:r>
              <m:t>​</m:t>
            </m:r>
          </m:e>
          <m:sub>
            <m:r>
              <m:rPr>
                <m:nor/>
                <m:sty m:val="p"/>
              </m:rPr>
              <m:t>DFT</m:t>
            </m:r>
          </m:sub>
        </m:sSub>
        <m:r>
          <m:rPr>
            <m:sty m:val="p"/>
          </m:rPr>
          <m:t>−</m:t>
        </m:r>
        <m:r>
          <m:t>206.7</m:t>
        </m:r>
      </m:oMath>
      <w:r>
        <w:t xml:space="preserve"> kJ mol</w:t>
      </w:r>
      <w:r>
        <w:rPr>
          <w:vertAlign w:val="superscript"/>
        </w:rPr>
        <w:t xml:space="preserve">−1</w:t>
      </w:r>
      <w:r>
        <w:t xml:space="preserve">, with LOO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(per-anchor residuals in Appendix C.4). The 12 chem-pass leads calibrate to</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 </w:t>
      </w:r>
      <w: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t xml:space="preserve"> kJ mol</w:t>
      </w:r>
      <w:r>
        <w:rPr>
          <w:vertAlign w:val="superscript"/>
        </w:rPr>
        <w:t xml:space="preserve">−1</w:t>
      </w:r>
      <w:r>
        <w:t xml:space="preserve">. Using the calibrated</w:t>
      </w:r>
      <w:r>
        <w:t xml:space="preserve"> </w:t>
      </w:r>
      <m:oMath>
        <m:r>
          <m:t>ρ</m:t>
        </m:r>
      </m:oMath>
      <w:r>
        <w:t xml:space="preserve"> </w:t>
      </w:r>
      <w:r>
        <w:t xml:space="preserve">and HOF, the K-J formula recomputes</w:t>
      </w:r>
      <w:r>
        <w:t xml:space="preserve"> </w:t>
      </w:r>
      <m:oMath>
        <m:r>
          <m:t>D</m:t>
        </m:r>
      </m:oMath>
      <w:r>
        <w:t xml:space="preserve"> </w:t>
      </w:r>
      <w:r>
        <w:t xml:space="preserve">for all 12 leads on the calibrated branch:</w:t>
      </w:r>
    </w:p>
    <w:p>
      <w:pPr>
        <w:pStyle w:val="MDPI18keywords"/>
        <w:ind w:left="2608"/>
      </w:pPr>
      <w:r>
        <w:rPr>
          <w:b/>
          <w:bCs/>
        </w:rPr>
        <w:t xml:space="preserve">Table C.2.</w:t>
      </w:r>
      <w:r>
        <w:t xml:space="preserve"> </w:t>
      </w:r>
      <w:r>
        <w:t xml:space="preserve">Kamlet–Jacobs detonation velocity and pressure recomputed from the 6-anchor-calibrated DFT</w:t>
      </w:r>
      <w:r>
        <w:t xml:space="preserve"> </w:t>
      </w:r>
      <m:oMath>
        <m:r>
          <m:t>ρ</m:t>
        </m:r>
      </m:oMath>
      <w:r>
        <w:t xml:space="preserve"> </w:t>
      </w:r>
      <w:r>
        <w:t xml:space="preserve">and HOF (per</w:t>
      </w:r>
      <w:r>
        <w:t xml:space="preserve"> </w:t>
      </w:r>
      <w:r>
        <w:rPr>
          <w:rStyle w:val="VerbatimChar"/>
        </w:rPr>
        <w:t xml:space="preserve">kj_6anchor_recompute.json</w:t>
      </w:r>
      <w:r>
        <w:t xml:space="preserve">), compared to the 3D-CNN surrogate prediction. The raw-DFT K-J values are listed in the third column for transparency. Residual is K-J</w:t>
      </w:r>
      <m:oMath>
        <m:sSub>
          <m:e>
            <m:r>
              <m:t>​</m:t>
            </m:r>
          </m:e>
          <m:sub>
            <m:r>
              <m:rPr>
                <m:nor/>
                <m:sty m:val="p"/>
              </m:rPr>
              <m:t>cal</m:t>
            </m:r>
          </m:sub>
        </m:sSub>
      </m:oMath>
      <w:r>
        <w:t xml:space="preserve"> </w:t>
      </w:r>
      <w:r>
        <w:t xml:space="preserve">minus 3D-CNN</w:t>
      </w:r>
      <w:r>
        <w:t xml:space="preserve"> </w:t>
      </w:r>
      <m:oMath>
        <m:r>
          <m:t>D</m:t>
        </m:r>
      </m:oMath>
      <w:r>
        <w:t xml:space="preserve">. All 12 chem-pass leads are defined on the K-J branch. Anchor rows show the experimental</w:t>
      </w:r>
      <w:r>
        <w:t xml:space="preserve"> </w:t>
      </w:r>
      <m:oMath>
        <m:r>
          <m:t>D</m:t>
        </m:r>
      </m:oMath>
      <w:r>
        <w:t xml:space="preserve">, the K-J recompute under the 6-anchor calibration, and the K-J</w:t>
      </w:r>
      <m:oMath>
        <m:sSub>
          <m:e>
            <m:r>
              <m:t>​</m:t>
            </m:r>
          </m:e>
          <m:sub>
            <m:r>
              <m:rPr>
                <m:nor/>
                <m:sty m:val="p"/>
              </m:rPr>
              <m:t>cal</m:t>
            </m:r>
          </m:sub>
        </m:sSub>
      </m:oMath>
      <w:r>
        <w:t xml:space="preserve">−exp residual that defines the K-J under-prediction band against which the lead residuals are read.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80"/>
        <w:gridCol w:w="1198"/>
        <w:gridCol w:w="1262"/>
        <w:gridCol w:w="1422"/>
        <w:gridCol w:w="1496"/>
      </w:tblGrid>
      <w:tr>
        <w:trPr>
          <w:tblHeader w:val="on"/>
        </w:trPr>
        <w:tc>
          <w:tcPr>
            <w:tcBorders>
              <w:bottom w:val="single" w:sz="8" w:space="0" w:color="auto"/>
            </w:tcBorders>
            <w:vAlign w:val="center"/>
          </w:tcPr>
          <w:p>
            <w:pPr>
              <w:pStyle w:val="Compact"/>
              <w:suppressAutoHyphens/>
              <w:jc w:val="center"/>
            </w:pPr>
            <w:r>
              <w:rPr>
                <w:b/>
                <w:sz w:val="18"/>
                <w:szCs w:val="18"/>
              </w:rPr>
              <w:t xml:space="preserve">Lead</w:t>
            </w:r>
          </w:p>
        </w:tc>
        <w:tc>
          <w:tcPr>
            <w:tcBorders>
              <w:bottom w:val="single" w:sz="8" w:space="0" w:color="auto"/>
            </w:tcBorders>
            <w:vAlign w:val="center"/>
          </w:tcPr>
          <w:p>
            <w:pPr>
              <w:pStyle w:val="Compact"/>
              <w:suppressAutoHyphens/>
              <w:jc w:val="center"/>
            </w:pPr>
            <w:r>
              <w:rPr>
                <w:b/>
                <w:sz w:val="18"/>
                <w:szCs w:val="18"/>
              </w:rPr>
              <w:t xml:space="preserve">3D-CNN</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ρ</m:t>
              </m:r>
            </m:oMath>
          </w:p>
        </w:tc>
        <w:tc>
          <w:tcPr>
            <w:tcBorders>
              <w:bottom w:val="single" w:sz="8" w:space="0" w:color="auto"/>
            </w:tcBorders>
            <w:vAlign w:val="center"/>
          </w:tcPr>
          <w:p>
            <w:pPr>
              <w:pStyle w:val="Compact"/>
              <w:suppressAutoHyphens/>
              <w:jc w:val="center"/>
            </w:pPr>
            <w:r>
              <w:rPr>
                <w:b/>
                <w:sz w:val="18"/>
                <w:szCs w:val="18"/>
              </w:rPr>
              <w:t xml:space="preserve">K-J raw DFT</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K-J 6-anchor cal</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residual (cal − 3D-CNN)</w:t>
            </w:r>
          </w:p>
        </w:tc>
      </w:tr>
      <w:tr>
        <w:tc>
          <w:tcPr>
            <w:vAlign w:val="center"/>
          </w:tcPr>
          <w:p>
            <w:pPr>
              <w:pStyle w:val="Compact"/>
              <w:suppressAutoHyphens/>
              <w:jc w:val="center"/>
            </w:pPr>
            <w:r>
              <w:rPr>
                <w:sz w:val="18"/>
                <w:szCs w:val="18"/>
              </w:rPr>
              <w:t xml:space="preserve">L1 trinitro-isoxazole</w:t>
            </w:r>
          </w:p>
        </w:tc>
        <w:tc>
          <w:tcPr>
            <w:vAlign w:val="center"/>
          </w:tcPr>
          <w:p>
            <w:pPr>
              <w:pStyle w:val="Compact"/>
              <w:suppressAutoHyphens/>
              <w:jc w:val="center"/>
            </w:pPr>
            <w:r>
              <w:rPr>
                <w:sz w:val="18"/>
                <w:szCs w:val="18"/>
              </w:rPr>
              <w:t xml:space="preserve">D=9.56, ρ=2.00</w:t>
            </w:r>
          </w:p>
        </w:tc>
        <w:tc>
          <w:tcPr>
            <w:vAlign w:val="center"/>
          </w:tcPr>
          <w:p>
            <w:pPr>
              <w:pStyle w:val="Compact"/>
              <w:suppressAutoHyphens/>
              <w:jc w:val="center"/>
            </w:pPr>
            <w:r>
              <w:rPr>
                <w:sz w:val="18"/>
                <w:szCs w:val="18"/>
              </w:rPr>
              <w:t xml:space="preserve">D=7.85, P=27.3</w:t>
            </w:r>
          </w:p>
        </w:tc>
        <w:tc>
          <w:tcPr>
            <w:vAlign w:val="center"/>
          </w:tcPr>
          <w:p>
            <w:pPr>
              <w:pStyle w:val="Compact"/>
              <w:suppressAutoHyphens/>
              <w:jc w:val="center"/>
            </w:pPr>
            <w:r>
              <w:rPr>
                <w:b/>
                <w:bCs/>
                <w:sz w:val="18"/>
                <w:szCs w:val="18"/>
              </w:rPr>
              <w:t xml:space="preserve">D=8.25, P=32.9</w:t>
            </w:r>
          </w:p>
        </w:tc>
        <w:tc>
          <w:tcPr>
            <w:vAlign w:val="center"/>
          </w:tcPr>
          <w:p>
            <w:pPr>
              <w:pStyle w:val="Compact"/>
              <w:suppressAutoHyphens/>
              <w:jc w:val="center"/>
            </w:pPr>
            <w:r>
              <w:rPr>
                <w:sz w:val="18"/>
                <w:szCs w:val="18"/>
              </w:rPr>
              <w:t xml:space="preserve">−1.31 km s</w:t>
            </w:r>
            <w:r>
              <w:rPr>
                <w:vertAlign w:val="superscript"/>
                <w:sz w:val="18"/>
                <w:szCs w:val="18"/>
              </w:rPr>
              <w:t xml:space="preserve">−1</w:t>
            </w:r>
          </w:p>
        </w:tc>
      </w:tr>
      <w:tr>
        <w:tc>
          <w:tcPr>
            <w:vAlign w:val="center"/>
          </w:tcPr>
          <w:p>
            <w:pPr>
              <w:pStyle w:val="Compact"/>
              <w:suppressAutoHyphens/>
              <w:jc w:val="center"/>
            </w:pPr>
            <w:r>
              <w:rPr>
                <w:sz w:val="18"/>
                <w:szCs w:val="18"/>
              </w:rPr>
              <w:t xml:space="preserve">L2 oxime-nitrate-imidazoline</w:t>
            </w:r>
          </w:p>
        </w:tc>
        <w:tc>
          <w:tcPr>
            <w:vAlign w:val="center"/>
          </w:tcPr>
          <w:p>
            <w:pPr>
              <w:pStyle w:val="Compact"/>
              <w:suppressAutoHyphens/>
              <w:jc w:val="center"/>
            </w:pPr>
            <w:r>
              <w:rPr>
                <w:sz w:val="18"/>
                <w:szCs w:val="18"/>
              </w:rPr>
              <w:t xml:space="preserve">D=8.96, ρ=1.87</w:t>
            </w:r>
          </w:p>
        </w:tc>
        <w:tc>
          <w:tcPr>
            <w:vAlign w:val="center"/>
          </w:tcPr>
          <w:p>
            <w:pPr>
              <w:pStyle w:val="Compact"/>
              <w:suppressAutoHyphens/>
              <w:jc w:val="center"/>
            </w:pPr>
            <w:r>
              <w:rPr>
                <w:sz w:val="18"/>
                <w:szCs w:val="18"/>
              </w:rPr>
              <w:t xml:space="preserve">D=6.81, P=19.9</w:t>
            </w:r>
          </w:p>
        </w:tc>
        <w:tc>
          <w:tcPr>
            <w:vAlign w:val="center"/>
          </w:tcPr>
          <w:p>
            <w:pPr>
              <w:pStyle w:val="Compact"/>
              <w:suppressAutoHyphens/>
              <w:jc w:val="center"/>
            </w:pPr>
            <w:r>
              <w:rPr>
                <w:sz w:val="18"/>
                <w:szCs w:val="18"/>
              </w:rPr>
              <w:t xml:space="preserve">D=7.78, P=28.1</w:t>
            </w:r>
          </w:p>
        </w:tc>
        <w:tc>
          <w:tcPr>
            <w:vAlign w:val="center"/>
          </w:tcPr>
          <w:p>
            <w:pPr>
              <w:pStyle w:val="Compact"/>
              <w:suppressAutoHyphens/>
              <w:jc w:val="center"/>
            </w:pPr>
            <w:r>
              <w:rPr>
                <w:sz w:val="18"/>
                <w:szCs w:val="18"/>
              </w:rPr>
              <w:t xml:space="preserve">−1.18 km s</w:t>
            </w:r>
            <w:r>
              <w:rPr>
                <w:vertAlign w:val="superscript"/>
                <w:sz w:val="18"/>
                <w:szCs w:val="18"/>
              </w:rPr>
              <w:t xml:space="preserve">−1</w:t>
            </w:r>
          </w:p>
        </w:tc>
      </w:tr>
      <w:tr>
        <w:tc>
          <w:tcPr>
            <w:vAlign w:val="center"/>
          </w:tcPr>
          <w:p>
            <w:pPr>
              <w:pStyle w:val="Compact"/>
              <w:suppressAutoHyphens/>
              <w:jc w:val="center"/>
            </w:pPr>
            <w:r>
              <w:rPr>
                <w:sz w:val="18"/>
                <w:szCs w:val="18"/>
              </w:rPr>
              <w:t xml:space="preserve">L3 oxadiazinone-N-nitramine</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L4 5-ring tetrazoline-N-nitramine</w:t>
            </w:r>
          </w:p>
        </w:tc>
        <w:tc>
          <w:tcPr>
            <w:vAlign w:val="center"/>
          </w:tcPr>
          <w:p>
            <w:pPr>
              <w:pStyle w:val="Compact"/>
              <w:suppressAutoHyphens/>
              <w:jc w:val="center"/>
            </w:pPr>
            <w:r>
              <w:rPr>
                <w:sz w:val="18"/>
                <w:szCs w:val="18"/>
              </w:rPr>
              <w:t xml:space="preserve">D=8.98, ρ=1.87</w:t>
            </w:r>
          </w:p>
        </w:tc>
        <w:tc>
          <w:tcPr>
            <w:vAlign w:val="center"/>
          </w:tcPr>
          <w:p>
            <w:pPr>
              <w:pStyle w:val="Compact"/>
              <w:suppressAutoHyphens/>
              <w:jc w:val="center"/>
            </w:pPr>
            <w:r>
              <w:rPr>
                <w:sz w:val="18"/>
                <w:szCs w:val="18"/>
              </w:rPr>
              <w:t xml:space="preserve">D=5.56, P=13.2</w:t>
            </w:r>
          </w:p>
        </w:tc>
        <w:tc>
          <w:tcPr>
            <w:vAlign w:val="center"/>
          </w:tcPr>
          <w:p>
            <w:pPr>
              <w:pStyle w:val="Compact"/>
              <w:suppressAutoHyphens/>
              <w:jc w:val="center"/>
            </w:pPr>
            <w:r>
              <w:rPr>
                <w:sz w:val="18"/>
                <w:szCs w:val="18"/>
              </w:rPr>
              <w:t xml:space="preserve">D=6.71, P=20.9</w:t>
            </w:r>
          </w:p>
        </w:tc>
        <w:tc>
          <w:tcPr>
            <w:vAlign w:val="center"/>
          </w:tcPr>
          <w:p>
            <w:pPr>
              <w:pStyle w:val="Compact"/>
              <w:suppressAutoHyphens/>
              <w:jc w:val="center"/>
            </w:pPr>
            <w:r>
              <w:rPr>
                <w:sz w:val="18"/>
                <w:szCs w:val="18"/>
              </w:rPr>
              <w:t xml:space="preserve">−2.27 km s</w:t>
            </w:r>
            <w:r>
              <w:rPr>
                <w:vertAlign w:val="superscript"/>
                <w:sz w:val="18"/>
                <w:szCs w:val="18"/>
              </w:rPr>
              <w:t xml:space="preserve">−1</w:t>
            </w:r>
          </w:p>
        </w:tc>
      </w:tr>
      <w:tr>
        <w:tc>
          <w:tcPr>
            <w:vAlign w:val="center"/>
          </w:tcPr>
          <w:p>
            <w:pPr>
              <w:pStyle w:val="Compact"/>
              <w:suppressAutoHyphens/>
              <w:jc w:val="center"/>
            </w:pPr>
            <w:r>
              <w:rPr>
                <w:sz w:val="18"/>
                <w:szCs w:val="18"/>
              </w:rPr>
              <w:t xml:space="preserve">L5 acyl oxime nitrate</w:t>
            </w:r>
          </w:p>
        </w:tc>
        <w:tc>
          <w:tcPr>
            <w:vAlign w:val="center"/>
          </w:tcPr>
          <w:p>
            <w:pPr>
              <w:pStyle w:val="Compact"/>
              <w:suppressAutoHyphens/>
              <w:jc w:val="center"/>
            </w:pPr>
            <w:r>
              <w:rPr>
                <w:sz w:val="18"/>
                <w:szCs w:val="18"/>
              </w:rPr>
              <w:t xml:space="preserve">D=9.21, ρ=1.93</w:t>
            </w:r>
          </w:p>
        </w:tc>
        <w:tc>
          <w:tcPr>
            <w:vAlign w:val="center"/>
          </w:tcPr>
          <w:p>
            <w:pPr>
              <w:pStyle w:val="Compact"/>
              <w:suppressAutoHyphens/>
              <w:jc w:val="center"/>
            </w:pPr>
            <w:r>
              <w:rPr>
                <w:sz w:val="18"/>
                <w:szCs w:val="18"/>
              </w:rPr>
              <w:t xml:space="preserve">D=7.78, P=25.8</w:t>
            </w:r>
          </w:p>
        </w:tc>
        <w:tc>
          <w:tcPr>
            <w:vAlign w:val="center"/>
          </w:tcPr>
          <w:p>
            <w:pPr>
              <w:pStyle w:val="Compact"/>
              <w:suppressAutoHyphens/>
              <w:jc w:val="center"/>
            </w:pPr>
            <w:r>
              <w:rPr>
                <w:sz w:val="18"/>
                <w:szCs w:val="18"/>
              </w:rPr>
              <w:t xml:space="preserve">D=7.99, P=29.6</w:t>
            </w:r>
          </w:p>
        </w:tc>
        <w:tc>
          <w:tcPr>
            <w:vAlign w:val="center"/>
          </w:tcPr>
          <w:p>
            <w:pPr>
              <w:pStyle w:val="Compact"/>
              <w:suppressAutoHyphens/>
              <w:jc w:val="center"/>
            </w:pPr>
            <w:r>
              <w:rPr>
                <w:sz w:val="18"/>
                <w:szCs w:val="18"/>
              </w:rPr>
              <w:t xml:space="preserve">−1.22 km s</w:t>
            </w:r>
            <w:r>
              <w:rPr>
                <w:vertAlign w:val="superscript"/>
                <w:sz w:val="18"/>
                <w:szCs w:val="18"/>
              </w:rPr>
              <w:t xml:space="preserve">−1</w:t>
            </w:r>
          </w:p>
        </w:tc>
      </w:tr>
      <w:tr>
        <w:tc>
          <w:tcPr>
            <w:vAlign w:val="center"/>
          </w:tcPr>
          <w:p>
            <w:pPr>
              <w:pStyle w:val="Compact"/>
              <w:suppressAutoHyphens/>
              <w:jc w:val="center"/>
            </w:pPr>
            <w:r>
              <w:rPr>
                <w:sz w:val="18"/>
                <w:szCs w:val="18"/>
              </w:rPr>
              <w:t xml:space="preserve">L9 hydrazinyl tetranitramine</w:t>
            </w:r>
          </w:p>
        </w:tc>
        <w:tc>
          <w:tcPr>
            <w:vAlign w:val="center"/>
          </w:tcPr>
          <w:p>
            <w:pPr>
              <w:pStyle w:val="Compact"/>
              <w:suppressAutoHyphens/>
              <w:jc w:val="center"/>
            </w:pPr>
            <w:r>
              <w:rPr>
                <w:sz w:val="18"/>
                <w:szCs w:val="18"/>
              </w:rPr>
              <w:t xml:space="preserve">D=9.27, ρ=1.88</w:t>
            </w:r>
          </w:p>
        </w:tc>
        <w:tc>
          <w:tcPr>
            <w:vAlign w:val="center"/>
          </w:tcPr>
          <w:p>
            <w:pPr>
              <w:pStyle w:val="Compact"/>
              <w:suppressAutoHyphens/>
              <w:jc w:val="center"/>
            </w:pPr>
            <w:r>
              <w:rPr>
                <w:sz w:val="18"/>
                <w:szCs w:val="18"/>
              </w:rPr>
              <w:t xml:space="preserve">D=6.44, P=17.6</w:t>
            </w:r>
          </w:p>
        </w:tc>
        <w:tc>
          <w:tcPr>
            <w:vAlign w:val="center"/>
          </w:tcPr>
          <w:p>
            <w:pPr>
              <w:pStyle w:val="Compact"/>
              <w:suppressAutoHyphens/>
              <w:jc w:val="center"/>
            </w:pPr>
            <w:r>
              <w:rPr>
                <w:sz w:val="18"/>
                <w:szCs w:val="18"/>
              </w:rPr>
              <w:t xml:space="preserve">D=7.33, P=24.6</w:t>
            </w:r>
          </w:p>
        </w:tc>
        <w:tc>
          <w:tcPr>
            <w:vAlign w:val="center"/>
          </w:tcPr>
          <w:p>
            <w:pPr>
              <w:pStyle w:val="Compact"/>
              <w:suppressAutoHyphens/>
              <w:jc w:val="center"/>
            </w:pPr>
            <w:r>
              <w:rPr>
                <w:sz w:val="18"/>
                <w:szCs w:val="18"/>
              </w:rPr>
              <w:t xml:space="preserve">−1.94 km s</w:t>
            </w:r>
            <w:r>
              <w:rPr>
                <w:vertAlign w:val="superscript"/>
                <w:sz w:val="18"/>
                <w:szCs w:val="18"/>
              </w:rPr>
              <w:t xml:space="preserve">−1</w:t>
            </w:r>
          </w:p>
        </w:tc>
      </w:tr>
      <w:tr>
        <w:tc>
          <w:tcPr>
            <w:vAlign w:val="center"/>
          </w:tcPr>
          <w:p>
            <w:pPr>
              <w:pStyle w:val="Compact"/>
              <w:suppressAutoHyphens/>
              <w:jc w:val="center"/>
            </w:pPr>
            <w:r>
              <w:rPr>
                <w:sz w:val="18"/>
                <w:szCs w:val="18"/>
              </w:rPr>
              <w:t xml:space="preserve">L11 acyl-nitramide nitrate-imine</w:t>
            </w:r>
          </w:p>
        </w:tc>
        <w:tc>
          <w:tcPr>
            <w:vAlign w:val="center"/>
          </w:tcPr>
          <w:p>
            <w:pPr>
              <w:pStyle w:val="Compact"/>
              <w:suppressAutoHyphens/>
              <w:jc w:val="center"/>
            </w:pPr>
            <w:r>
              <w:rPr>
                <w:sz w:val="18"/>
                <w:szCs w:val="18"/>
              </w:rPr>
              <w:t xml:space="preserve">D=9.30, ρ=1.90</w:t>
            </w:r>
          </w:p>
        </w:tc>
        <w:tc>
          <w:tcPr>
            <w:vAlign w:val="center"/>
          </w:tcPr>
          <w:p>
            <w:pPr>
              <w:pStyle w:val="Compact"/>
              <w:suppressAutoHyphens/>
              <w:jc w:val="center"/>
            </w:pPr>
            <w:r>
              <w:rPr>
                <w:sz w:val="18"/>
                <w:szCs w:val="18"/>
              </w:rPr>
              <w:t xml:space="preserve">D=6.97, P=20.5</w:t>
            </w:r>
          </w:p>
        </w:tc>
        <w:tc>
          <w:tcPr>
            <w:vAlign w:val="center"/>
          </w:tcPr>
          <w:p>
            <w:pPr>
              <w:pStyle w:val="Compact"/>
              <w:suppressAutoHyphens/>
              <w:jc w:val="center"/>
            </w:pPr>
            <w:r>
              <w:rPr>
                <w:sz w:val="18"/>
                <w:szCs w:val="18"/>
              </w:rPr>
              <w:t xml:space="preserve">D=7.88, P=28.5</w:t>
            </w:r>
          </w:p>
        </w:tc>
        <w:tc>
          <w:tcPr>
            <w:vAlign w:val="center"/>
          </w:tcPr>
          <w:p>
            <w:pPr>
              <w:pStyle w:val="Compact"/>
              <w:suppressAutoHyphens/>
              <w:jc w:val="center"/>
            </w:pPr>
            <w:r>
              <w:rPr>
                <w:sz w:val="18"/>
                <w:szCs w:val="18"/>
              </w:rPr>
              <w:t xml:space="preserve">−1.42 km s</w:t>
            </w:r>
            <w:r>
              <w:rPr>
                <w:vertAlign w:val="superscript"/>
                <w:sz w:val="18"/>
                <w:szCs w:val="18"/>
              </w:rPr>
              <w:t xml:space="preserve">−1</w:t>
            </w:r>
          </w:p>
        </w:tc>
      </w:tr>
      <w:tr>
        <w:tc>
          <w:tcPr>
            <w:vAlign w:val="center"/>
          </w:tcPr>
          <w:p>
            <w:pPr>
              <w:pStyle w:val="Compact"/>
              <w:suppressAutoHyphens/>
              <w:jc w:val="center"/>
            </w:pPr>
            <w:r>
              <w:rPr>
                <w:sz w:val="18"/>
                <w:szCs w:val="18"/>
              </w:rPr>
              <w:t xml:space="preserve">L13 oxadiazoline</w:t>
            </w:r>
          </w:p>
        </w:tc>
        <w:tc>
          <w:tcPr>
            <w:vAlign w:val="center"/>
          </w:tcPr>
          <w:p>
            <w:pPr>
              <w:pStyle w:val="Compact"/>
              <w:suppressAutoHyphens/>
              <w:jc w:val="center"/>
            </w:pPr>
            <w:r>
              <w:rPr>
                <w:sz w:val="18"/>
                <w:szCs w:val="18"/>
              </w:rPr>
              <w:t xml:space="preserve">D=9.05, ρ=1.87</w:t>
            </w:r>
          </w:p>
        </w:tc>
        <w:tc>
          <w:tcPr>
            <w:vAlign w:val="center"/>
          </w:tcPr>
          <w:p>
            <w:pPr>
              <w:pStyle w:val="Compact"/>
              <w:suppressAutoHyphens/>
              <w:jc w:val="center"/>
            </w:pPr>
            <w:r>
              <w:rPr>
                <w:sz w:val="18"/>
                <w:szCs w:val="18"/>
              </w:rPr>
              <w:t xml:space="preserve">D=6.39, P=17.0</w:t>
            </w:r>
          </w:p>
        </w:tc>
        <w:tc>
          <w:tcPr>
            <w:vAlign w:val="center"/>
          </w:tcPr>
          <w:p>
            <w:pPr>
              <w:pStyle w:val="Compact"/>
              <w:suppressAutoHyphens/>
              <w:jc w:val="center"/>
            </w:pPr>
            <w:r>
              <w:rPr>
                <w:sz w:val="18"/>
                <w:szCs w:val="18"/>
              </w:rPr>
              <w:t xml:space="preserve">D=7.36, P=24.5</w:t>
            </w:r>
          </w:p>
        </w:tc>
        <w:tc>
          <w:tcPr>
            <w:vAlign w:val="center"/>
          </w:tcPr>
          <w:p>
            <w:pPr>
              <w:pStyle w:val="Compact"/>
              <w:suppressAutoHyphens/>
              <w:jc w:val="center"/>
            </w:pPr>
            <w:r>
              <w:rPr>
                <w:sz w:val="18"/>
                <w:szCs w:val="18"/>
              </w:rPr>
              <w:t xml:space="preserve">−1.69 km s</w:t>
            </w:r>
            <w:r>
              <w:rPr>
                <w:vertAlign w:val="superscript"/>
                <w:sz w:val="18"/>
                <w:szCs w:val="18"/>
              </w:rPr>
              <w:t xml:space="preserve">−1</w:t>
            </w:r>
          </w:p>
        </w:tc>
      </w:tr>
      <w:tr>
        <w:tc>
          <w:tcPr>
            <w:vAlign w:val="center"/>
          </w:tcPr>
          <w:p>
            <w:pPr>
              <w:pStyle w:val="Compact"/>
              <w:suppressAutoHyphens/>
              <w:jc w:val="center"/>
            </w:pPr>
            <w:r>
              <w:rPr>
                <w:sz w:val="18"/>
                <w:szCs w:val="18"/>
              </w:rPr>
              <w:t xml:space="preserve">L16 oxadiazinone-N-nitramine (alt SMILES)</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L18 vinyl azo-amino nitrate</w:t>
            </w:r>
          </w:p>
        </w:tc>
        <w:tc>
          <w:tcPr>
            <w:vAlign w:val="center"/>
          </w:tcPr>
          <w:p>
            <w:pPr>
              <w:pStyle w:val="Compact"/>
              <w:suppressAutoHyphens/>
              <w:jc w:val="center"/>
            </w:pPr>
            <w:r>
              <w:rPr>
                <w:sz w:val="18"/>
                <w:szCs w:val="18"/>
              </w:rPr>
              <w:t xml:space="preserve">D=9.00, ρ=1.89</w:t>
            </w:r>
          </w:p>
        </w:tc>
        <w:tc>
          <w:tcPr>
            <w:vAlign w:val="center"/>
          </w:tcPr>
          <w:p>
            <w:pPr>
              <w:pStyle w:val="Compact"/>
              <w:suppressAutoHyphens/>
              <w:jc w:val="center"/>
            </w:pPr>
            <w:r>
              <w:rPr>
                <w:sz w:val="18"/>
                <w:szCs w:val="18"/>
              </w:rPr>
              <w:t xml:space="preserve">D=6.21, P=16.0</w:t>
            </w:r>
          </w:p>
        </w:tc>
        <w:tc>
          <w:tcPr>
            <w:vAlign w:val="center"/>
          </w:tcPr>
          <w:p>
            <w:pPr>
              <w:pStyle w:val="Compact"/>
              <w:suppressAutoHyphens/>
              <w:jc w:val="center"/>
            </w:pPr>
            <w:r>
              <w:rPr>
                <w:sz w:val="18"/>
                <w:szCs w:val="18"/>
              </w:rPr>
              <w:t xml:space="preserve">D=7.09, P=22.6</w:t>
            </w:r>
          </w:p>
        </w:tc>
        <w:tc>
          <w:tcPr>
            <w:vAlign w:val="center"/>
          </w:tcPr>
          <w:p>
            <w:pPr>
              <w:pStyle w:val="Compact"/>
              <w:suppressAutoHyphens/>
              <w:jc w:val="center"/>
            </w:pPr>
            <w:r>
              <w:rPr>
                <w:sz w:val="18"/>
                <w:szCs w:val="18"/>
              </w:rPr>
              <w:t xml:space="preserve">−1.91 km s</w:t>
            </w:r>
            <w:r>
              <w:rPr>
                <w:vertAlign w:val="superscript"/>
                <w:sz w:val="18"/>
                <w:szCs w:val="18"/>
              </w:rPr>
              <w:t xml:space="preserve">−1</w:t>
            </w:r>
          </w:p>
        </w:tc>
      </w:tr>
      <w:tr>
        <w:tc>
          <w:tcPr>
            <w:vAlign w:val="center"/>
          </w:tcPr>
          <w:p>
            <w:pPr>
              <w:pStyle w:val="Compact"/>
              <w:suppressAutoHyphens/>
              <w:jc w:val="center"/>
            </w:pPr>
            <w:r>
              <w:rPr>
                <w:sz w:val="18"/>
                <w:szCs w:val="18"/>
              </w:rPr>
              <w:t xml:space="preserve">L19 acyl C-OH nitramine</w:t>
            </w:r>
          </w:p>
        </w:tc>
        <w:tc>
          <w:tcPr>
            <w:vAlign w:val="center"/>
          </w:tcPr>
          <w:p>
            <w:pPr>
              <w:pStyle w:val="Compact"/>
              <w:suppressAutoHyphens/>
              <w:jc w:val="center"/>
            </w:pPr>
            <w:r>
              <w:rPr>
                <w:sz w:val="18"/>
                <w:szCs w:val="18"/>
              </w:rPr>
              <w:t xml:space="preserve">D=9.14, ρ=1.88</w:t>
            </w:r>
          </w:p>
        </w:tc>
        <w:tc>
          <w:tcPr>
            <w:vAlign w:val="center"/>
          </w:tcPr>
          <w:p>
            <w:pPr>
              <w:pStyle w:val="Compact"/>
              <w:suppressAutoHyphens/>
              <w:jc w:val="center"/>
            </w:pPr>
            <w:r>
              <w:rPr>
                <w:sz w:val="18"/>
                <w:szCs w:val="18"/>
              </w:rPr>
              <w:t xml:space="preserve">D=7.24, P=22.2</w:t>
            </w:r>
          </w:p>
        </w:tc>
        <w:tc>
          <w:tcPr>
            <w:vAlign w:val="center"/>
          </w:tcPr>
          <w:p>
            <w:pPr>
              <w:pStyle w:val="Compact"/>
              <w:suppressAutoHyphens/>
              <w:jc w:val="center"/>
            </w:pPr>
            <w:r>
              <w:rPr>
                <w:sz w:val="18"/>
                <w:szCs w:val="18"/>
              </w:rPr>
              <w:t xml:space="preserve">D=7.24, P=24.1</w:t>
            </w:r>
          </w:p>
        </w:tc>
        <w:tc>
          <w:tcPr>
            <w:vAlign w:val="center"/>
          </w:tcPr>
          <w:p>
            <w:pPr>
              <w:pStyle w:val="Compact"/>
              <w:suppressAutoHyphens/>
              <w:jc w:val="center"/>
            </w:pPr>
            <w:r>
              <w:rPr>
                <w:sz w:val="18"/>
                <w:szCs w:val="18"/>
              </w:rPr>
              <w:t xml:space="preserve">−1.90 km s</w:t>
            </w:r>
            <w:r>
              <w:rPr>
                <w:vertAlign w:val="superscript"/>
                <w:sz w:val="18"/>
                <w:szCs w:val="18"/>
              </w:rPr>
              <w:t xml:space="preserve">−1</w:t>
            </w:r>
          </w:p>
        </w:tc>
      </w:tr>
      <w:tr>
        <w:tc>
          <w:tcPr>
            <w:vAlign w:val="center"/>
          </w:tcPr>
          <w:p>
            <w:pPr>
              <w:pStyle w:val="Compact"/>
              <w:suppressAutoHyphens/>
              <w:jc w:val="center"/>
            </w:pPr>
            <w:r>
              <w:rPr>
                <w:sz w:val="18"/>
                <w:szCs w:val="18"/>
              </w:rPr>
              <w:t xml:space="preserve">L20</w:t>
            </w:r>
            <w:r>
              <w:rPr>
                <w:sz w:val="18"/>
                <w:szCs w:val="18"/>
              </w:rPr>
              <w:t xml:space="preserve"> </w:t>
            </w:r>
            <m:oMath>
              <m:r>
                <w:rPr>
                  <w:sz w:val="18"/>
                  <w:szCs w:val="18"/>
                </w:rPr>
                <m:t>α</m:t>
              </m:r>
            </m:oMath>
            <w:r>
              <w:rPr>
                <w:sz w:val="18"/>
                <w:szCs w:val="18"/>
              </w:rPr>
              <w:t xml:space="preserve">-NO</w:t>
            </w:r>
            <w:r>
              <w:rPr>
                <w:vertAlign w:val="subscript"/>
                <w:sz w:val="18"/>
                <w:szCs w:val="18"/>
              </w:rPr>
              <w:t xml:space="preserve">2</w:t>
            </w:r>
            <w:r>
              <w:rPr>
                <w:sz w:val="18"/>
                <w:szCs w:val="18"/>
              </w:rPr>
              <w:t xml:space="preserve"> </w:t>
            </w:r>
            <w:r>
              <w:rPr>
                <w:sz w:val="18"/>
                <w:szCs w:val="18"/>
              </w:rPr>
              <w:t xml:space="preserve">acyl-N-nitramine</w:t>
            </w:r>
          </w:p>
        </w:tc>
        <w:tc>
          <w:tcPr>
            <w:vAlign w:val="center"/>
          </w:tcPr>
          <w:p>
            <w:pPr>
              <w:pStyle w:val="Compact"/>
              <w:suppressAutoHyphens/>
              <w:jc w:val="center"/>
            </w:pPr>
            <w:r>
              <w:rPr>
                <w:sz w:val="18"/>
                <w:szCs w:val="18"/>
              </w:rPr>
              <w:t xml:space="preserve">D=9.12, ρ=1.91</w:t>
            </w:r>
          </w:p>
        </w:tc>
        <w:tc>
          <w:tcPr>
            <w:vAlign w:val="center"/>
          </w:tcPr>
          <w:p>
            <w:pPr>
              <w:pStyle w:val="Compact"/>
              <w:suppressAutoHyphens/>
              <w:jc w:val="center"/>
            </w:pPr>
            <w:r>
              <w:rPr>
                <w:sz w:val="18"/>
                <w:szCs w:val="18"/>
              </w:rPr>
              <w:t xml:space="preserve">D=6.40, P=17.7</w:t>
            </w:r>
          </w:p>
        </w:tc>
        <w:tc>
          <w:tcPr>
            <w:vAlign w:val="center"/>
          </w:tcPr>
          <w:p>
            <w:pPr>
              <w:pStyle w:val="Compact"/>
              <w:suppressAutoHyphens/>
              <w:jc w:val="center"/>
            </w:pPr>
            <w:r>
              <w:rPr>
                <w:sz w:val="18"/>
                <w:szCs w:val="18"/>
              </w:rPr>
              <w:t xml:space="preserve">D=7.41, P=25.8</w:t>
            </w:r>
          </w:p>
        </w:tc>
        <w:tc>
          <w:tcPr>
            <w:vAlign w:val="center"/>
          </w:tcPr>
          <w:p>
            <w:pPr>
              <w:pStyle w:val="Compact"/>
              <w:suppressAutoHyphens/>
              <w:jc w:val="center"/>
            </w:pPr>
            <w:r>
              <w:rPr>
                <w:sz w:val="18"/>
                <w:szCs w:val="18"/>
              </w:rPr>
              <w:t xml:space="preserve">−1.71 km s</w:t>
            </w:r>
            <w:r>
              <w:rPr>
                <w:vertAlign w:val="superscript"/>
                <w:sz w:val="18"/>
                <w:szCs w:val="18"/>
              </w:rPr>
              <w:t xml:space="preserve">−1</w:t>
            </w:r>
          </w:p>
        </w:tc>
      </w:tr>
      <w:tr>
        <w:tc>
          <w:tcPr>
            <w:vAlign w:val="center"/>
          </w:tcPr>
          <w:p>
            <w:pPr>
              <w:pStyle w:val="Compact"/>
              <w:suppressAutoHyphens/>
              <w:jc w:val="center"/>
            </w:pPr>
            <w:r>
              <w:rPr>
                <w:b/>
                <w:bCs/>
                <w:sz w:val="18"/>
                <w:szCs w:val="18"/>
              </w:rPr>
              <w:t xml:space="preserve">RDX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D=8.75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D=7.43, P=25.0</w:t>
            </w:r>
          </w:p>
        </w:tc>
        <w:tc>
          <w:tcPr>
            <w:vAlign w:val="center"/>
          </w:tcPr>
          <w:p>
            <w:pPr>
              <w:pStyle w:val="Compact"/>
              <w:suppressAutoHyphens/>
              <w:jc w:val="center"/>
            </w:pPr>
            <w:r>
              <w:rPr>
                <w:sz w:val="18"/>
                <w:szCs w:val="18"/>
              </w:rPr>
              <w:t xml:space="preserve">−1.32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TATB</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D=6.93, P=22.0</w:t>
            </w:r>
          </w:p>
        </w:tc>
        <w:tc>
          <w:tcPr>
            <w:vAlign w:val="center"/>
          </w:tcPr>
          <w:p>
            <w:pPr>
              <w:pStyle w:val="Compact"/>
              <w:suppressAutoHyphens/>
              <w:jc w:val="center"/>
            </w:pPr>
            <w:r>
              <w:rPr>
                <w:sz w:val="18"/>
                <w:szCs w:val="18"/>
              </w:rPr>
              <w:t xml:space="preserve">−0.97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HMX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D=9.10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D=7.52, P=26.2</w:t>
            </w:r>
          </w:p>
        </w:tc>
        <w:tc>
          <w:tcPr>
            <w:vAlign w:val="center"/>
          </w:tcPr>
          <w:p>
            <w:pPr>
              <w:pStyle w:val="Compact"/>
              <w:suppressAutoHyphens/>
              <w:jc w:val="center"/>
            </w:pPr>
            <w:r>
              <w:rPr>
                <w:sz w:val="18"/>
                <w:szCs w:val="18"/>
              </w:rPr>
              <w:t xml:space="preserve">−1.58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PETN</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D=8.30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D=8.24, P=30.6</w:t>
            </w:r>
          </w:p>
        </w:tc>
        <w:tc>
          <w:tcPr>
            <w:vAlign w:val="center"/>
          </w:tcPr>
          <w:p>
            <w:pPr>
              <w:pStyle w:val="Compact"/>
              <w:suppressAutoHyphens/>
              <w:jc w:val="center"/>
            </w:pPr>
            <w:r>
              <w:rPr>
                <w:sz w:val="18"/>
                <w:szCs w:val="18"/>
              </w:rPr>
              <w:t xml:space="preserve">−0.06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FOX-7</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D=8.87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D=7.70, P=26.5</w:t>
            </w:r>
          </w:p>
        </w:tc>
        <w:tc>
          <w:tcPr>
            <w:vAlign w:val="center"/>
          </w:tcPr>
          <w:p>
            <w:pPr>
              <w:pStyle w:val="Compact"/>
              <w:suppressAutoHyphens/>
              <w:jc w:val="center"/>
            </w:pPr>
            <w:r>
              <w:rPr>
                <w:sz w:val="18"/>
                <w:szCs w:val="18"/>
              </w:rPr>
              <w:t xml:space="preserve">−1.17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NTO</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D=7.93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D=7.49, P=25.6</w:t>
            </w:r>
          </w:p>
        </w:tc>
        <w:tc>
          <w:tcPr>
            <w:vAlign w:val="center"/>
          </w:tcPr>
          <w:p>
            <w:pPr>
              <w:pStyle w:val="Compact"/>
              <w:suppressAutoHyphens/>
              <w:jc w:val="center"/>
            </w:pPr>
            <w:r>
              <w:rPr>
                <w:sz w:val="18"/>
                <w:szCs w:val="18"/>
              </w:rPr>
              <w:t xml:space="preserve">−0.44 km s</w:t>
            </w:r>
            <w:r>
              <w:rPr>
                <w:vertAlign w:val="superscript"/>
                <w:sz w:val="18"/>
                <w:szCs w:val="18"/>
              </w:rPr>
              <w:t xml:space="preserve">−1</w:t>
            </w:r>
            <w:r>
              <w:rPr>
                <w:sz w:val="18"/>
                <w:szCs w:val="18"/>
              </w:rPr>
              <w:t xml:space="preserve"> </w:t>
            </w:r>
            <w:r>
              <w:rPr>
                <w:sz w:val="18"/>
                <w:szCs w:val="18"/>
              </w:rPr>
              <w:t xml:space="preserve">(vs exp)</w:t>
            </w:r>
          </w:p>
        </w:tc>
      </w:tr>
    </w:tbl>
    <w:p>
      <w:pPr>
        <w:pStyle w:val="MDPI18keywords"/>
        <w:ind w:left="2608"/>
      </w:pPr>
      <w:r>
        <w:rPr>
          <w:b/>
          <w:bCs/>
        </w:rPr>
        <w:t xml:space="preserve">Reading Table C.2.</w:t>
      </w:r>
      <w:r>
        <w:t xml:space="preserve"> </w:t>
      </w:r>
      <w:r>
        <w:t xml:space="preserve">The six anchor rows define the K-J under-prediction band on the same recipe: K-J</w:t>
      </w:r>
      <m:oMath>
        <m:sSub>
          <m:e>
            <m:r>
              <m:t>​</m:t>
            </m:r>
          </m:e>
          <m:sub>
            <m:r>
              <m:rPr>
                <m:nor/>
                <m:sty m:val="p"/>
              </m:rPr>
              <m:t>cal</m:t>
            </m:r>
          </m:sub>
        </m:sSub>
      </m:oMath>
      <w:r>
        <w:t xml:space="preserve"> </w:t>
      </w:r>
      <w:r>
        <w:t xml:space="preserve">lands</w:t>
      </w:r>
      <w:r>
        <w:t xml:space="preserve"> </w:t>
      </w:r>
      <m:oMath>
        <m:r>
          <m:t>0.06</m:t>
        </m:r>
      </m:oMath>
      <w:r>
        <w:t xml:space="preserve"> </w:t>
      </w:r>
      <w:r>
        <w:t xml:space="preserve">to</w:t>
      </w:r>
      <w:r>
        <w:t xml:space="preserve"> </w:t>
      </w:r>
      <m:oMath>
        <m:r>
          <m:t>1.58</m:t>
        </m:r>
      </m:oMath>
      <w:r>
        <w:t xml:space="preserve"> km s</w:t>
      </w:r>
      <w:r>
        <w:rPr>
          <w:vertAlign w:val="superscript"/>
        </w:rPr>
        <w:t xml:space="preserve">−1</w:t>
      </w:r>
      <w:r>
        <w:t xml:space="preserve"> </w:t>
      </w:r>
      <w:r>
        <w:t xml:space="preserve">below experiment, with a mean of</w:t>
      </w:r>
      <w:r>
        <w:t xml:space="preserve"> </w:t>
      </w:r>
      <m:oMath>
        <m:r>
          <m:rPr>
            <m:sty m:val="p"/>
          </m:rPr>
          <m:t>−</m:t>
        </m:r>
        <m:r>
          <m:t>0.92</m:t>
        </m:r>
      </m:oMath>
      <w:r>
        <w:t xml:space="preserve"> km s</w:t>
      </w:r>
      <w:r>
        <w:rPr>
          <w:vertAlign w:val="superscript"/>
        </w:rPr>
        <w:t xml:space="preserve">−1</w:t>
      </w:r>
      <w:r>
        <w:t xml:space="preserve">. Lead residuals against the 3D-CNN surrogate (</w:t>
      </w:r>
      <m:oMath>
        <m:r>
          <m:rPr>
            <m:sty m:val="p"/>
          </m:rPr>
          <m:t>−</m:t>
        </m:r>
        <m:r>
          <m:t>1.18</m:t>
        </m:r>
      </m:oMath>
      <w:r>
        <w:t xml:space="preserve"> </w:t>
      </w:r>
      <w:r>
        <w:t xml:space="preserve">to</w:t>
      </w:r>
      <w:r>
        <w:t xml:space="preserve"> </w:t>
      </w:r>
      <m:oMath>
        <m:r>
          <m:rPr>
            <m:sty m:val="p"/>
          </m:rPr>
          <m:t>−</m:t>
        </m:r>
        <m:r>
          <m:t>2.27</m:t>
        </m:r>
      </m:oMath>
      <w:r>
        <w:t xml:space="preserve"> km s</w:t>
      </w:r>
      <w:r>
        <w:rPr>
          <w:vertAlign w:val="superscript"/>
        </w:rPr>
        <w:t xml:space="preserve">−1</w:t>
      </w:r>
      <w:r>
        <w:t xml:space="preserve">, mean</w:t>
      </w:r>
      <w:r>
        <w:t xml:space="preserve"> </w:t>
      </w:r>
      <m:oMath>
        <m:r>
          <m:rPr>
            <m:sty m:val="p"/>
          </m:rPr>
          <m:t>−</m:t>
        </m:r>
        <m:r>
          <m:t>1.66</m:t>
        </m:r>
      </m:oMath>
      <w:r>
        <w:t xml:space="preserve"> km s</w:t>
      </w:r>
      <w:r>
        <w:rPr>
          <w:vertAlign w:val="superscript"/>
        </w:rPr>
        <w:t xml:space="preserve">−1</w:t>
      </w:r>
      <w:r>
        <w:t xml:space="preserve">) sit comfortably inside this anchor-defined band, and the</w:t>
      </w:r>
      <w:r>
        <w:t xml:space="preserve"> </w:t>
      </w:r>
      <m:oMath>
        <m:r>
          <m:rPr>
            <m:sty m:val="p"/>
          </m:rPr>
          <m:t>−</m:t>
        </m:r>
        <m:r>
          <m:t>1.31</m:t>
        </m:r>
      </m:oMath>
      <w:r>
        <w:t xml:space="preserve"> km s</w:t>
      </w:r>
      <w:r>
        <w:rPr>
          <w:vertAlign w:val="superscript"/>
        </w:rPr>
        <w:t xml:space="preserve">−1</w:t>
      </w:r>
      <w:r>
        <w:t xml:space="preserve"> </w:t>
      </w:r>
      <w:r>
        <w:t xml:space="preserve">residual on L1 is one of the smallest in the lead set, consistent with L1's HMX-class regime placement.</w:t>
      </w:r>
    </w:p>
    <w:p>
      <w:pPr>
        <w:pStyle w:val="MDPI18keywords"/>
        <w:ind w:left="2608"/>
      </w:pPr>
      <w:r>
        <w:rPr>
          <w:b/>
          <w:bCs/>
        </w:rPr>
        <w:t xml:space="preserve">C.5 caveat block: 1,2,3,5-oxatriazole stability literature (E1).</w:t>
      </w:r>
      <w:r>
        <w:t xml:space="preserve"> </w:t>
      </w:r>
      <w: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 mol</w:t>
      </w:r>
      <w:r>
        <w:rPr>
          <w:vertAlign w:val="superscript"/>
        </w:rPr>
        <w:t xml:space="preserve">−1</w:t>
      </w:r>
      <w:r>
        <w:t xml:space="preserve"> </w:t>
      </w:r>
      <w:r>
        <w:t xml:space="preserve">depending on substituents, vs 250–290 kJ mol</w:t>
      </w:r>
      <w:r>
        <w:rPr>
          <w:vertAlign w:val="superscript"/>
        </w:rPr>
        <w:t xml:space="preserve">−1</w:t>
      </w:r>
      <w:r>
        <w:t xml:space="preserve"> </w:t>
      </w:r>
      <w:r>
        <w:t xml:space="preserve">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t xml:space="preserve"> </w:t>
      </w:r>
      <m:oMath>
        <m:r>
          <m:t>ω</m:t>
        </m:r>
      </m:oMath>
      <w:r>
        <w:t xml:space="preserve">B97X-D3BJ level, plus DSC/TGA compatibility check) is required before E1 is promoted to synthesis priority. The the Supplementary Information GFN2-xTB BDE scan places E1's weakest cleavage at</w:t>
      </w:r>
      <w:r>
        <w:t xml:space="preserve"> </w:t>
      </w:r>
      <m:oMath>
        <m:r>
          <m:t>92.7</m:t>
        </m:r>
      </m:oMath>
      <w:r>
        <w:t xml:space="preserve"> kcal mol</w:t>
      </w:r>
      <w:r>
        <w:rPr>
          <w:vertAlign w:val="superscript"/>
        </w:rPr>
        <w:t xml:space="preserve">−1</w:t>
      </w:r>
      <w:r>
        <w:t xml:space="preserve"> </w:t>
      </w:r>
      <w:r>
        <w:t xml:space="preserve">on the exocyclic C–NO</w:t>
      </w:r>
      <w:r>
        <w:rPr>
          <w:vertAlign w:val="subscript"/>
        </w:rPr>
        <w:t xml:space="preserve">2</w:t>
      </w:r>
      <w:r>
        <w:t xml:space="preserve"> </w:t>
      </w:r>
      <w:r>
        <w:t xml:space="preserve">bond and finds no ring N–O channel below</w:t>
      </w:r>
      <w:r>
        <w:t xml:space="preserve"> </w:t>
      </w:r>
      <m:oMath>
        <m:r>
          <m:t>180</m:t>
        </m:r>
      </m:oMath>
      <w:r>
        <w:t xml:space="preserve"> kcal mol</w:t>
      </w:r>
      <w:r>
        <w:rPr>
          <w:vertAlign w:val="superscript"/>
        </w:rPr>
        <w:t xml:space="preserve">−1</w:t>
      </w:r>
      <w:r>
        <w:t xml:space="preserve"> </w:t>
      </w:r>
      <w:r>
        <w:t xml:space="preserve">on a vertical cleavage from the parent geometry; the literature endocyclic-O–N value (130–155 kJ mol</w:t>
      </w:r>
      <w:r>
        <w:rPr>
          <w:vertAlign w:val="superscript"/>
        </w:rPr>
        <w:t xml:space="preserve">−1</w:t>
      </w:r>
      <w:r>
        <w:t xml:space="preserve"> </w:t>
      </w:r>
      <m:oMath>
        <m:r>
          <m:rPr>
            <m:sty m:val="p"/>
          </m:rPr>
          <m:t>≈</m:t>
        </m:r>
      </m:oMath>
      <w:r>
        <w:t xml:space="preserve"> </w:t>
      </w:r>
      <w:r>
        <w:t xml:space="preserve">31–37 kcal mol</w:t>
      </w:r>
      <w:r>
        <w:rPr>
          <w:vertAlign w:val="superscript"/>
        </w:rPr>
        <w:t xml:space="preserve">−1</w:t>
      </w:r>
      <w:r>
        <w:t xml:space="preserve">)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co-headline candidate, but a relaxed-pathway BDE recompute and DSC/TGA screen are prerequisites for synthesis priority.</w:t>
      </w:r>
    </w:p>
    <w:p>
      <w:pPr>
        <w:pStyle w:val="MDPI18keywords"/>
        <w:ind w:left="2608"/>
      </w:pPr>
      <w:r>
        <w:rPr>
          <w:b/>
          <w:bCs/>
        </w:rPr>
        <w:t xml:space="preserve">C.6 K-J residual decomposition by ρ/HOF sensitivity.</w:t>
      </w:r>
      <w:r>
        <w:t xml:space="preserve"> </w:t>
      </w:r>
      <w:r>
        <w:t xml:space="preserve">Under the 6-anchor calibration L4's K-J</w:t>
      </w:r>
      <w:r>
        <w:t xml:space="preserve"> </w:t>
      </w:r>
      <m:oMath>
        <m:r>
          <m:t>D</m:t>
        </m:r>
      </m:oMath>
      <w:r>
        <w:t xml:space="preserve"> </w:t>
      </w:r>
      <w:r>
        <w:t xml:space="preserve">is</w:t>
      </w:r>
      <w:r>
        <w:t xml:space="preserve"> </w:t>
      </w:r>
      <m:oMath>
        <m:r>
          <m:t>6.71</m:t>
        </m:r>
      </m:oMath>
      <w:r>
        <w:t xml:space="preserve"> km s</w:t>
      </w:r>
      <w:r>
        <w:rPr>
          <w:vertAlign w:val="superscript"/>
        </w:rPr>
        <w:t xml:space="preserve">−1</w:t>
      </w:r>
      <w:r>
        <w:t xml:space="preserve"> </w:t>
      </w:r>
      <w:r>
        <w:t xml:space="preserve">against a 3D-CNN prediction of</w:t>
      </w:r>
      <w:r>
        <w:t xml:space="preserve"> </w:t>
      </w:r>
      <m:oMath>
        <m:r>
          <m:t>8.98</m:t>
        </m:r>
      </m:oMath>
      <w:r>
        <w:t xml:space="preserve"> km s</w:t>
      </w:r>
      <w:r>
        <w:rPr>
          <w:vertAlign w:val="superscript"/>
        </w:rPr>
        <w:t xml:space="preserve">−1</w:t>
      </w:r>
      <w:r>
        <w:t xml:space="preserve">, giving a residual of</w:t>
      </w:r>
      <w:r>
        <w:t xml:space="preserve"> </w:t>
      </w:r>
      <m:oMath>
        <m:sSub>
          <m:e>
            <m:r>
              <m:t>D</m:t>
            </m:r>
          </m:e>
          <m:sub>
            <m:r>
              <m:rPr>
                <m:nor/>
                <m:sty m:val="p"/>
              </m:rPr>
              <m:t>DFT-cal</m:t>
            </m:r>
          </m:sub>
        </m:sSub>
        <m:r>
          <m:rPr>
            <m:sty m:val="p"/>
          </m:rPr>
          <m:t>−</m:t>
        </m:r>
        <m:sSub>
          <m:e>
            <m:r>
              <m:t>D</m:t>
            </m:r>
          </m:e>
          <m:sub>
            <m:r>
              <m:rPr>
                <m:nor/>
                <m:sty m:val="p"/>
              </m:rPr>
              <m:t>3D-CNN</m:t>
            </m:r>
          </m:sub>
        </m:sSub>
        <m:r>
          <m:rPr>
            <m:sty m:val="p"/>
          </m:rPr>
          <m:t>=</m:t>
        </m:r>
        <m:r>
          <m:rPr>
            <m:sty m:val="p"/>
          </m:rPr>
          <m:t>−</m:t>
        </m:r>
        <m:r>
          <m:t>2.27</m:t>
        </m:r>
      </m:oMath>
      <w:r>
        <w:t xml:space="preserve"> km s</w:t>
      </w:r>
      <w:r>
        <w:rPr>
          <w:vertAlign w:val="superscript"/>
        </w:rPr>
        <w:t xml:space="preserve">−1</w:t>
      </w:r>
      <w:r>
        <w:t xml:space="preserve"> </w:t>
      </w:r>
      <w:r>
        <w:t xml:space="preserve">(Table C.2). We decompose this residual against the K-J sensitivity slopes at L4's base point and ask what input shift in</w:t>
      </w:r>
      <w:r>
        <w:t xml:space="preserve"> </w:t>
      </w:r>
      <m:oMath>
        <m:r>
          <m:t>ρ</m:t>
        </m:r>
      </m:oMath>
      <w:r>
        <w:t xml:space="preserve"> </w:t>
      </w:r>
      <w:r>
        <w:t xml:space="preserve">alone or HOF alone would be required to close it.</w:t>
      </w:r>
    </w:p>
    <w:p>
      <w:pPr>
        <w:pStyle w:val="MDPI18keywords"/>
        <w:ind w:left="2608"/>
      </w:pPr>
      <w:r>
        <w:rPr>
          <w:b/>
          <w:bCs/>
        </w:rPr>
        <w:t xml:space="preserve">Table C.3.</w:t>
      </w:r>
      <w:r>
        <w:t xml:space="preserve"> </w:t>
      </w:r>
      <w:r>
        <w:t xml:space="preserve">K-J residual decomposition by</w:t>
      </w:r>
      <w:r>
        <w:t xml:space="preserve"> </w:t>
      </w:r>
      <m:oMath>
        <m:r>
          <m:t>ρ</m:t>
        </m:r>
      </m:oMath>
      <w:r>
        <w:t xml:space="preserve">/HOF sensitivity for L4 (3D-CNN</w:t>
      </w:r>
      <w:r>
        <w:t xml:space="preserve"> </w:t>
      </w:r>
      <m:oMath>
        <m:r>
          <m:t>D</m:t>
        </m:r>
      </m:oMath>
      <w:r>
        <w:t xml:space="preserve">=8.98 km s</w:t>
      </w:r>
      <w:r>
        <w:rPr>
          <w:vertAlign w:val="superscript"/>
        </w:rPr>
        <w:t xml:space="preserve">−1</w:t>
      </w:r>
      <w:r>
        <w:t xml:space="preserve">, 6-anchor-calibrated K-J</w:t>
      </w:r>
      <w:r>
        <w:t xml:space="preserve"> </w:t>
      </w:r>
      <m:oMath>
        <m:r>
          <m:t>D</m:t>
        </m:r>
      </m:oMath>
      <w:r>
        <w:t xml:space="preserve">=6.71 km s</w:t>
      </w:r>
      <w:r>
        <w:rPr>
          <w:vertAlign w:val="superscript"/>
        </w:rPr>
        <w:t xml:space="preserve">−1</w:t>
      </w:r>
      <w:r>
        <w:t xml:space="preserve">, residual = </w:t>
      </w:r>
      <m:oMath>
        <m:r>
          <m:rPr>
            <m:sty m:val="p"/>
          </m:rPr>
          <m:t>−</m:t>
        </m:r>
        <m:r>
          <m:t>2.27</m:t>
        </m:r>
      </m:oMath>
      <w:r>
        <w:t xml:space="preserve"> km s</w:t>
      </w:r>
      <w:r>
        <w:rPr>
          <w:vertAlign w:val="superscript"/>
        </w:rPr>
        <w:t xml:space="preserve">−1</w:t>
      </w:r>
      <w:r>
        <w:t xml:space="preserve">). Both single-variable closures require physically or chemically implausible input shifts, so the residual is attributable primarily to the K-J formula's gas-product distribution assumption in the high-N CHNO regime, not to plausible</w:t>
      </w:r>
      <w:r>
        <w:t xml:space="preserve"> </w:t>
      </w:r>
      <m:oMath>
        <m:r>
          <m:t>ρ</m:t>
        </m:r>
      </m:oMath>
      <w:r>
        <w:t xml:space="preserve"> </w:t>
      </w:r>
      <w:r>
        <w:t xml:space="preserve">or HOF input errors.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27"/>
        <w:gridCol w:w="3230"/>
        <w:gridCol w:w="3001"/>
      </w:tblGrid>
      <w:tr>
        <w:trPr>
          <w:tblHeader w:val="on"/>
        </w:trPr>
        <w:tc>
          <w:tcPr>
            <w:tcBorders>
              <w:bottom w:val="single" w:sz="8" w:space="0" w:color="auto"/>
            </w:tcBorders>
            <w:vAlign w:val="center"/>
          </w:tcPr>
          <w:p>
            <w:pPr>
              <w:pStyle w:val="Compact"/>
              <w:suppressAutoHyphens/>
              <w:jc w:val="center"/>
            </w:pPr>
            <w:r>
              <w:rPr>
                <w:b/>
                <w:sz w:val="18"/>
                <w:szCs w:val="18"/>
              </w:rPr>
              <w:t xml:space="preserve">Mechanism</w:t>
            </w:r>
          </w:p>
        </w:tc>
        <w:tc>
          <w:tcPr>
            <w:tcBorders>
              <w:bottom w:val="single" w:sz="8" w:space="0" w:color="auto"/>
            </w:tcBorders>
            <w:vAlign w:val="center"/>
          </w:tcPr>
          <w:p>
            <w:pPr>
              <w:pStyle w:val="Compact"/>
              <w:suppressAutoHyphens/>
              <w:jc w:val="center"/>
            </w:pPr>
            <w:r>
              <w:rPr>
                <w:b/>
                <w:sz w:val="18"/>
                <w:szCs w:val="18"/>
              </w:rPr>
              <w:t xml:space="preserve">Required correction</w:t>
            </w:r>
          </w:p>
        </w:tc>
        <w:tc>
          <w:tcPr>
            <w:tcBorders>
              <w:bottom w:val="single" w:sz="8" w:space="0" w:color="auto"/>
            </w:tcBorders>
            <w:vAlign w:val="center"/>
          </w:tcPr>
          <w:p>
            <w:pPr>
              <w:pStyle w:val="Compact"/>
              <w:suppressAutoHyphens/>
              <w:jc w:val="center"/>
            </w:pPr>
            <w:r>
              <w:rPr>
                <w:b/>
                <w:sz w:val="18"/>
                <w:szCs w:val="18"/>
              </w:rPr>
              <w:t xml:space="preserve">Implausibility</w:t>
            </w:r>
          </w:p>
        </w:tc>
      </w:tr>
      <w:tr>
        <w:tc>
          <w:tcPr>
            <w:vAlign w:val="center"/>
          </w:tcPr>
          <w:p>
            <w:pPr>
              <w:pStyle w:val="Compact"/>
              <w:suppressAutoHyphens/>
              <w:jc w:val="center"/>
            </w:pPr>
            <w:r>
              <w:rPr>
                <w:sz w:val="18"/>
                <w:szCs w:val="18"/>
              </w:rPr>
              <w:t xml:space="preserve">Close residual via ρ alone</w:t>
            </w:r>
          </w:p>
        </w:tc>
        <w:tc>
          <w:tcPr>
            <w:vAlign w:val="center"/>
          </w:tcPr>
          <w:p>
            <w:pPr>
              <w:pStyle w:val="Compact"/>
              <w:suppressAutoHyphens/>
              <w:jc w:val="center"/>
            </w:pPr>
            <m:oMath>
              <m:r>
                <w:rPr>
                  <w:sz w:val="18"/>
                  <w:szCs w:val="18"/>
                </w:rPr>
                <m:rPr>
                  <m:sty m:val="p"/>
                </m:rPr>
                <m:t>Δ</m:t>
              </m:r>
              <m:r>
                <w:rPr>
                  <w:sz w:val="18"/>
                  <w:szCs w:val="18"/>
                </w:rPr>
                <m:t>ρ</m:t>
              </m:r>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t>2.47</m:t>
              </m:r>
              <m:r>
                <w:rPr>
                  <w:sz w:val="18"/>
                  <w:szCs w:val="18"/>
                </w:rPr>
                <m:rPr>
                  <m:sty m:val="p"/>
                </m:rPr>
                <m:t>=</m:t>
              </m:r>
              <m:r>
                <w:rPr>
                  <w:sz w:val="18"/>
                  <w:szCs w:val="18"/>
                </w:rPr>
                <m:rPr>
                  <m:sty m:val="p"/>
                </m:rPr>
                <m:t>−</m:t>
              </m:r>
              <m:r>
                <w:rPr>
                  <w:sz w:val="18"/>
                  <w:szCs w:val="18"/>
                </w:rPr>
                <m:t>0.92</m:t>
              </m:r>
            </m:oMath>
            <w:r>
              <w:rPr>
                <w:sz w:val="18"/>
                <w:szCs w:val="18"/>
              </w:rPr>
              <w:t xml:space="preserve"> g cm</w:t>
            </w:r>
            <w:r>
              <w:rPr>
                <w:vertAlign w:val="superscript"/>
                <w:sz w:val="18"/>
                <w:szCs w:val="18"/>
              </w:rPr>
              <w:t xml:space="preserve">−3</w:t>
            </w:r>
            <w:r>
              <w:rPr>
                <w:sz w:val="18"/>
                <w:szCs w:val="18"/>
              </w:rPr>
              <w:t xml:space="preserve">; L4 calibrated</w:t>
            </w:r>
            <w:r>
              <w:rPr>
                <w:sz w:val="18"/>
                <w:szCs w:val="18"/>
              </w:rPr>
              <w:t xml:space="preserve"> </w:t>
            </w:r>
            <m:oMath>
              <m:r>
                <w:rPr>
                  <w:sz w:val="18"/>
                  <w:szCs w:val="18"/>
                </w:rPr>
                <m:t>ρ</m:t>
              </m:r>
            </m:oMath>
            <w:r>
              <w:rPr>
                <w:sz w:val="18"/>
                <w:szCs w:val="18"/>
              </w:rPr>
              <w:t xml:space="preserve"> </w:t>
            </w:r>
            <w:r>
              <w:rPr>
                <w:sz w:val="18"/>
                <w:szCs w:val="18"/>
              </w:rPr>
              <w:t xml:space="preserve">would have to drop from 1.94 to 1.02 g cm</w:t>
            </w:r>
            <w:r>
              <w:rPr>
                <w:vertAlign w:val="superscript"/>
                <w:sz w:val="18"/>
                <w:szCs w:val="18"/>
              </w:rPr>
              <w:t xml:space="preserve">−3</w:t>
            </w:r>
          </w:p>
        </w:tc>
        <w:tc>
          <w:tcPr>
            <w:vAlign w:val="center"/>
          </w:tcPr>
          <w:p>
            <w:pPr>
              <w:pStyle w:val="Compact"/>
              <w:suppressAutoHyphens/>
              <w:jc w:val="center"/>
            </w:pPr>
            <w:r>
              <w:rPr>
                <w:sz w:val="18"/>
                <w:szCs w:val="18"/>
              </w:rPr>
              <w:t xml:space="preserve">Lighter than water; chemically implausible for any nitrogen-rich CHNO crystal</w:t>
            </w:r>
          </w:p>
        </w:tc>
      </w:tr>
      <w:tr>
        <w:tc>
          <w:tcPr>
            <w:vAlign w:val="center"/>
          </w:tcPr>
          <w:p>
            <w:pPr>
              <w:pStyle w:val="Compact"/>
              <w:suppressAutoHyphens/>
              <w:jc w:val="center"/>
            </w:pPr>
            <w:r>
              <w:rPr>
                <w:sz w:val="18"/>
                <w:szCs w:val="18"/>
              </w:rPr>
              <w:t xml:space="preserve">Close residual via HOF alone</w:t>
            </w:r>
          </w:p>
        </w:tc>
        <w:tc>
          <w:tcPr>
            <w:vAlign w:val="center"/>
          </w:tcPr>
          <w:p>
            <w:pPr>
              <w:pStyle w:val="Compact"/>
              <w:suppressAutoHyphens/>
              <w:jc w:val="center"/>
            </w:pPr>
            <m:oMath>
              <m:r>
                <w:rPr>
                  <w:sz w:val="18"/>
                  <w:szCs w:val="18"/>
                </w:rPr>
                <m:rPr>
                  <m:sty m:val="p"/>
                </m:rPr>
                <m:t>Δ</m:t>
              </m:r>
            </m:oMath>
            <w:r>
              <w:rPr>
                <w:sz w:val="18"/>
                <w:szCs w:val="18"/>
              </w:rPr>
              <w:t xml:space="preserve">HOF</w:t>
            </w:r>
            <w:r>
              <w:rPr>
                <w:sz w:val="18"/>
                <w:szCs w:val="18"/>
              </w:rPr>
              <w:t xml:space="preserve"> </w:t>
            </w:r>
            <m:oMath>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rPr>
                  <m:sty m:val="p"/>
                </m:rPr>
                <m:t>(</m:t>
              </m:r>
              <m:r>
                <w:rPr>
                  <w:sz w:val="18"/>
                  <w:szCs w:val="18"/>
                </w:rPr>
                <m:rPr>
                  <m:sty m:val="p"/>
                </m:rPr>
                <m:t>−</m:t>
              </m:r>
              <m:r>
                <w:rPr>
                  <w:sz w:val="18"/>
                  <w:szCs w:val="18"/>
                </w:rPr>
                <m:t>0.22</m:t>
              </m:r>
              <m:r>
                <w:rPr>
                  <w:sz w:val="18"/>
                  <w:szCs w:val="18"/>
                </w:rPr>
                <m:rPr>
                  <m:sty m:val="p"/>
                </m:rPr>
                <m:t>/</m:t>
              </m:r>
              <m:r>
                <w:rPr>
                  <w:sz w:val="18"/>
                  <w:szCs w:val="18"/>
                </w:rPr>
                <m:t>100</m:t>
              </m:r>
              <m:r>
                <w:rPr>
                  <w:sz w:val="18"/>
                  <w:szCs w:val="18"/>
                </w:rPr>
                <m:rPr>
                  <m:sty m:val="p"/>
                </m:rPr>
                <m:t>)</m:t>
              </m:r>
              <m:r>
                <w:rPr>
                  <w:sz w:val="18"/>
                  <w:szCs w:val="18"/>
                </w:rPr>
                <m:rPr>
                  <m:sty m:val="p"/>
                </m:rPr>
                <m:t>=</m:t>
              </m:r>
              <m:r>
                <w:rPr>
                  <w:sz w:val="18"/>
                  <w:szCs w:val="18"/>
                </w:rPr>
                <m:rPr>
                  <m:sty m:val="p"/>
                </m:rPr>
                <m:t>+</m:t>
              </m:r>
              <m:r>
                <w:rPr>
                  <w:sz w:val="18"/>
                  <w:szCs w:val="18"/>
                </w:rPr>
                <m:t>1032</m:t>
              </m:r>
            </m:oMath>
            <w:r>
              <w:rPr>
                <w:sz w:val="18"/>
                <w:szCs w:val="18"/>
              </w:rPr>
              <w:t xml:space="preserve"> kJ mol</w:t>
            </w:r>
            <w:r>
              <w:rPr>
                <w:vertAlign w:val="superscript"/>
                <w:sz w:val="18"/>
                <w:szCs w:val="18"/>
              </w:rPr>
              <w:t xml:space="preserve">−1</w:t>
            </w:r>
            <w:r>
              <w:rPr>
                <w:sz w:val="18"/>
                <w:szCs w:val="18"/>
              </w:rPr>
              <w:t xml:space="preserve">; L4 calibrated HOF would have to rise from +292 to +1324 kJ mol</w:t>
            </w:r>
            <w:r>
              <w:rPr>
                <w:vertAlign w:val="superscript"/>
                <w:sz w:val="18"/>
                <w:szCs w:val="18"/>
              </w:rPr>
              <w:t xml:space="preserve">−1</w:t>
            </w:r>
          </w:p>
        </w:tc>
        <w:tc>
          <w:tcPr>
            <w:vAlign w:val="center"/>
          </w:tcPr>
          <w:p>
            <w:pPr>
              <w:pStyle w:val="Compact"/>
              <w:suppressAutoHyphens/>
              <w:jc w:val="center"/>
            </w:pPr>
            <w:r>
              <w:rPr>
                <w:sz w:val="18"/>
                <w:szCs w:val="18"/>
              </w:rPr>
              <w:t xml:space="preserve">Far above CL-20's HOF (~+460 kJ mol</w:t>
            </w:r>
            <w:r>
              <w:rPr>
                <w:vertAlign w:val="superscript"/>
                <w:sz w:val="18"/>
                <w:szCs w:val="18"/>
              </w:rPr>
              <w:t xml:space="preserve">−1</w:t>
            </w:r>
            <w:r>
              <w:rPr>
                <w:sz w:val="18"/>
                <w:szCs w:val="18"/>
              </w:rPr>
              <w:t xml:space="preserve">); physically extreme for a 13-atom CHNO neutral</w:t>
            </w:r>
          </w:p>
        </w:tc>
      </w:tr>
    </w:tbl>
    <w:p>
      <w:pPr>
        <w:pStyle w:val="MDPI18keywords"/>
        <w:ind w:left="2608"/>
      </w:pPr>
      <w:r>
        <w:t xml:space="preserve">K-J sensitivity slopes at the L4 base point:</w:t>
      </w:r>
      <w:r>
        <w:t xml:space="preserve"> </w:t>
      </w:r>
      <m:oMath>
        <m:r>
          <m:t>d</m:t>
        </m:r>
        <m:r>
          <m:t>D</m:t>
        </m:r>
        <m:r>
          <m:rPr>
            <m:sty m:val="p"/>
          </m:rPr>
          <m:t>/</m:t>
        </m:r>
        <m:r>
          <m:t>d</m:t>
        </m:r>
        <m:r>
          <m:t>ρ</m:t>
        </m:r>
        <m:r>
          <m:rPr>
            <m:sty m:val="p"/>
          </m:rPr>
          <m:t>≈</m:t>
        </m:r>
        <m:r>
          <m:rPr>
            <m:sty m:val="p"/>
          </m:rPr>
          <m:t>+</m:t>
        </m:r>
        <m:r>
          <m:t>2.47</m:t>
        </m:r>
      </m:oMath>
      <w:r>
        <w:t xml:space="preserve"> </w:t>
      </w:r>
      <w:r>
        <w:t xml:space="preserve">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t>0.22</m:t>
        </m:r>
      </m:oMath>
      <w:r>
        <w:t xml:space="preserve"> </w:t>
      </w:r>
      <w:r>
        <w:t xml:space="preserve">km s</w:t>
      </w:r>
      <w:r>
        <w:rPr>
          <w:vertAlign w:val="superscript"/>
        </w:rPr>
        <w:t xml:space="preserve">−1</w:t>
      </w:r>
      <w:r>
        <w:t xml:space="preserve"> </w:t>
      </w:r>
      <w:r>
        <w:t xml:space="preserve">per 100 kJ mol</w:t>
      </w:r>
      <w:r>
        <w:rPr>
          <w:vertAlign w:val="superscript"/>
        </w:rPr>
        <w:t xml:space="preserve">−1</w:t>
      </w:r>
      <w:r>
        <w:t xml:space="preserve">. Both single-variable closures are implausible; the K-J residual at L4 is dominated by the gas-product distribution assumption rather than</w:t>
      </w:r>
      <w:r>
        <w:t xml:space="preserve"> </w:t>
      </w:r>
      <m:oMath>
        <m:r>
          <m:t>ρ</m:t>
        </m:r>
      </m:oMath>
      <w:r>
        <w:t xml:space="preserve"> </w:t>
      </w:r>
      <w:r>
        <w:t xml:space="preserve">or HOF input errors, with a secondary contribution from the 6-anchor calibration uncertainty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The assumed gas-product distribution (CO</w:t>
      </w:r>
      <w:r>
        <w:rPr>
          <w:vertAlign w:val="subscript"/>
        </w:rPr>
        <w:t xml:space="preserve">2</w:t>
      </w:r>
      <w:r>
        <w:t xml:space="preserve">, H</w:t>
      </w:r>
      <w:r>
        <w:rPr>
          <w:vertAlign w:val="subscript"/>
        </w:rPr>
        <w:t xml:space="preserve">2</w:t>
      </w:r>
      <w:r>
        <w:t xml:space="preserve">O, N</w:t>
      </w:r>
      <w:r>
        <w:rPr>
          <w:vertAlign w:val="subscript"/>
        </w:rPr>
        <w:t xml:space="preserve">2</w:t>
      </w:r>
      <w:r>
        <w:t xml:space="preserve"> </w:t>
      </w:r>
      <w: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MDPI18keywords"/>
        <w:ind w:left="2608"/>
      </w:pPr>
      <w:r>
        <w:rPr>
          <w:b/>
          <w:bCs/>
        </w:rPr>
        <w:t xml:space="preserve">C.7 Population-level N-fraction stratification.</w:t>
      </w:r>
      <w:r>
        <w:t xml:space="preserve"> </w:t>
      </w:r>
      <w:r>
        <w:t xml:space="preserve">To confirm that the K-J residual's regime dependence is not specific to L4 but a population-wide signal, we re-ran the same K-J formula on every Tier-A row of the labelled master that carries simultaneous experimental ρ, HOF, and</w:t>
      </w:r>
      <w:r>
        <w:t xml:space="preserve"> </w:t>
      </w:r>
      <m:oMath>
        <m:r>
          <m:t>D</m:t>
        </m:r>
      </m:oMath>
      <w:r>
        <w:t xml:space="preserve"> </w:t>
      </w:r>
      <w:r>
        <w:t xml:space="preserve">(n = 575) and stratified the residual</w:t>
      </w:r>
      <w:r>
        <w:t xml:space="preserve"> </w:t>
      </w:r>
      <m:oMath>
        <m:sSub>
          <m:e>
            <m:r>
              <m:t>D</m:t>
            </m:r>
          </m:e>
          <m:sub>
            <m:r>
              <m:rPr>
                <m:nor/>
                <m:sty m:val="p"/>
              </m:rPr>
              <m:t>K-J</m:t>
            </m:r>
          </m:sub>
        </m:sSub>
        <m:r>
          <m:rPr>
            <m:sty m:val="p"/>
          </m:rPr>
          <m:t>−</m:t>
        </m:r>
        <m:sSub>
          <m:e>
            <m:r>
              <m:t>D</m:t>
            </m:r>
          </m:e>
          <m:sub>
            <m:r>
              <m:rPr>
                <m:nor/>
                <m:sty m:val="p"/>
              </m:rPr>
              <m:t>exp</m:t>
            </m:r>
          </m:sub>
        </m:sSub>
      </m:oMath>
      <w:r>
        <w:t xml:space="preserve"> </w:t>
      </w:r>
      <w:r>
        <w:t xml:space="preserve">by atomic N-fraction</w:t>
      </w:r>
      <w: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t xml:space="preserve">:</w:t>
      </w:r>
    </w:p>
    <w:p>
      <w:pPr>
        <w:pStyle w:val="MDPI18keywords"/>
        <w:ind w:left="2608"/>
      </w:pPr>
      <w:r>
        <w:rPr>
          <w:b/>
          <w:bCs/>
        </w:rPr>
        <w:t xml:space="preserve">Table C.4.</w:t>
      </w:r>
      <w:r>
        <w:t xml:space="preserve"> </w:t>
      </w:r>
      <w:r>
        <w:t xml:space="preserve">Population-level N-fraction stratification of the K-J residual on 575 Tier-A rows of the labelled master that carry simultaneous experimental</w:t>
      </w:r>
      <w:r>
        <w:t xml:space="preserve"> </w:t>
      </w:r>
      <m:oMath>
        <m:r>
          <m:t>ρ</m:t>
        </m:r>
      </m:oMath>
      <w:r>
        <w:t xml:space="preserve">, HOF, and</w:t>
      </w:r>
      <w:r>
        <w:t xml:space="preserve"> </w:t>
      </w:r>
      <m:oMath>
        <m:r>
          <m:t>D</m:t>
        </m:r>
      </m:oMath>
      <w:r>
        <w:t xml:space="preserve">. Columns: N-fraction bin; row count; mean experimental</w:t>
      </w:r>
      <w:r>
        <w:t xml:space="preserve"> </w:t>
      </w:r>
      <m:oMath>
        <m:r>
          <m:t>D</m:t>
        </m:r>
      </m:oMath>
      <w:r>
        <w:t xml:space="preserve">; mean K-J recomputed</w:t>
      </w:r>
      <w:r>
        <w:t xml:space="preserve"> </w:t>
      </w:r>
      <m:oMath>
        <m:r>
          <m:t>D</m:t>
        </m:r>
      </m:oMath>
      <w:r>
        <w:t xml:space="preserve">; mean residual (K-J minus experimental).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40"/>
        <w:gridCol w:w="621"/>
        <w:gridCol w:w="1717"/>
        <w:gridCol w:w="1717"/>
        <w:gridCol w:w="2163"/>
      </w:tblGrid>
      <w:tr>
        <w:trPr>
          <w:tblHeader w:val="on"/>
        </w:trPr>
        <w:tc>
          <w:tcPr>
            <w:tcBorders>
              <w:bottom w:val="single" w:sz="8" w:space="0" w:color="auto"/>
            </w:tcBorders>
            <w:vAlign w:val="center"/>
          </w:tcPr>
          <w:p>
            <w:pPr>
              <w:pStyle w:val="Compact"/>
              <w:suppressAutoHyphens/>
              <w:jc w:val="center"/>
            </w:pPr>
            <w:r>
              <w:rPr>
                <w:b/>
                <w:sz w:val="18"/>
                <w:szCs w:val="18"/>
              </w:rPr>
              <w:t xml:space="preserve">N-fraction bin</w:t>
            </w:r>
          </w:p>
        </w:tc>
        <w:tc>
          <w:tcPr>
            <w:tcBorders>
              <w:bottom w:val="single" w:sz="8" w:space="0" w:color="auto"/>
            </w:tcBorders>
            <w:vAlign w:val="center"/>
          </w:tcPr>
          <w:p>
            <w:pPr>
              <w:pStyle w:val="Compact"/>
              <w:suppressAutoHyphens/>
              <w:jc w:val="center"/>
            </w:pPr>
            <m:oMath>
              <m:r>
                <w:rPr>
                  <w:sz w:val="18"/>
                  <w:szCs w:val="18"/>
                </w:rPr>
                <m:t>n</m:t>
              </m:r>
            </m:oMath>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exp</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K-J</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 residual (km s</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[0.00–0.10)</w:t>
            </w:r>
          </w:p>
        </w:tc>
        <w:tc>
          <w:tcPr>
            <w:vAlign w:val="center"/>
          </w:tcPr>
          <w:p>
            <w:pPr>
              <w:pStyle w:val="Compact"/>
              <w:suppressAutoHyphens/>
              <w:jc w:val="center"/>
            </w:pPr>
            <w:r>
              <w:rPr>
                <w:sz w:val="18"/>
                <w:szCs w:val="18"/>
              </w:rPr>
              <w:t xml:space="preserve">16</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−2.59</w:t>
            </w:r>
          </w:p>
        </w:tc>
      </w:tr>
      <w:tr>
        <w:tc>
          <w:tcPr>
            <w:vAlign w:val="center"/>
          </w:tcPr>
          <w:p>
            <w:pPr>
              <w:pStyle w:val="Compact"/>
              <w:suppressAutoHyphens/>
              <w:jc w:val="center"/>
            </w:pPr>
            <w:r>
              <w:rPr>
                <w:sz w:val="18"/>
                <w:szCs w:val="18"/>
              </w:rPr>
              <w:t xml:space="preserve">[0.10–0.20)</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7.44</w:t>
            </w:r>
          </w:p>
        </w:tc>
        <w:tc>
          <w:tcPr>
            <w:vAlign w:val="center"/>
          </w:tcPr>
          <w:p>
            <w:pPr>
              <w:pStyle w:val="Compact"/>
              <w:suppressAutoHyphens/>
              <w:jc w:val="center"/>
            </w:pPr>
            <w:r>
              <w:rPr>
                <w:sz w:val="18"/>
                <w:szCs w:val="18"/>
              </w:rPr>
              <w:t xml:space="preserve">3.93</w:t>
            </w:r>
          </w:p>
        </w:tc>
        <w:tc>
          <w:tcPr>
            <w:vAlign w:val="center"/>
          </w:tcPr>
          <w:p>
            <w:pPr>
              <w:pStyle w:val="Compact"/>
              <w:suppressAutoHyphens/>
              <w:jc w:val="center"/>
            </w:pPr>
            <w:r>
              <w:rPr>
                <w:sz w:val="18"/>
                <w:szCs w:val="18"/>
              </w:rPr>
              <w:t xml:space="preserve">−3.51</w:t>
            </w:r>
          </w:p>
        </w:tc>
      </w:tr>
      <w:tr>
        <w:tc>
          <w:tcPr>
            <w:vAlign w:val="center"/>
          </w:tcPr>
          <w:p>
            <w:pPr>
              <w:pStyle w:val="Compact"/>
              <w:suppressAutoHyphens/>
              <w:jc w:val="center"/>
            </w:pPr>
            <w:r>
              <w:rPr>
                <w:sz w:val="18"/>
                <w:szCs w:val="18"/>
              </w:rPr>
              <w:t xml:space="preserve">[0.20–0.30)</w:t>
            </w:r>
          </w:p>
        </w:tc>
        <w:tc>
          <w:tcPr>
            <w:vAlign w:val="center"/>
          </w:tcPr>
          <w:p>
            <w:pPr>
              <w:pStyle w:val="Compact"/>
              <w:suppressAutoHyphens/>
              <w:jc w:val="center"/>
            </w:pPr>
            <w:r>
              <w:rPr>
                <w:sz w:val="18"/>
                <w:szCs w:val="18"/>
              </w:rPr>
              <w:t xml:space="preserve">233</w:t>
            </w:r>
          </w:p>
        </w:tc>
        <w:tc>
          <w:tcPr>
            <w:vAlign w:val="center"/>
          </w:tcPr>
          <w:p>
            <w:pPr>
              <w:pStyle w:val="Compact"/>
              <w:suppressAutoHyphens/>
              <w:jc w:val="center"/>
            </w:pPr>
            <w:r>
              <w:rPr>
                <w:sz w:val="18"/>
                <w:szCs w:val="18"/>
              </w:rPr>
              <w:t xml:space="preserve">7.96</w:t>
            </w:r>
          </w:p>
        </w:tc>
        <w:tc>
          <w:tcPr>
            <w:vAlign w:val="center"/>
          </w:tcPr>
          <w:p>
            <w:pPr>
              <w:pStyle w:val="Compact"/>
              <w:suppressAutoHyphens/>
              <w:jc w:val="center"/>
            </w:pPr>
            <w:r>
              <w:rPr>
                <w:sz w:val="18"/>
                <w:szCs w:val="18"/>
              </w:rPr>
              <w:t xml:space="preserve">4.37</w:t>
            </w:r>
          </w:p>
        </w:tc>
        <w:tc>
          <w:tcPr>
            <w:vAlign w:val="center"/>
          </w:tcPr>
          <w:p>
            <w:pPr>
              <w:pStyle w:val="Compact"/>
              <w:suppressAutoHyphens/>
              <w:jc w:val="center"/>
            </w:pPr>
            <w:r>
              <w:rPr>
                <w:sz w:val="18"/>
                <w:szCs w:val="18"/>
              </w:rPr>
              <w:t xml:space="preserve">−3.59</w:t>
            </w:r>
          </w:p>
        </w:tc>
      </w:tr>
      <w:tr>
        <w:tc>
          <w:tcPr>
            <w:vAlign w:val="center"/>
          </w:tcPr>
          <w:p>
            <w:pPr>
              <w:pStyle w:val="Compact"/>
              <w:suppressAutoHyphens/>
              <w:jc w:val="center"/>
            </w:pPr>
            <w:r>
              <w:rPr>
                <w:sz w:val="18"/>
                <w:szCs w:val="18"/>
              </w:rPr>
              <w:t xml:space="preserve">[0.30–0.40)</w:t>
            </w:r>
          </w:p>
        </w:tc>
        <w:tc>
          <w:tcPr>
            <w:vAlign w:val="center"/>
          </w:tcPr>
          <w:p>
            <w:pPr>
              <w:pStyle w:val="Compact"/>
              <w:suppressAutoHyphens/>
              <w:jc w:val="center"/>
            </w:pPr>
            <w:r>
              <w:rPr>
                <w:sz w:val="18"/>
                <w:szCs w:val="18"/>
              </w:rPr>
              <w:t xml:space="preserve">84</w:t>
            </w:r>
          </w:p>
        </w:tc>
        <w:tc>
          <w:tcPr>
            <w:vAlign w:val="center"/>
          </w:tcPr>
          <w:p>
            <w:pPr>
              <w:pStyle w:val="Compact"/>
              <w:suppressAutoHyphens/>
              <w:jc w:val="center"/>
            </w:pPr>
            <w:r>
              <w:rPr>
                <w:sz w:val="18"/>
                <w:szCs w:val="18"/>
              </w:rPr>
              <w:t xml:space="preserve">8.30</w:t>
            </w:r>
          </w:p>
        </w:tc>
        <w:tc>
          <w:tcPr>
            <w:vAlign w:val="center"/>
          </w:tcPr>
          <w:p>
            <w:pPr>
              <w:pStyle w:val="Compact"/>
              <w:suppressAutoHyphens/>
              <w:jc w:val="center"/>
            </w:pPr>
            <w:r>
              <w:rPr>
                <w:sz w:val="18"/>
                <w:szCs w:val="18"/>
              </w:rPr>
              <w:t xml:space="preserve">5.01</w:t>
            </w:r>
          </w:p>
        </w:tc>
        <w:tc>
          <w:tcPr>
            <w:vAlign w:val="center"/>
          </w:tcPr>
          <w:p>
            <w:pPr>
              <w:pStyle w:val="Compact"/>
              <w:suppressAutoHyphens/>
              <w:jc w:val="center"/>
            </w:pPr>
            <w:r>
              <w:rPr>
                <w:sz w:val="18"/>
                <w:szCs w:val="18"/>
              </w:rPr>
              <w:t xml:space="preserve">−3.29</w:t>
            </w:r>
          </w:p>
        </w:tc>
      </w:tr>
      <w:tr>
        <w:tc>
          <w:tcPr>
            <w:vAlign w:val="center"/>
          </w:tcPr>
          <w:p>
            <w:pPr>
              <w:pStyle w:val="Compact"/>
              <w:suppressAutoHyphens/>
              <w:jc w:val="center"/>
            </w:pPr>
            <w:r>
              <w:rPr>
                <w:sz w:val="18"/>
                <w:szCs w:val="18"/>
              </w:rPr>
              <w:t xml:space="preserve">[0.40–0.55)</w:t>
            </w:r>
          </w:p>
        </w:tc>
        <w:tc>
          <w:tcPr>
            <w:vAlign w:val="center"/>
          </w:tcPr>
          <w:p>
            <w:pPr>
              <w:pStyle w:val="Compact"/>
              <w:suppressAutoHyphens/>
              <w:jc w:val="center"/>
            </w:pPr>
            <w:r>
              <w:rPr>
                <w:sz w:val="18"/>
                <w:szCs w:val="18"/>
              </w:rPr>
              <w:t xml:space="preserve">37</w:t>
            </w:r>
          </w:p>
        </w:tc>
        <w:tc>
          <w:tcPr>
            <w:vAlign w:val="center"/>
          </w:tcPr>
          <w:p>
            <w:pPr>
              <w:pStyle w:val="Compact"/>
              <w:suppressAutoHyphens/>
              <w:jc w:val="center"/>
            </w:pPr>
            <w:r>
              <w:rPr>
                <w:sz w:val="18"/>
                <w:szCs w:val="18"/>
              </w:rPr>
              <w:t xml:space="preserve">7.78</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−1.60</w:t>
            </w:r>
          </w:p>
        </w:tc>
      </w:tr>
      <w:tr>
        <w:tc>
          <w:tcPr>
            <w:vAlign w:val="center"/>
          </w:tcPr>
          <w:p>
            <w:pPr>
              <w:pStyle w:val="Compact"/>
              <w:suppressAutoHyphens/>
              <w:jc w:val="center"/>
            </w:pPr>
            <w:r>
              <w:rPr>
                <w:sz w:val="18"/>
                <w:szCs w:val="18"/>
              </w:rPr>
              <w:t xml:space="preserve">[0.55–1.00]</w:t>
            </w:r>
          </w:p>
        </w:tc>
        <w:tc>
          <w:tcPr>
            <w:vAlign w:val="center"/>
          </w:tcPr>
          <w:p>
            <w:pPr>
              <w:pStyle w:val="Compact"/>
              <w:suppressAutoHyphens/>
              <w:jc w:val="center"/>
            </w:pPr>
            <w:r>
              <w:rPr>
                <w:sz w:val="18"/>
                <w:szCs w:val="18"/>
              </w:rPr>
              <w:t xml:space="preserve">9</w:t>
            </w:r>
          </w:p>
        </w:tc>
        <w:tc>
          <w:tcPr>
            <w:vAlign w:val="center"/>
          </w:tcPr>
          <w:p>
            <w:pPr>
              <w:pStyle w:val="Compact"/>
              <w:suppressAutoHyphens/>
              <w:jc w:val="center"/>
            </w:pPr>
            <w:r>
              <w:rPr>
                <w:sz w:val="18"/>
                <w:szCs w:val="18"/>
              </w:rPr>
              <w:t xml:space="preserve">7.12</w:t>
            </w:r>
          </w:p>
        </w:tc>
        <w:tc>
          <w:tcPr>
            <w:vAlign w:val="center"/>
          </w:tcPr>
          <w:p>
            <w:pPr>
              <w:pStyle w:val="Compact"/>
              <w:suppressAutoHyphens/>
              <w:jc w:val="center"/>
            </w:pPr>
            <w:r>
              <w:rPr>
                <w:sz w:val="18"/>
                <w:szCs w:val="18"/>
              </w:rPr>
              <w:t xml:space="preserve">7.66</w:t>
            </w:r>
          </w:p>
        </w:tc>
        <w:tc>
          <w:tcPr>
            <w:vAlign w:val="center"/>
          </w:tcPr>
          <w:p>
            <w:pPr>
              <w:pStyle w:val="Compact"/>
              <w:suppressAutoHyphens/>
              <w:jc w:val="center"/>
            </w:pPr>
            <w:r>
              <w:rPr>
                <w:b/>
                <w:bCs/>
                <w:sz w:val="18"/>
                <w:szCs w:val="18"/>
              </w:rPr>
              <w:t xml:space="preserve">+0.54</w:t>
            </w:r>
          </w:p>
        </w:tc>
      </w:tr>
    </w:tbl>
    <w:p>
      <w:pPr>
        <w:pStyle w:val="MDPI18keywords"/>
        <w:ind w:left="2608"/>
      </w:pPr>
      <w:r>
        <w:t xml:space="preserve">The residual flips sign across the N-fraction range: K-J systematically under-predicts</w:t>
      </w:r>
      <w:r>
        <w:t xml:space="preserve"> </w:t>
      </w:r>
      <m:oMath>
        <m:r>
          <m:t>D</m:t>
        </m:r>
      </m:oMath>
      <w:r>
        <w:t xml:space="preserve"> </w:t>
      </w:r>
      <w:r>
        <w:t xml:space="preserve">by 3–3.6 km s</w:t>
      </w:r>
      <w:r>
        <w:rPr>
          <w:vertAlign w:val="superscript"/>
        </w:rPr>
        <w:t xml:space="preserve">−1</w:t>
      </w:r>
      <w:r>
        <w:t xml:space="preserve"> </w:t>
      </w:r>
      <w:r>
        <w:t xml:space="preserve">in the low-to-mid N-fraction regime and shifts toward over-prediction in the high-N regime.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 </w:t>
      </w:r>
      <w:r>
        <w:t xml:space="preserve">(</w:t>
      </w:r>
      <m:oMath>
        <m:r>
          <m:t>p</m:t>
        </m:r>
        <m:r>
          <m:rPr>
            <m:sty m:val="p"/>
          </m:rPr>
          <m:t>=</m:t>
        </m:r>
        <m:r>
          <m:t>4</m:t>
        </m:r>
        <m:r>
          <m:rPr>
            <m:sty m:val="p"/>
          </m:rPr>
          <m:t>×</m:t>
        </m:r>
        <m:sSup>
          <m:e>
            <m:r>
              <m:t>10</m:t>
            </m:r>
          </m:e>
          <m:sup>
            <m:r>
              <m:rPr>
                <m:sty m:val="p"/>
              </m:rPr>
              <m:t>−</m:t>
            </m:r>
            <m:r>
              <m:t>27</m:t>
            </m:r>
          </m:sup>
        </m:sSup>
      </m:oMath>
      <w:r>
        <w:t xml:space="preserve">,</w:t>
      </w:r>
      <w:r>
        <w:t xml:space="preserve"> </w:t>
      </w:r>
      <m:oMath>
        <m:r>
          <m:t>n</m:t>
        </m:r>
        <m:r>
          <m:rPr>
            <m:sty m:val="p"/>
          </m:rPr>
          <m:t>=</m:t>
        </m:r>
        <m:r>
          <m:t>575</m:t>
        </m:r>
      </m:oMath>
      <w:r>
        <w:t xml:space="preserve">). On absolute magnitude: this open-form K-J implementation uses</w:t>
      </w:r>
      <w:r>
        <w:t xml:space="preserve"> </w:t>
      </w:r>
      <m:oMath>
        <m:r>
          <m:t>Q</m:t>
        </m:r>
        <m:r>
          <m:rPr>
            <m:sty m:val="p"/>
          </m:rPr>
          <m:t>≈</m:t>
        </m:r>
        <m:r>
          <m:rPr>
            <m:sty m:val="p"/>
          </m:rPr>
          <m:t>Δ</m:t>
        </m:r>
        <m:sSub>
          <m:e>
            <m:r>
              <m:t>H</m:t>
            </m:r>
          </m:e>
          <m:sub>
            <m:r>
              <m:t>f</m:t>
            </m:r>
          </m:sub>
        </m:sSub>
        <m:r>
          <m:rPr>
            <m:sty m:val="p"/>
          </m:rPr>
          <m:t>/</m:t>
        </m:r>
        <m:sSub>
          <m:e>
            <m:r>
              <m:t>M</m:t>
            </m:r>
          </m:e>
          <m:sub>
            <m:r>
              <m:t>W</m:t>
            </m:r>
          </m:sub>
        </m:sSub>
      </m:oMath>
      <w:r>
        <w:t xml:space="preserve"> </w:t>
      </w:r>
      <w:r>
        <w:t xml:space="preserve">without subtracting product-side enthalpies, which inflates the absolute residual relative to the closed-form K-J variant in the per-lead table; the trend across N-fraction is the diagnostic signal, not the absolute residual values. The Section 2.3 attribution is consistent with the population-level monotone N-fraction trend. Note: the mean K-J residual in the [0.55–1.00] N-fraction bin of Table C.4 is positive (+0.54 km s</w:t>
      </w:r>
      <w:r>
        <w:rPr>
          <w:vertAlign w:val="superscript"/>
        </w:rPr>
        <w:t xml:space="preserve">−1</w:t>
      </w:r>
      <w:r>
        <w:t xml:space="preserve">), indicating apparent K-J over-prediction at this extreme N-fraction; this sign flip is an artifact of the open-form Q approximation (Q ≈ ΔHf/MW without product-side subtraction) and does not apply to the closed-form K-J used per-lead in Table C.2.</w:t>
      </w:r>
    </w:p>
    <w:p>
      <w:pPr>
        <w:pStyle w:val="MDPI18keywords"/>
        <w:ind w:left="2608"/>
      </w:pPr>
      <w:r>
        <w:rPr>
          <w:b/>
          <w:bCs/>
        </w:rPr>
        <w:t xml:space="preserve">C.8 Scaffold-similarity to labelled master.</w:t>
      </w:r>
      <w:r>
        <w:t xml:space="preserve"> </w:t>
      </w:r>
      <w:r>
        <w:t xml:space="preserve">Beyond Tanimoto on full-molecule fingerprints (Section 2.4), we report the GuacaMol-style "scaf" metric (mean and max nearest-neighbour Tanimoto on Bemis–Murcko scaffold fingerprints) against a 5 000-row sample of the labelled master:</w:t>
      </w:r>
    </w:p>
    <w:p>
      <w:pPr>
        <w:pStyle w:val="MDPI18keywords"/>
        <w:ind w:left="2608"/>
      </w:pPr>
      <w:r>
        <w:rPr>
          <w:b/>
          <w:bCs/>
        </w:rPr>
        <w:t xml:space="preserve">Table C.5.</w:t>
      </w:r>
      <w:r>
        <w:t xml:space="preserve"> </w:t>
      </w:r>
      <w: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911"/>
        <w:gridCol w:w="1480"/>
        <w:gridCol w:w="1404"/>
        <w:gridCol w:w="206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scaf-NN mean</w:t>
            </w:r>
          </w:p>
        </w:tc>
        <w:tc>
          <w:tcPr>
            <w:tcBorders>
              <w:bottom w:val="single" w:sz="8" w:space="0" w:color="auto"/>
            </w:tcBorders>
            <w:vAlign w:val="center"/>
          </w:tcPr>
          <w:p>
            <w:pPr>
              <w:pStyle w:val="Compact"/>
              <w:suppressAutoHyphens/>
              <w:jc w:val="center"/>
            </w:pPr>
            <w:r>
              <w:rPr>
                <w:b/>
                <w:sz w:val="18"/>
                <w:szCs w:val="18"/>
              </w:rPr>
              <w:t xml:space="preserve">scaf-NN max</w:t>
            </w:r>
          </w:p>
        </w:tc>
        <w:tc>
          <w:tcPr>
            <w:tcBorders>
              <w:bottom w:val="single" w:sz="8" w:space="0" w:color="auto"/>
            </w:tcBorders>
            <w:vAlign w:val="center"/>
          </w:tcPr>
          <w:p>
            <w:pPr>
              <w:pStyle w:val="Compact"/>
              <w:suppressAutoHyphens/>
              <w:jc w:val="center"/>
            </w:pPr>
            <w:r>
              <w:rPr>
                <w:b/>
                <w:sz w:val="18"/>
                <w:szCs w:val="18"/>
              </w:rPr>
              <w:t xml:space="preserve">unique scaffolds</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0.469</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369</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0.420</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0.372</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199</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0.423</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503</w:t>
            </w:r>
          </w:p>
        </w:tc>
      </w:tr>
    </w:tbl>
    <w:p>
      <w:pPr>
        <w:pStyle w:val="MDPI18keywords"/>
        <w:ind w:left="2608"/>
      </w:pPr>
      <w:r>
        <w:t xml:space="preserve">Mean scaffold-NN Tanimoto of 0.37–0.47 indicates the generated scaffolds are partially related to known energetic scaffolds but not identical (in line with the median molecule-level NN-Tanimoto of 0.32 reported in Section 2.4). The max=1.00 reflects sanity-check rediscoveries (e.g., 1,2-isoxazole, 1,2,4-tetrazole, oxadiazole, 1,2,3,4-tetrazine). C2 (viab+sens+hazard) has the lowest scaffold-NN mean (0.372); C3 (hazard-only) has the highest scaffold count (503).</w:t>
      </w:r>
    </w:p>
    <w:p>
      <w:pPr>
        <w:pStyle w:val="MDPI18keywords"/>
        <w:ind w:left="2608"/>
      </w:pPr>
      <w:r>
        <w:rPr>
          <w:b/>
          <w:bCs/>
        </w:rPr>
        <w:t xml:space="preserve">C.9 Bondi-vdW packing-factor bracket on L1 and E1 (T2 cross-check).</w:t>
      </w:r>
      <w:r>
        <w:t xml:space="preserve"> </w:t>
      </w:r>
      <w:r>
        <w:t xml:space="preserve">An independent Bondi-vdW packing-factor bracket on L1 and E1, varying pk</w:t>
      </w:r>
      <w:r>
        <w:t xml:space="preserve"> </w:t>
      </w:r>
      <m:oMath>
        <m:r>
          <m:rPr>
            <m:sty m:val="p"/>
          </m:rPr>
          <m:t>∈</m:t>
        </m:r>
      </m:oMath>
      <w:r>
        <w:t xml:space="preserve"> </w:t>
      </w:r>
      <w:r>
        <w:t xml:space="preserve">{0.65, 0.69, 0.72} on the optimised B3LYP/6-31G(d) geometries,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ranges sit below the 6-anchor-calibrated values (</w:t>
      </w:r>
      <m:oMath>
        <m:sSub>
          <m:e>
            <m:r>
              <m:t>ρ</m:t>
            </m:r>
          </m:e>
          <m:sub>
            <m:r>
              <m:rPr>
                <m:nor/>
                <m:sty m:val="p"/>
              </m:rPr>
              <m:t>cal</m:t>
            </m:r>
          </m:sub>
        </m:sSub>
      </m:oMath>
      <w:r>
        <w:t xml:space="preserve"> </w:t>
      </w:r>
      <w:r>
        <w:t xml:space="preserve">= 2.09 and 2.04 respectively), with the centre value (pk = 0.69) at</w:t>
      </w:r>
      <w:r>
        <w:t xml:space="preserve"> </w:t>
      </w:r>
      <m:oMath>
        <m:r>
          <m:t>ρ</m:t>
        </m:r>
      </m:oMath>
      <w:r>
        <w:t xml:space="preserve"> </w:t>
      </w:r>
      <w:r>
        <w:t xml:space="preserve">= 1.80 (L1) and 1.75 (E1). The 14% systematic offset between the pk = 0.69 estimate and the calibrated value reproduces the calibration slope (1.392) reported in Section 2.3 and confirms that the pure Bondi-vdW estimator is conservative; the 6-anchor empirical calibration is the source of the headline</w:t>
      </w:r>
      <w:r>
        <w:t xml:space="preserve"> </w:t>
      </w:r>
      <m:oMath>
        <m:r>
          <m:t>ρ</m:t>
        </m:r>
      </m:oMath>
      <w:r>
        <w:t xml:space="preserve"> </w:t>
      </w:r>
      <w:r>
        <w:t xml:space="preserve">values. Computed via Modal-launched bundle</w:t>
      </w:r>
      <w:r>
        <w:t xml:space="preserve"> </w:t>
      </w:r>
      <w:r>
        <w:rPr>
          <w:rStyle w:val="VerbatimChar"/>
        </w:rPr>
        <w:t xml:space="preserve">t2_density_bundle/</w:t>
      </w:r>
      <w:r>
        <w:t xml:space="preserve">.</w:t>
      </w:r>
    </w:p>
    <w:p>
      <w:pPr>
        <w:pStyle w:val="MDPI18keywords"/>
        <w:ind w:left="2608"/>
      </w:pPr>
      <w:r>
        <w:rPr>
          <w:b/>
          <w:bCs/>
        </w:rPr>
        <w:t xml:space="preserve">C.10 GFN2-xTB weakest-bond BDE on L1 and E1 (T1 cross-check).</w:t>
      </w:r>
      <w:r>
        <w:t xml:space="preserve"> </w:t>
      </w:r>
      <w:r>
        <w:t xml:space="preserve">A coordinate-preserving graph-split BDE scan at GFN2-xTB level (parent geometry retained, each fragment as a doublet radical with</w:t>
      </w:r>
      <w:r>
        <w:t xml:space="preserve"> </w:t>
      </w:r>
      <m:oMath>
        <m:r>
          <m:rPr>
            <m:sty m:val="p"/>
          </m:rPr>
          <m:t>U</m:t>
        </m:r>
        <m:r>
          <m:rPr>
            <m:sty m:val="p"/>
          </m:rPr>
          <m:t>H</m:t>
        </m:r>
        <m:r>
          <m:rPr>
            <m:sty m:val="p"/>
          </m:rPr>
          <m:t>F</m:t>
        </m:r>
        <m:r>
          <m:rPr>
            <m:sty m:val="p"/>
          </m:rPr>
          <m:t>=</m:t>
        </m:r>
        <m:r>
          <m:t>1</m:t>
        </m:r>
      </m:oMath>
      <w:r>
        <w:t xml:space="preserve"> </w:t>
      </w:r>
      <w:r>
        <w:t xml:space="preserve">and no implicit-H addition) places the weakest-bond cleavage of L1 (3,4,5-trinitro-1,2-isoxazole) at</w:t>
      </w:r>
      <w:r>
        <w:t xml:space="preserve"> </w:t>
      </w:r>
      <w:r>
        <w:rPr>
          <w:b/>
          <w:bCs/>
        </w:rPr>
        <w:t xml:space="preserve">86.0 kcal mol</w:t>
      </w:r>
      <w:r>
        <w:rPr>
          <w:b/>
          <w:bCs/>
          <w:vertAlign w:val="superscript"/>
        </w:rPr>
        <w:t xml:space="preserve">−1</w:t>
      </w:r>
      <w:r>
        <w:t xml:space="preserve"> </w:t>
      </w:r>
      <w:r>
        <w:t xml:space="preserve">on a C–NO</w:t>
      </w:r>
      <w:r>
        <w:rPr>
          <w:vertAlign w:val="subscript"/>
        </w:rPr>
        <w:t xml:space="preserve">2</w:t>
      </w:r>
      <w:r>
        <w:t xml:space="preserve"> </w:t>
      </w:r>
      <w:r>
        <w:t xml:space="preserve">bond (the dominant initiation channel), with two further C–NO</w:t>
      </w:r>
      <w:r>
        <w:rPr>
          <w:vertAlign w:val="subscript"/>
        </w:rPr>
        <w:t xml:space="preserve">2</w:t>
      </w:r>
      <w:r>
        <w:t xml:space="preserve"> </w:t>
      </w:r>
      <w:r>
        <w:t xml:space="preserve">channels at 91.3 and 92.3 kcal mol</w:t>
      </w:r>
      <w:r>
        <w:rPr>
          <w:vertAlign w:val="superscript"/>
        </w:rPr>
        <w:t xml:space="preserve">−1</w:t>
      </w:r>
      <w:r>
        <w:t xml:space="preserve">; ring N–O bonds are at 170–186 kcal mol</w:t>
      </w:r>
      <w:r>
        <w:rPr>
          <w:vertAlign w:val="superscript"/>
        </w:rPr>
        <w:t xml:space="preserve">−1</w:t>
      </w:r>
      <w:r>
        <w:t xml:space="preserve"> </w:t>
      </w:r>
      <w:r>
        <w:t xml:space="preserve">(the unrelaxed-fragment xTB scan over-binds slightly relative to a fully relaxed</w:t>
      </w:r>
      <w:r>
        <w:t xml:space="preserve"> </w:t>
      </w:r>
      <m:oMath>
        <m:r>
          <m:t>ω</m:t>
        </m:r>
      </m:oMath>
      <w:r>
        <w:t xml:space="preserve">B97X-D3BJ recompute, but the chemistry assignment and the weakest-bond ranking are correct). E1 (4-nitro-1,2,3,5-oxatriazole) reaches its weakest cleavage at</w:t>
      </w:r>
      <w:r>
        <w:t xml:space="preserve"> </w:t>
      </w:r>
      <w:r>
        <w:rPr>
          <w:b/>
          <w:bCs/>
        </w:rPr>
        <w:t xml:space="preserve">92.7 kcal mol</w:t>
      </w:r>
      <w:r>
        <w:rPr>
          <w:b/>
          <w:bCs/>
          <w:vertAlign w:val="superscript"/>
        </w:rPr>
        <w:t xml:space="preserve">−1</w:t>
      </w:r>
      <w:r>
        <w:t xml:space="preserve"> </w:t>
      </w:r>
      <w:r>
        <w:t xml:space="preserve">on the exocyclic C–NO</w:t>
      </w:r>
      <w:r>
        <w:rPr>
          <w:vertAlign w:val="subscript"/>
        </w:rPr>
        <w:t xml:space="preserve">2</w:t>
      </w:r>
      <w:r>
        <w:t xml:space="preserve"> </w:t>
      </w:r>
      <w:r>
        <w:t xml:space="preserve">bond, with no ring N–O channel below 180 kcal mol</w:t>
      </w:r>
      <w:r>
        <w:rPr>
          <w:vertAlign w:val="superscript"/>
        </w:rPr>
        <w:t xml:space="preserve">−1</w:t>
      </w:r>
      <w:r>
        <w:t xml:space="preserve">. Relative to the Politzer–Murray Ar–NO</w:t>
      </w:r>
      <w:r>
        <w:rPr>
          <w:vertAlign w:val="subscript"/>
        </w:rPr>
        <w:t xml:space="preserve">2</w:t>
      </w:r>
      <w:r>
        <w:t xml:space="preserve"> </w:t>
      </w:r>
      <w:r>
        <w:t xml:space="preserve">typical (</w:t>
      </w:r>
      <m:oMath>
        <m:r>
          <m:rPr>
            <m:sty m:val="p"/>
          </m:rPr>
          <m:t>∼</m:t>
        </m:r>
      </m:oMath>
      <w:r>
        <w:t xml:space="preserve">70 kcal mol</w:t>
      </w:r>
      <w:r>
        <w:rPr>
          <w:vertAlign w:val="superscript"/>
        </w:rPr>
        <w:t xml:space="preserve">−1</w:t>
      </w:r>
      <w:r>
        <w:t xml:space="preserve">) the values are mildly over-estimated by the unrelaxed-fragment xTB protocol, but the qualitative picture matches expectations: nitro loss is the dominant decomposition initiator for both compounds, and neither shows a sub-80 kcal mol</w:t>
      </w:r>
      <w:r>
        <w:rPr>
          <w:vertAlign w:val="superscript"/>
        </w:rPr>
        <w:t xml:space="preserve">−1</w:t>
      </w:r>
      <w:r>
        <w:t xml:space="preserve"> </w:t>
      </w:r>
      <w:r>
        <w:t xml:space="preserve">channel that would predict primary-explosive sensitivity. Computed via Modal-launched bundle</w:t>
      </w:r>
      <w:r>
        <w:t xml:space="preserve"> </w:t>
      </w:r>
      <w:r>
        <w:rPr>
          <w:rStyle w:val="VerbatimChar"/>
        </w:rPr>
        <w:t xml:space="preserve">t1_bde_bundle/</w:t>
      </w:r>
      <w:r>
        <w:t xml:space="preserve">.</w:t>
      </w:r>
    </w:p>
    <w:p>
      <w:pPr>
        <w:pStyle w:val="MDPI18keywords"/>
        <w:ind w:left="2608"/>
      </w:pPr>
      <w:r>
        <w:rPr>
          <w:b/>
          <w:bCs/>
        </w:rPr>
        <w:t xml:space="preserve">C.11 DNTF 7th-anchor extension attempt.</w:t>
      </w:r>
      <w:r>
        <w:t xml:space="preserve"> </w:t>
      </w:r>
      <w:r>
        <w:t xml:space="preserve">We attempted to add DNTF (3,4-bis(4-nitrofurazan-3-yl)furazan; the best-characterised furazan-class energetic material with known experimental properties:</w:t>
      </w:r>
      <w:r>
        <w:t xml:space="preserve"> </w:t>
      </w:r>
      <m:oMath>
        <m:sSub>
          <m:e>
            <m:r>
              <m:t>ρ</m:t>
            </m:r>
          </m:e>
          <m:sub>
            <m:r>
              <m:rPr>
                <m:nor/>
                <m:sty m:val="p"/>
              </m:rPr>
              <m:t>exp</m:t>
            </m:r>
          </m:sub>
        </m:sSub>
        <m:r>
          <m:rPr>
            <m:sty m:val="p"/>
          </m:rPr>
          <m:t>=</m:t>
        </m:r>
        <m:r>
          <m:t>1.937</m:t>
        </m:r>
      </m:oMath>
      <w:r>
        <w:t xml:space="preserve"> g cm</w:t>
      </w:r>
      <w:r>
        <w:rPr>
          <w:vertAlign w:val="superscript"/>
        </w:rPr>
        <w:t xml:space="preserve">−3</w:t>
      </w:r>
      <w:r>
        <w:t xml:space="preserve">,</w:t>
      </w:r>
      <w:r>
        <w:t xml:space="preserve"> </w:t>
      </w:r>
      <m:oMath>
        <m:sSub>
          <m:e>
            <m:r>
              <m:t>D</m:t>
            </m:r>
          </m:e>
          <m:sub>
            <m:r>
              <m:rPr>
                <m:nor/>
                <m:sty m:val="p"/>
              </m:rPr>
              <m:t>exp</m:t>
            </m:r>
          </m:sub>
        </m:sSub>
        <m:r>
          <m:rPr>
            <m:sty m:val="p"/>
          </m:rPr>
          <m:t>=</m:t>
        </m:r>
        <m:r>
          <m:t>9.25</m:t>
        </m:r>
      </m:oMath>
      <w:r>
        <w:t xml:space="preserve"> km s</w:t>
      </w:r>
      <w:r>
        <w:rPr>
          <w:vertAlign w:val="superscript"/>
        </w:rPr>
        <w:t xml:space="preserve">−1</w:t>
      </w:r>
      <w:r>
        <w:t xml:space="preserve">) as a candidate 7th anchor using the same B3LYP/6-31G(d) +</w:t>
      </w:r>
      <w:r>
        <w:t xml:space="preserve"> </w:t>
      </w:r>
      <m:oMath>
        <m:r>
          <m:t>ω</m:t>
        </m:r>
      </m:oMath>
      <w:r>
        <w:t xml:space="preserve">B97X-D3BJ/def2-TZVP pipeline. DNTF proved an outlier: the 6-anchor calibration yields a leave-one-out</w:t>
      </w:r>
      <w:r>
        <w:t xml:space="preserve"> </w:t>
      </w:r>
      <m:oMath>
        <m:r>
          <m:t>ρ</m:t>
        </m:r>
      </m:oMath>
      <w:r>
        <w:t xml:space="preserve"> </w:t>
      </w:r>
      <w:r>
        <w:t xml:space="preserve">residual of</w:t>
      </w:r>
      <w:r>
        <w:t xml:space="preserve"> </w:t>
      </w:r>
      <m:oMath>
        <m:r>
          <m:rPr>
            <m:sty m:val="p"/>
          </m:rPr>
          <m:t>+</m:t>
        </m:r>
        <m:r>
          <m:t>0.122</m:t>
        </m:r>
      </m:oMath>
      <w:r>
        <w:t xml:space="preserve"> g cm</w:t>
      </w:r>
      <w:r>
        <w:rPr>
          <w:vertAlign w:val="superscript"/>
        </w:rPr>
        <w:t xml:space="preserve">−3</w:t>
      </w:r>
      <w:r>
        <w:t xml:space="preserve"> </w:t>
      </w:r>
      <w:r>
        <w:t xml:space="preserve">and</w:t>
      </w:r>
      <w:r>
        <w:t xml:space="preserve"> </w:t>
      </w:r>
      <m:oMath>
        <m:r>
          <m:rPr>
            <m:sty m:val="p"/>
          </m:rPr>
          <m:t>Δ</m:t>
        </m:r>
        <m:sSub>
          <m:e>
            <m:r>
              <m:t>H</m:t>
            </m:r>
          </m:e>
          <m:sub>
            <m:r>
              <m:t>f</m:t>
            </m:r>
          </m:sub>
        </m:sSub>
      </m:oMath>
      <w:r>
        <w:t xml:space="preserve"> </w:t>
      </w:r>
      <w:r>
        <w:t xml:space="preserve">residual of</w:t>
      </w:r>
      <w:r>
        <w:t xml:space="preserve"> </w:t>
      </w:r>
      <m:oMath>
        <m:r>
          <m:rPr>
            <m:sty m:val="p"/>
          </m:rPr>
          <m:t>−</m:t>
        </m:r>
        <m:r>
          <m:t>67.9</m:t>
        </m:r>
      </m:oMath>
      <w:r>
        <w:t xml:space="preserve"> kJ mol</w:t>
      </w:r>
      <w:r>
        <w:rPr>
          <w:vertAlign w:val="superscript"/>
        </w:rPr>
        <w:t xml:space="preserve">−1</w:t>
      </w:r>
      <w:r>
        <w:t xml:space="preserve"> </w:t>
      </w:r>
      <w:r>
        <w:t xml:space="preserve">for DNTF (versus</w:t>
      </w:r>
      <w:r>
        <w:t xml:space="preserve"> </w:t>
      </w:r>
      <m:oMath>
        <m:r>
          <m:rPr>
            <m:sty m:val="p"/>
          </m:rPr>
          <m:t>±</m:t>
        </m:r>
        <m:r>
          <m:t>0.025</m:t>
        </m:r>
      </m:oMath>
      <w:r>
        <w:t xml:space="preserve">–</w:t>
      </w:r>
      <m:oMath>
        <m:r>
          <m:t>0.049</m:t>
        </m:r>
      </m:oMath>
      <w:r>
        <w:t xml:space="preserve"> g cm</w:t>
      </w:r>
      <w:r>
        <w:rPr>
          <w:vertAlign w:val="superscript"/>
        </w:rPr>
        <w:t xml:space="preserve">−3</w:t>
      </w:r>
      <w:r>
        <w:t xml:space="preserve"> </w:t>
      </w:r>
      <w:r>
        <w:t xml:space="preserve">for the six main-set anchors), and the 7-anchor LOO-RMS rises from</w:t>
      </w:r>
      <w:r>
        <w:t xml:space="preserve"> </w:t>
      </w:r>
      <m:oMath>
        <m:r>
          <m:rPr>
            <m:sty m:val="p"/>
          </m:rPr>
          <m:t>∼</m:t>
        </m:r>
        <m:r>
          <m:t>0.032</m:t>
        </m:r>
      </m:oMath>
      <w:r>
        <w:t xml:space="preserve"> </w:t>
      </w:r>
      <w:r>
        <w:t xml:space="preserve">to</w:t>
      </w:r>
      <w:r>
        <w:t xml:space="preserve"> </w:t>
      </w:r>
      <m:oMath>
        <m:r>
          <m:t>0.055</m:t>
        </m:r>
      </m:oMath>
      <w:r>
        <w:t xml:space="preserve"> g cm</w:t>
      </w:r>
      <w:r>
        <w:rPr>
          <w:vertAlign w:val="superscript"/>
        </w:rPr>
        <w:t xml:space="preserve">−3</w:t>
      </w:r>
      <w: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is therefore retained. An oxatriazole-class anchor with experimental crystal density and detonation data remains scoped as future work before E1 can be promoted to fully co-headline status at the same confidence level as L1.</w:t>
      </w:r>
    </w:p>
    <w:p>
      <w:pPr>
        <w:pStyle w:val="MDPI18keywords"/>
        <w:ind w:left="2608"/>
      </w:pPr>
      <w:r>
        <w:rPr>
          <w:b/>
          <w:bCs/>
        </w:rPr>
        <w:t xml:space="preserve">C.12 Stage-3 xTB triage recipe.</w:t>
      </w:r>
      <w:r>
        <w:t xml:space="preserve"> </w:t>
      </w:r>
      <w:r>
        <w:t xml:space="preserve">The Stage-3 xTB triage referenced in Section 2.3 follows the standard pre-experimental screening recipe for computational energetic-materials chemistry: starting from canonical SMILES we run an RDKit ETKDGv3 conformer search, MMFF94 minimisation, and then xTB</w:t>
      </w:r>
      <w:r>
        <w:t xml:space="preserve"> </w:t>
      </w:r>
      <w:hyperlink r:id="rId19">
        <w:r>
          <w:rPr>
            <w:rStyle w:val="Hyperlink"/>
          </w:rPr>
          <w:t xml:space="preserve">[xtb-6.6.1]</w:t>
        </w:r>
      </w:hyperlink>
      <w:r>
        <w:t xml:space="preserve"> </w:t>
      </w:r>
      <w:r>
        <w:t xml:space="preserve">at the GFN2-xTB level with</w:t>
      </w:r>
      <w:r>
        <w:t xml:space="preserve"> </w:t>
      </w:r>
      <w:r>
        <w:rPr>
          <w:rStyle w:val="VerbatimChar"/>
        </w:rPr>
        <w:t xml:space="preserve">--opt tight</w:t>
      </w:r>
      <w: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t xml:space="preserve"> </w:t>
      </w:r>
      <m:oMath>
        <m:r>
          <m:rPr>
            <m:sty m:val="p"/>
          </m:rPr>
          <m:t>∼</m:t>
        </m:r>
      </m:oMath>
      <w:r>
        <w:t xml:space="preserve">1.5 eV are typically open-shell-like, sensitive to perturbation, and at high risk of decomposition under thermal or mechanical stress. Sensitivity is ultimately a product of weakest-bond chemistry and crystal packing as much as electronic structure</w:t>
      </w:r>
      <w:r>
        <w:t xml:space="preserve"> </w:t>
      </w:r>
      <w:hyperlink w:anchor="ref-mathieu2017sensitivity">
        <w:r>
          <w:rPr>
            <w:rStyle w:val="Hyperlink"/>
          </w:rPr>
          <w:t xml:space="preserve">[11a]</w:t>
        </w:r>
      </w:hyperlink>
      <w:r>
        <w:t xml:space="preserve">, so we treat the gap as a triage signal rather than a final verdict; molecules clearing the 1.5 eV gate are promoted to Stage 4 DFT, and motif-level shock and friction risks are caught by the parallel SMARTS gate (Stage 1, Section 4). Recipe and motivation: the pipeline is the standard pre-experimental screen for computational energetic-materials chemistry, the same B3LYP/6-31G(d) geometry +</w:t>
      </w:r>
      <w:r>
        <w:t xml:space="preserve"> </w:t>
      </w:r>
      <m:oMath>
        <m:r>
          <m:t>ω</m:t>
        </m:r>
      </m:oMath>
      <w:r>
        <w:t xml:space="preserve">B97X-D3BJ/def2-TZVP single-point</w:t>
      </w:r>
      <w:r>
        <w:t xml:space="preserve"> </w:t>
      </w:r>
      <m:oMath>
        <m:r>
          <m:rPr>
            <m:sty m:val="p"/>
          </m:rPr>
          <m:t>→</m:t>
        </m:r>
      </m:oMath>
      <w:r>
        <w:t xml:space="preserve"> </w:t>
      </w:r>
      <w:r>
        <w:t xml:space="preserve">6-anchor calibration (RDX, TATB, HMX, PETN, FOX-7, NTO)</w:t>
      </w:r>
      <w:r>
        <w:t xml:space="preserve"> </w:t>
      </w:r>
      <m:oMath>
        <m:r>
          <m:rPr>
            <m:sty m:val="p"/>
          </m:rPr>
          <m:t>→</m:t>
        </m:r>
      </m:oMath>
      <w:r>
        <w:t xml:space="preserve"> </w:t>
      </w:r>
      <w:r>
        <w:t xml:space="preserve">Kamlet–Jacobs</w:t>
      </w:r>
      <w:r>
        <w:t xml:space="preserve"> </w:t>
      </w:r>
      <m:oMath>
        <m:r>
          <m:t>D</m:t>
        </m:r>
      </m:oMath>
      <w:r>
        <w:t xml:space="preserve"> </w:t>
      </w:r>
      <w:r>
        <w:t xml:space="preserve">and</w:t>
      </w:r>
      <w:r>
        <w:t xml:space="preserve"> </w:t>
      </w:r>
      <m:oMath>
        <m:r>
          <m:t>P</m:t>
        </m:r>
      </m:oMath>
      <w:r>
        <w:t xml:space="preserve"> </w:t>
      </w:r>
      <w:r>
        <w:t xml:space="preserve">used by Stage 4 (full functional/basis justification, thermal-correction handling, and calibration uncertainty bounds in C.1–C.4 above).</w:t>
      </w:r>
    </w:p>
    <w:p>
      <w:pPr>
        <w:pStyle w:val="MDPI18keywords"/>
        <w:ind w:left="2608"/>
      </w:pPr>
      <w:r>
        <w:rPr>
          <w:b/>
          <w:bCs/>
        </w:rPr>
        <w:t xml:space="preserve">C.13 Independent CJ cross-check.</w:t>
      </w:r>
      <w:r>
        <w:t xml:space="preserve"> </w:t>
      </w:r>
      <w:r>
        <w:t xml:space="preserve">A thermochemical-equilibrium Cantera ideal-gas Chapman–Jouguet recompute is provided as an independent relative-ranking sanity check on the Section 2.3 K-J results. The Cantera ideal-gas equation of state is</w:t>
      </w:r>
      <w:r>
        <w:t xml:space="preserve"> </w:t>
      </w:r>
      <m:oMath>
        <m:r>
          <m:rPr>
            <m:sty m:val="p"/>
          </m:rPr>
          <m:t>∼</m:t>
        </m:r>
      </m:oMath>
      <w:r>
        <w:t xml:space="preserve">3.5</w:t>
      </w:r>
      <m:oMath>
        <m:r>
          <m:rPr>
            <m:sty m:val="p"/>
          </m:rPr>
          <m:t>×</m:t>
        </m:r>
      </m:oMath>
      <w:r>
        <w:t xml:space="preserve"> </w:t>
      </w:r>
      <w:r>
        <w:t xml:space="preserve">too low in absolute terms (RDX predicts</w:t>
      </w:r>
      <w:r>
        <w:t xml:space="preserve"> </w:t>
      </w:r>
      <m:oMath>
        <m:r>
          <m:t>2.50</m:t>
        </m:r>
      </m:oMath>
      <w:r>
        <w:t xml:space="preserve"> km s</w:t>
      </w:r>
      <w:r>
        <w:rPr>
          <w:vertAlign w:val="superscript"/>
        </w:rPr>
        <w:t xml:space="preserve">−1</w:t>
      </w:r>
      <w:r>
        <w:t xml:space="preserve"> </w:t>
      </w:r>
      <w:r>
        <w:t xml:space="preserve">vs experimental</w:t>
      </w:r>
      <w:r>
        <w:t xml:space="preserve"> </w:t>
      </w:r>
      <m:oMath>
        <m:r>
          <m:t>8.75</m:t>
        </m:r>
      </m:oMath>
      <w:r>
        <w:t xml:space="preserve"> km s</w:t>
      </w:r>
      <w:r>
        <w:rPr>
          <w:vertAlign w:val="superscript"/>
        </w:rPr>
        <w:t xml:space="preserve">−1</w:t>
      </w:r>
      <w:r>
        <w:t xml:space="preserve">),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vertAlign w:val="subscript"/>
        </w:rPr>
        <w:t xml:space="preserve">2</w:t>
      </w:r>
      <w:r>
        <w:t xml:space="preserve">/H</w:t>
      </w:r>
      <w:r>
        <w:rPr>
          <w:vertAlign w:val="subscript"/>
        </w:rPr>
        <w:t xml:space="preserve">2</w:t>
      </w:r>
      <w:r>
        <w:t xml:space="preserve">O-dominant CHNO product distribution; cross-family ranking with N</w:t>
      </w:r>
      <w:r>
        <w:rPr>
          <w:vertAlign w:val="subscript"/>
        </w:rPr>
        <w:t xml:space="preserve">2</w:t>
      </w:r>
      <w:r>
        <w:t xml:space="preserve">-dominant tetrazoline-class compounds would require a covolume EOS recompute), providing a qualitative consistency check that the headline</w:t>
      </w:r>
      <w:r>
        <w:t xml:space="preserve"> </w:t>
      </w:r>
      <m:oMath>
        <m:r>
          <m:t>D</m:t>
        </m:r>
      </m:oMath>
      <w:r>
        <w:t xml:space="preserve"> </w:t>
      </w:r>
      <w:r>
        <w:t xml:space="preserve">claim for L1 is reasonable. Absolute paper-grade</w:t>
      </w:r>
      <w:r>
        <w:t xml:space="preserve"> </w:t>
      </w:r>
      <m:oMath>
        <m:r>
          <m:t>D</m:t>
        </m:r>
      </m:oMath>
      <w:r>
        <w:t xml:space="preserve"> </w:t>
      </w:r>
      <w:r>
        <w:t xml:space="preserve">is out of scope here (see Section 3 Limitations). A sensitivity decomposition (per-lead slopes</w:t>
      </w:r>
      <w:r>
        <w:t xml:space="preserve"> </w:t>
      </w:r>
      <m:oMath>
        <m:r>
          <m:t>d</m:t>
        </m:r>
        <m:r>
          <m:t>D</m:t>
        </m:r>
        <m:r>
          <m:rPr>
            <m:sty m:val="p"/>
          </m:rPr>
          <m:t>/</m:t>
        </m:r>
        <m:r>
          <m:t>d</m:t>
        </m:r>
        <m:r>
          <m:t>ρ</m:t>
        </m:r>
        <m:r>
          <m:rPr>
            <m:sty m:val="p"/>
          </m:rPr>
          <m:t>∈</m:t>
        </m:r>
        <m:r>
          <m:rPr>
            <m:sty m:val="p"/>
          </m:rPr>
          <m:t>[</m:t>
        </m:r>
        <m:r>
          <m:t>2.5</m:t>
        </m:r>
        <m:r>
          <m:rPr>
            <m:sty m:val="p"/>
          </m:rPr>
          <m:t>,</m:t>
        </m:r>
        <m:r>
          <m:t>3.0</m:t>
        </m:r>
        <m:r>
          <m:rPr>
            <m:sty m:val="p"/>
          </m:rPr>
          <m:t>]</m:t>
        </m:r>
      </m:oMath>
      <w:r>
        <w:t xml:space="preserve"> 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t xml:space="preserve"> km s</w:t>
      </w:r>
      <w:r>
        <w:rPr>
          <w:vertAlign w:val="superscript"/>
        </w:rPr>
        <w:t xml:space="preserve">−1</w:t>
      </w:r>
      <w:r>
        <w:t xml:space="preserve"> </w:t>
      </w:r>
      <w:r>
        <w:t xml:space="preserve">per 100 kJ mol</w:t>
      </w:r>
      <w:r>
        <w:rPr>
          <w:vertAlign w:val="superscript"/>
        </w:rPr>
        <w:t xml:space="preserve">−1</w:t>
      </w:r>
      <w:r>
        <w:t xml:space="preserve">; see Table 2) confirms that residual K-J vs 3D-CNN deviations on the other leads cannot be attributed to plausible</w:t>
      </w:r>
      <w:r>
        <w:t xml:space="preserve"> </w:t>
      </w:r>
      <m:oMath>
        <m:r>
          <m:t>ρ</m:t>
        </m:r>
      </m:oMath>
      <w:r>
        <w:t xml:space="preserve"> </w:t>
      </w:r>
      <w:r>
        <w:t xml:space="preserve">or HOF input errors; the dominant residual source remains the K-J formula's fixed gas-product-distribution assumption in the high-N CHNO regime. A composite-method HOF benchmark (G4 or CBS-QB3 atomization energies at</w:t>
      </w:r>
      <w:r>
        <w:t xml:space="preserve"> </w:t>
      </w:r>
      <m:oMath>
        <m:r>
          <m:rPr>
            <m:sty m:val="p"/>
          </m:rPr>
          <m:t>∼</m:t>
        </m:r>
      </m:oMath>
      <w:r>
        <w:t xml:space="preserve">6–24 hr CPU per molecule) would tighten the absolute energetics for the top leads but does not change the relative ranking.</w:t>
      </w:r>
    </w:p>
    <w:p>
      <w:pPr>
        <w:pStyle w:val="MDPI22heading2"/>
        <w:ind w:left="2608"/>
      </w:pPr>
      <w:r>
        <w:t xml:space="preserve">D. Reproducibility details and superseded ablations</w:t>
      </w:r>
    </w:p>
    <w:p>
      <w:pPr>
        <w:pStyle w:val="MDPI18keywords"/>
        <w:ind w:left="2608"/>
      </w:pPr>
      <w:r>
        <w:t xml:space="preserve">This appendix collects implementation-specific names, version codes, hardware configurations, hyperparameter ablations, and superseded results that are not required for the body claims but are needed for full reproducibility.</w:t>
      </w:r>
    </w:p>
    <w:p>
      <w:pPr>
        <w:pStyle w:val="MDPI18keywords"/>
        <w:ind w:left="2608"/>
      </w:pPr>
      <w:r>
        <w:rPr>
          <w:b/>
          <w:bCs/>
        </w:rPr>
        <w:t xml:space="preserve">D.1 Score-model variants.</w:t>
      </w:r>
      <w:r>
        <w:t xml:space="preserve"> </w:t>
      </w:r>
      <w:r>
        <w:t xml:space="preserve">Two score-model checkpoints are released on Zenodo: the production 6-head hazard-aware model (</w:t>
      </w:r>
      <w:r>
        <w:rPr>
          <w:rStyle w:val="VerbatimChar"/>
        </w:rPr>
        <w:t xml:space="preserve">score_model_v3f</w:t>
      </w:r>
      <w:r>
        <w:t xml:space="preserve"> </w:t>
      </w:r>
      <w:r>
        <w:t xml:space="preserve">in the archive; matches Section 4 + Table B.5) and its 5-head predecessor (</w:t>
      </w:r>
      <w:r>
        <w:rPr>
          <w:rStyle w:val="VerbatimChar"/>
        </w:rPr>
        <w:t xml:space="preserve">score_model_v3e</w:t>
      </w:r>
      <w:r>
        <w:t xml:space="preserve">); body-text numbers use the 6-head production checkpoint with the hand-coded SMARTS backend (</w:t>
      </w:r>
      <w:r>
        <w:rPr>
          <w:rStyle w:val="VerbatimChar"/>
        </w:rPr>
        <w:t xml:space="preserve">chem_redflags.py</w:t>
      </w:r>
      <w:r>
        <w:t xml:space="preserve">).</w:t>
      </w:r>
    </w:p>
    <w:p>
      <w:pPr>
        <w:pStyle w:val="MDPI18keywords"/>
        <w:ind w:left="2608"/>
      </w:pPr>
      <w:r>
        <w:rPr>
          <w:b/>
          <w:bCs/>
        </w:rPr>
        <w:t xml:space="preserve">D.2 Compute budget.</w:t>
      </w:r>
      <w:r>
        <w:t xml:space="preserve"> </w:t>
      </w:r>
      <w:r>
        <w:t xml:space="preserve">Single-seed pool=40 000 head-to-head: ~8 min on a single consumer GPU; 4-condition × 3-seed pool=10 000: ~25 min. Full DFT audit (15–25-atom CHNO molecules): ~1 GPU-hour per molecule. Full DGLD pipeline (corpus to merged top-100): ~2 GPU-hours.</w:t>
      </w:r>
    </w:p>
    <w:p>
      <w:pPr>
        <w:pStyle w:val="MDPI18keywords"/>
        <w:ind w:left="2608"/>
      </w:pPr>
      <w:r>
        <w:rPr>
          <w:b/>
          <w:bCs/>
        </w:rPr>
        <w:t xml:space="preserve">D.3 Hyperparameter values.</w:t>
      </w:r>
      <w:r>
        <w:t xml:space="preserve"> </w:t>
      </w:r>
      <w:r>
        <w:t xml:space="preserve">cfg-dropout 0.10, property-dropout 0.30, oversample factor 5</w:t>
      </w:r>
      <m:oMath>
        <m:r>
          <m:rPr>
            <m:sty m:val="p"/>
          </m:rPr>
          <m:t>×</m:t>
        </m:r>
      </m:oMath>
      <w:r>
        <w:t xml:space="preserve">–10</w:t>
      </w:r>
      <m:oMath>
        <m:r>
          <m:rPr>
            <m:sty m:val="p"/>
          </m:rPr>
          <m:t>×</m:t>
        </m:r>
      </m:oMath>
      <w:r>
        <w:t xml:space="preserve"> </w:t>
      </w:r>
      <w:r>
        <w:t xml:space="preserve">above the 90th percentile (high tail), Tanimoto window (0.20, 0.55), CFG scale</w:t>
      </w:r>
      <w:r>
        <w:t xml:space="preserve"> </w:t>
      </w:r>
      <m:oMath>
        <m:r>
          <m:t>w</m:t>
        </m:r>
        <m:r>
          <m:rPr>
            <m:sty m:val="p"/>
          </m:rPr>
          <m:t>=</m:t>
        </m:r>
        <m:r>
          <m:t>7</m:t>
        </m:r>
      </m:oMath>
      <w:r>
        <w:t xml:space="preserve">, DDIM steps</w:t>
      </w:r>
      <w:r>
        <w:t xml:space="preserve"> </w:t>
      </w:r>
      <m:oMath>
        <m:r>
          <m:t>n</m:t>
        </m:r>
        <m:r>
          <m:rPr>
            <m:sty m:val="p"/>
          </m:rPr>
          <m:t>=</m:t>
        </m:r>
        <m:r>
          <m:t>40</m:t>
        </m:r>
      </m:oMath>
      <w:r>
        <w:t xml:space="preserve">. Per-component values are in the Supplementary Information.</w:t>
      </w:r>
    </w:p>
    <w:p>
      <w:pPr>
        <w:pStyle w:val="MDPI18keywords"/>
        <w:ind w:left="2608"/>
      </w:pPr>
      <w:r>
        <w:rPr>
          <w:b/>
          <w:bCs/>
        </w:rPr>
        <w:t xml:space="preserve">D.4 High-tail oversampling ablation.</w:t>
      </w:r>
      <w:r>
        <w:t xml:space="preserve"> </w:t>
      </w:r>
      <w:r>
        <w:t xml:space="preserve">Reverting the asymmetric oversampling of Section 4 produces leads with a 0.4 km s</w:t>
      </w:r>
      <w:r>
        <w:rPr>
          <w:vertAlign w:val="superscript"/>
        </w:rPr>
        <w:t xml:space="preserve">−1</w:t>
      </w:r>
      <w:r>
        <w:t xml:space="preserve"> </w:t>
      </w:r>
      <w:r>
        <w:t xml:space="preserve">lower mean predicted detonation velocity at matched pool size and matched downstream pipeline.</w:t>
      </w:r>
    </w:p>
    <w:p>
      <w:pPr>
        <w:pStyle w:val="MDPI18keywords"/>
        <w:ind w:left="2608"/>
      </w:pPr>
      <w:r>
        <w:rPr>
          <w:b/>
          <w:bCs/>
        </w:rPr>
        <w:t xml:space="preserve">D.5 Diagnostic protocol.</w:t>
      </w:r>
      <w:r>
        <w:t xml:space="preserve"> </w:t>
      </w:r>
      <w:r>
        <w:t xml:space="preserve">The guidance patching of Section 4 was diagnosed via per-step gradient-norm logging, score-model output sensitivity to perturbed</w:t>
      </w:r>
      <w:r>
        <w:t xml:space="preserve"> </w:t>
      </w:r>
      <m:oMath>
        <m:r>
          <m:t>z</m:t>
        </m:r>
      </m:oMath>
      <w:r>
        <w:t xml:space="preserve">, final-</w:t>
      </w:r>
      <m:oMath>
        <m:r>
          <m:t>z</m:t>
        </m:r>
      </m:oMath>
      <w:r>
        <w:t xml:space="preserve"> </w:t>
      </w:r>
      <w:r>
        <w:t xml:space="preserve">cosine similarity across conditions, and decoder argmax-basin width. The protocol is released as</w:t>
      </w:r>
      <w:r>
        <w:t xml:space="preserve"> </w:t>
      </w:r>
      <w:r>
        <w:rPr>
          <w:rStyle w:val="VerbatimChar"/>
        </w:rPr>
        <w:t xml:space="preserve">diag_guidance.py</w:t>
      </w:r>
      <w:r>
        <w:t xml:space="preserve">.</w:t>
      </w:r>
    </w:p>
    <w:p>
      <w:pPr>
        <w:pStyle w:val="MDPI18keywords"/>
        <w:ind w:left="2608"/>
      </w:pPr>
      <w:r>
        <w:rPr>
          <w:b/>
          <w:bCs/>
        </w:rPr>
        <w:t xml:space="preserve">D.6 Patched-configuration head-state grid (full table) and sensitivity-head ablation.</w:t>
      </w:r>
      <w:r>
        <w:t xml:space="preserve"> </w:t>
      </w:r>
      <w:r>
        <w:t xml:space="preserve">Section 2.3 reports the headline finding (12 cells collapsing to 4 distinct outputs); the full md5 cluster table is:</w:t>
      </w:r>
    </w:p>
    <w:p>
      <w:pPr>
        <w:pStyle w:val="MDPI18keywords"/>
        <w:ind w:left="2608"/>
      </w:pPr>
      <w:r>
        <w:rPr>
          <w:b/>
          <w:bCs/>
        </w:rPr>
        <w:t xml:space="preserve">Table D.1.</w:t>
      </w:r>
      <w:r>
        <w:t xml:space="preserve"> </w:t>
      </w:r>
      <w:r>
        <w:t xml:space="preserve">12-cell head-state grid over</w:t>
      </w:r>
      <w: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t xml:space="preserve"> </w:t>
      </w:r>
      <w:r>
        <w:t xml:space="preserve">and</w:t>
      </w:r>
      <w: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t xml:space="preserve"> </w:t>
      </w:r>
      <w: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45"/>
        <w:gridCol w:w="2819"/>
        <w:gridCol w:w="2023"/>
        <w:gridCol w:w="1871"/>
      </w:tblGrid>
      <w:tr>
        <w:trPr>
          <w:tblHeader w:val="on"/>
        </w:trPr>
        <w:tc>
          <w:tcPr>
            <w:tcBorders>
              <w:bottom w:val="single" w:sz="8" w:space="0" w:color="auto"/>
            </w:tcBorders>
            <w:vAlign w:val="center"/>
          </w:tcPr>
          <w:p>
            <w:pPr>
              <w:pStyle w:val="Compact"/>
              <w:suppressAutoHyphens/>
              <w:jc w:val="center"/>
            </w:pPr>
            <w:r>
              <w:rPr>
                <w:b/>
                <w:sz w:val="18"/>
                <w:szCs w:val="18"/>
              </w:rPr>
              <w:t xml:space="preserve">Cluster</w:t>
            </w:r>
          </w:p>
        </w:tc>
        <w:tc>
          <w:tcPr>
            <w:tcBorders>
              <w:bottom w:val="single" w:sz="8" w:space="0" w:color="auto"/>
            </w:tcBorders>
            <w:vAlign w:val="center"/>
          </w:tcPr>
          <w:p>
            <w:pPr>
              <w:pStyle w:val="Compact"/>
              <w:suppressAutoHyphens/>
              <w:jc w:val="center"/>
            </w:pPr>
            <w:r>
              <w:rPr>
                <w:b/>
                <w:sz w:val="18"/>
                <w:szCs w:val="18"/>
              </w:rPr>
              <w:t xml:space="preserve">cells</w:t>
            </w:r>
          </w:p>
        </w:tc>
        <w:tc>
          <w:tcPr>
            <w:tcBorders>
              <w:bottom w:val="single" w:sz="8" w:space="0" w:color="auto"/>
            </w:tcBorders>
            <w:vAlign w:val="center"/>
          </w:tcPr>
          <w:p>
            <w:pPr>
              <w:pStyle w:val="Compact"/>
              <w:suppressAutoHyphens/>
              <w:jc w:val="center"/>
            </w:pPr>
            <w:r>
              <w:rPr>
                <w:b/>
                <w:sz w:val="18"/>
                <w:szCs w:val="18"/>
              </w:rPr>
              <w:t xml:space="preserve">head-state</w:t>
            </w:r>
          </w:p>
        </w:tc>
        <w:tc>
          <w:tcPr>
            <w:tcBorders>
              <w:bottom w:val="single" w:sz="8" w:space="0" w:color="auto"/>
            </w:tcBorders>
            <w:vAlign w:val="center"/>
          </w:tcPr>
          <w:p>
            <w:pPr>
              <w:pStyle w:val="Compact"/>
              <w:suppressAutoHyphens/>
              <w:jc w:val="center"/>
            </w:pPr>
            <w:r>
              <w:rPr>
                <w:b/>
                <w:sz w:val="18"/>
                <w:szCs w:val="18"/>
              </w:rPr>
              <w:t xml:space="preserve">output md5 prefix</w:t>
            </w:r>
          </w:p>
        </w:tc>
      </w:tr>
      <w:tr>
        <w:tc>
          <w:tcPr>
            <w:vAlign w:val="center"/>
          </w:tcPr>
          <w:p>
            <w:pPr>
              <w:pStyle w:val="Compact"/>
              <w:suppressAutoHyphens/>
              <w:jc w:val="center"/>
            </w:pPr>
            <w:r>
              <w:rPr>
                <w:b/>
                <w:bCs/>
                <w:sz w:val="18"/>
                <w:szCs w:val="18"/>
              </w:rPr>
              <w:t xml:space="preserve">A</w:t>
            </w:r>
          </w:p>
        </w:tc>
        <w:tc>
          <w:tcPr>
            <w:vAlign w:val="center"/>
          </w:tcPr>
          <w:p>
            <w:pPr>
              <w:pStyle w:val="Compact"/>
              <w:suppressAutoHyphens/>
              <w:jc w:val="center"/>
            </w:pPr>
            <w:r>
              <w:rPr>
                <w:sz w:val="18"/>
                <w:szCs w:val="18"/>
              </w:rPr>
              <w:t xml:space="preserve">sv0_sh0 (1)</w:t>
            </w:r>
          </w:p>
        </w:tc>
        <w:tc>
          <w:tcPr>
            <w:vAlign w:val="center"/>
          </w:tcPr>
          <w:p>
            <w:pPr>
              <w:pStyle w:val="Compact"/>
              <w:suppressAutoHyphens/>
              <w:jc w:val="center"/>
            </w:pPr>
            <w:r>
              <w:rPr>
                <w:sz w:val="18"/>
                <w:szCs w:val="18"/>
              </w:rPr>
              <w:t xml:space="preserve">unguided / CFG-only</w:t>
            </w:r>
          </w:p>
        </w:tc>
        <w:tc>
          <w:tcPr>
            <w:vAlign w:val="center"/>
          </w:tcPr>
          <w:p>
            <w:pPr>
              <w:pStyle w:val="Compact"/>
              <w:suppressAutoHyphens/>
              <w:jc w:val="center"/>
            </w:pPr>
            <w:r>
              <w:rPr>
                <w:rStyle w:val="VerbatimChar"/>
                <w:sz w:val="18"/>
                <w:szCs w:val="18"/>
              </w:rPr>
              <w:t xml:space="preserve">f0438f…</w:t>
            </w:r>
          </w:p>
        </w:tc>
      </w:tr>
      <w:tr>
        <w:tc>
          <w:tcPr>
            <w:vAlign w:val="center"/>
          </w:tcPr>
          <w:p>
            <w:pPr>
              <w:pStyle w:val="Compact"/>
              <w:suppressAutoHyphens/>
              <w:jc w:val="center"/>
            </w:pPr>
            <w:r>
              <w:rPr>
                <w:b/>
                <w:bCs/>
                <w:sz w:val="18"/>
                <w:szCs w:val="18"/>
              </w:rPr>
              <w:t xml:space="preserve">B</w:t>
            </w:r>
          </w:p>
        </w:tc>
        <w:tc>
          <w:tcPr>
            <w:vAlign w:val="center"/>
          </w:tcPr>
          <w:p>
            <w:pPr>
              <w:pStyle w:val="Compact"/>
              <w:suppressAutoHyphens/>
              <w:jc w:val="center"/>
            </w:pPr>
            <w:r>
              <w:rPr>
                <w:sz w:val="18"/>
                <w:szCs w:val="18"/>
              </w:rPr>
              <w:t xml:space="preserve">sv0_sh{1,2,5} (3)</w:t>
            </w:r>
          </w:p>
        </w:tc>
        <w:tc>
          <w:tcPr>
            <w:vAlign w:val="center"/>
          </w:tcPr>
          <w:p>
            <w:pPr>
              <w:pStyle w:val="Compact"/>
              <w:suppressAutoHyphens/>
              <w:jc w:val="center"/>
            </w:pPr>
            <w:r>
              <w:rPr>
                <w:sz w:val="18"/>
                <w:szCs w:val="18"/>
              </w:rPr>
              <w:t xml:space="preserve">hazard-only</w:t>
            </w:r>
          </w:p>
        </w:tc>
        <w:tc>
          <w:tcPr>
            <w:vAlign w:val="center"/>
          </w:tcPr>
          <w:p>
            <w:pPr>
              <w:pStyle w:val="Compact"/>
              <w:suppressAutoHyphens/>
              <w:jc w:val="center"/>
            </w:pPr>
            <w:r>
              <w:rPr>
                <w:rStyle w:val="VerbatimChar"/>
                <w:sz w:val="18"/>
                <w:szCs w:val="18"/>
              </w:rPr>
              <w:t xml:space="preserve">93da34…</w:t>
            </w:r>
          </w:p>
        </w:tc>
      </w:tr>
      <w:tr>
        <w:tc>
          <w:tcPr>
            <w:vAlign w:val="center"/>
          </w:tcPr>
          <w:p>
            <w:pPr>
              <w:pStyle w:val="Compact"/>
              <w:suppressAutoHyphens/>
              <w:jc w:val="center"/>
            </w:pPr>
            <w:r>
              <w:rPr>
                <w:b/>
                <w:bCs/>
                <w:sz w:val="18"/>
                <w:szCs w:val="18"/>
              </w:rPr>
              <w:t xml:space="preserve">C</w:t>
            </w:r>
          </w:p>
        </w:tc>
        <w:tc>
          <w:tcPr>
            <w:vAlign w:val="center"/>
          </w:tcPr>
          <w:p>
            <w:pPr>
              <w:pStyle w:val="Compact"/>
              <w:suppressAutoHyphens/>
              <w:jc w:val="center"/>
            </w:pPr>
            <w:r>
              <w:rPr>
                <w:sz w:val="18"/>
                <w:szCs w:val="18"/>
              </w:rPr>
              <w:t xml:space="preserve">sv{1,5}_sh0 (2)</w:t>
            </w:r>
          </w:p>
        </w:tc>
        <w:tc>
          <w:tcPr>
            <w:vAlign w:val="center"/>
          </w:tcPr>
          <w:p>
            <w:pPr>
              <w:pStyle w:val="Compact"/>
              <w:suppressAutoHyphens/>
              <w:jc w:val="center"/>
            </w:pPr>
            <w:r>
              <w:rPr>
                <w:sz w:val="18"/>
                <w:szCs w:val="18"/>
              </w:rPr>
              <w:t xml:space="preserve">viab-only</w:t>
            </w:r>
          </w:p>
        </w:tc>
        <w:tc>
          <w:tcPr>
            <w:vAlign w:val="center"/>
          </w:tcPr>
          <w:p>
            <w:pPr>
              <w:pStyle w:val="Compact"/>
              <w:suppressAutoHyphens/>
              <w:jc w:val="center"/>
            </w:pPr>
            <w:r>
              <w:rPr>
                <w:rStyle w:val="VerbatimChar"/>
                <w:sz w:val="18"/>
                <w:szCs w:val="18"/>
              </w:rPr>
              <w:t xml:space="preserve">c83f06…</w:t>
            </w:r>
          </w:p>
        </w:tc>
      </w:tr>
      <w:tr>
        <w:tc>
          <w:tcPr>
            <w:vAlign w:val="center"/>
          </w:tcPr>
          <w:p>
            <w:pPr>
              <w:pStyle w:val="Compact"/>
              <w:suppressAutoHyphens/>
              <w:jc w:val="center"/>
            </w:pPr>
            <w:r>
              <w:rPr>
                <w:b/>
                <w:bCs/>
                <w:sz w:val="18"/>
                <w:szCs w:val="18"/>
              </w:rPr>
              <w:t xml:space="preserve">D</w:t>
            </w:r>
          </w:p>
        </w:tc>
        <w:tc>
          <w:tcPr>
            <w:vAlign w:val="center"/>
          </w:tcPr>
          <w:p>
            <w:pPr>
              <w:pStyle w:val="Compact"/>
              <w:suppressAutoHyphens/>
              <w:jc w:val="center"/>
            </w:pPr>
            <w:r>
              <w:rPr>
                <w:sz w:val="18"/>
                <w:szCs w:val="18"/>
              </w:rPr>
              <w:t xml:space="preserve">sv{1,5}_sh{1,2,5} (6)</w:t>
            </w:r>
          </w:p>
        </w:tc>
        <w:tc>
          <w:tcPr>
            <w:vAlign w:val="center"/>
          </w:tcPr>
          <w:p>
            <w:pPr>
              <w:pStyle w:val="Compact"/>
              <w:suppressAutoHyphens/>
              <w:jc w:val="center"/>
            </w:pPr>
            <w:r>
              <w:rPr>
                <w:sz w:val="18"/>
                <w:szCs w:val="18"/>
              </w:rPr>
              <w:t xml:space="preserve">viab + hazard</w:t>
            </w:r>
          </w:p>
        </w:tc>
        <w:tc>
          <w:tcPr>
            <w:vAlign w:val="center"/>
          </w:tcPr>
          <w:p>
            <w:pPr>
              <w:pStyle w:val="Compact"/>
              <w:suppressAutoHyphens/>
              <w:jc w:val="center"/>
            </w:pPr>
            <w:r>
              <w:rPr>
                <w:rStyle w:val="VerbatimChar"/>
                <w:sz w:val="18"/>
                <w:szCs w:val="18"/>
              </w:rPr>
              <w:t xml:space="preserve">e26b43…</w:t>
            </w:r>
          </w:p>
        </w:tc>
      </w:tr>
    </w:tbl>
    <w:p>
      <w:pPr>
        <w:pStyle w:val="MDPI18keywords"/>
        <w:ind w:left="2608"/>
      </w:pPr>
      <w:r>
        <w:t xml:space="preserve">Within each cluster, per-head scale magnitude does not alter the output: the gradient-norm clamp saturates as soon as a head is active, so all non-zero scales in a cluster are equivalent. Fine analogue scale control requires tightening the clamp (see Appendix B.3).</w:t>
      </w:r>
    </w:p>
    <w:p>
      <w:pPr>
        <w:pStyle w:val="MDPI18keywords"/>
        <w:ind w:left="2608"/>
      </w:pPr>
      <w:r>
        <w:t xml:space="preserve">Heuristic vs literature-grounded sensitivity head. Three-way ablation (each condition: 2 pools</w:t>
      </w:r>
      <w:r>
        <w:t xml:space="preserve"> </w:t>
      </w:r>
      <m:oMath>
        <m:r>
          <m:rPr>
            <m:sty m:val="p"/>
          </m:rPr>
          <m:t>×</m:t>
        </m:r>
      </m:oMath>
      <w:r>
        <w:t xml:space="preserve"> </w:t>
      </w:r>
      <w:r>
        <w:t xml:space="preserve">1500 = 3000 samples, identical CFG, identical Pareto reranker, single seed) substituting the literature-grounded sensitivity head the Supplementary Information:</w:t>
      </w:r>
    </w:p>
    <w:p>
      <w:pPr>
        <w:pStyle w:val="MDPI18keywords"/>
        <w:ind w:left="2608"/>
      </w:pPr>
      <w:r>
        <w:rPr>
          <w:b/>
          <w:bCs/>
        </w:rPr>
        <w:t xml:space="preserve">Table D.2.</w:t>
      </w:r>
      <w:r>
        <w:t xml:space="preserve"> </w:t>
      </w:r>
      <w:r>
        <w:t xml:space="preserve">Heuristic vs literature-grounded sensitivity-head ablation at pool=3 000 single seed: unguided baseline;</w:t>
      </w:r>
      <w:r>
        <w:t xml:space="preserve"> </w:t>
      </w:r>
      <m:oMath>
        <m:sSub>
          <m:e>
            <m:r>
              <m:t>s</m:t>
            </m:r>
          </m:e>
          <m:sub>
            <m:r>
              <m:rPr>
                <m:nor/>
                <m:sty m:val="p"/>
              </m:rPr>
              <m:t>sens</m:t>
            </m:r>
          </m:sub>
        </m:sSub>
        <m:r>
          <m:rPr>
            <m:sty m:val="p"/>
          </m:rPr>
          <m:t>=</m:t>
        </m:r>
        <m:r>
          <m:t>0.3</m:t>
        </m:r>
      </m:oMath>
      <w:r>
        <w:t xml:space="preserve"> </w:t>
      </w:r>
      <w:r>
        <w:t xml:space="preserve">with the heuristic-trained head;</w:t>
      </w:r>
      <w:r>
        <w:t xml:space="preserve"> </w:t>
      </w:r>
      <m:oMath>
        <m:sSub>
          <m:e>
            <m:r>
              <m:t>s</m:t>
            </m:r>
          </m:e>
          <m:sub>
            <m:r>
              <m:rPr>
                <m:nor/>
                <m:sty m:val="p"/>
              </m:rPr>
              <m:t>sens</m:t>
            </m:r>
          </m:sub>
        </m:sSub>
        <m:r>
          <m:rPr>
            <m:sty m:val="p"/>
          </m:rPr>
          <m:t>=</m:t>
        </m:r>
        <m:r>
          <m:t>0.3</m:t>
        </m:r>
      </m:oMath>
      <w:r>
        <w:t xml:space="preserve"> </w:t>
      </w:r>
      <w:r>
        <w:t xml:space="preserve">with the literature-grounded h</w:t>
      </w:r>
      <w:r>
        <w:rPr>
          <w:vertAlign w:val="subscript"/>
        </w:rPr>
        <w:t xml:space="preserve">50</w:t>
      </w:r>
      <w:r>
        <w:t xml:space="preserve">-trained head. The literature-grounded head reduces top-5 mean sensitivity by</w:t>
      </w:r>
      <w:r>
        <w:t xml:space="preserve"> </w:t>
      </w:r>
      <m:oMath>
        <m:r>
          <m:rPr>
            <m:sty m:val="p"/>
          </m:rPr>
          <m:t>∼</m:t>
        </m:r>
        <m:r>
          <m:t>8</m:t>
        </m:r>
        <m:r>
          <m:rPr>
            <m:sty m:val="p"/>
          </m:rPr>
          <m:t>×</m:t>
        </m:r>
      </m:oMath>
      <w:r>
        <w:t xml:space="preserve"> </w:t>
      </w:r>
      <w:r>
        <w:t xml:space="preserve">at the cost of</w:t>
      </w:r>
      <w:r>
        <w:t xml:space="preserve"> </w:t>
      </w:r>
      <m:oMath>
        <m:r>
          <m:rPr>
            <m:sty m:val="p"/>
          </m:rPr>
          <m:t>∼</m:t>
        </m:r>
      </m:oMath>
      <w:r>
        <w:t xml:space="preserve">0.4 km s</w:t>
      </w:r>
      <w:r>
        <w:rPr>
          <w:vertAlign w:val="superscript"/>
        </w:rPr>
        <w:t xml:space="preserve">−1</w:t>
      </w:r>
      <w:r>
        <w:t xml:space="preserve"> </w:t>
      </w:r>
      <w:r>
        <w:t xml:space="preserve">on top-1</w:t>
      </w:r>
      <w:r>
        <w:t xml:space="preserve"> </w:t>
      </w:r>
      <m:oMath>
        <m:r>
          <m:t>D</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679"/>
        <w:gridCol w:w="970"/>
        <w:gridCol w:w="1134"/>
        <w:gridCol w:w="876"/>
        <w:gridCol w:w="1156"/>
        <w:gridCol w:w="104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sens</w:t>
            </w:r>
          </w:p>
        </w:tc>
        <w:tc>
          <w:tcPr>
            <w:tcBorders>
              <w:bottom w:val="single" w:sz="8" w:space="0" w:color="auto"/>
            </w:tcBorders>
            <w:vAlign w:val="center"/>
          </w:tcPr>
          <w:p>
            <w:pPr>
              <w:pStyle w:val="Compact"/>
              <w:suppressAutoHyphens/>
              <w:jc w:val="center"/>
            </w:pPr>
            <w:r>
              <w:rPr>
                <w:b/>
                <w:sz w:val="18"/>
                <w:szCs w:val="18"/>
              </w:rPr>
              <w:t xml:space="preserve">top-5 mean sens</w:t>
            </w:r>
          </w:p>
        </w:tc>
        <w:tc>
          <w:tcPr>
            <w:tcBorders>
              <w:bottom w:val="single" w:sz="8" w:space="0" w:color="auto"/>
            </w:tcBorders>
            <w:vAlign w:val="center"/>
          </w:tcPr>
          <w:p>
            <w:pPr>
              <w:pStyle w:val="Compact"/>
              <w:suppressAutoHyphens/>
              <w:jc w:val="center"/>
            </w:pPr>
            <w:r>
              <w:rPr>
                <w:b/>
                <w:sz w:val="18"/>
                <w:szCs w:val="18"/>
              </w:rPr>
              <w:t xml:space="preserve">top-5 mean</w:t>
            </w:r>
            <w:r>
              <w:rPr>
                <w:b/>
                <w:sz w:val="18"/>
                <w:szCs w:val="18"/>
              </w:rPr>
              <w:t xml:space="preserve"> </w:t>
            </w:r>
            <m:oMath>
              <m:r>
                <w:rPr>
                  <w:sz w:val="18"/>
                  <w:szCs w:val="18"/>
                </w:rPr>
                <m:t>D</m:t>
              </m:r>
            </m:oMath>
          </w:p>
        </w:tc>
      </w:tr>
      <w:tr>
        <w:tc>
          <w:tcPr>
            <w:vAlign w:val="center"/>
          </w:tcPr>
          <w:p>
            <w:pPr>
              <w:pStyle w:val="Compact"/>
              <w:suppressAutoHyphens/>
              <w:jc w:val="center"/>
            </w:pPr>
            <w:r>
              <w:rPr>
                <w:sz w:val="18"/>
                <w:szCs w:val="18"/>
              </w:rPr>
              <w:t xml:space="preserve">A. unguided (no score model)</w:t>
            </w:r>
          </w:p>
        </w:tc>
        <w:tc>
          <w:tcPr>
            <w:vAlign w:val="center"/>
          </w:tcPr>
          <w:p>
            <w:pPr>
              <w:pStyle w:val="Compact"/>
              <w:suppressAutoHyphens/>
              <w:jc w:val="center"/>
            </w:pPr>
            <w:r>
              <w:rPr>
                <w:sz w:val="18"/>
                <w:szCs w:val="18"/>
              </w:rPr>
              <w:t xml:space="preserve">0.602</w:t>
            </w:r>
          </w:p>
        </w:tc>
        <w:tc>
          <w:tcPr>
            <w:vAlign w:val="center"/>
          </w:tcPr>
          <w:p>
            <w:pPr>
              <w:pStyle w:val="Compact"/>
              <w:suppressAutoHyphens/>
              <w:jc w:val="center"/>
            </w:pPr>
            <w:r>
              <w:rPr>
                <w:sz w:val="18"/>
                <w:szCs w:val="18"/>
              </w:rPr>
              <w:t xml:space="preserve">9.27</w:t>
            </w:r>
          </w:p>
        </w:tc>
        <w:tc>
          <w:tcPr>
            <w:vAlign w:val="center"/>
          </w:tcPr>
          <w:p>
            <w:pPr>
              <w:pStyle w:val="Compact"/>
              <w:suppressAutoHyphens/>
              <w:jc w:val="center"/>
            </w:pPr>
            <w:r>
              <w:rPr>
                <w:sz w:val="18"/>
                <w:szCs w:val="18"/>
              </w:rPr>
              <w:t xml:space="preserve">0.11</w:t>
            </w:r>
          </w:p>
        </w:tc>
        <w:tc>
          <w:tcPr>
            <w:vAlign w:val="center"/>
          </w:tcPr>
          <w:p>
            <w:pPr>
              <w:pStyle w:val="Compact"/>
              <w:suppressAutoHyphens/>
              <w:jc w:val="center"/>
            </w:pPr>
            <w:r>
              <w:rPr>
                <w:sz w:val="18"/>
                <w:szCs w:val="18"/>
              </w:rPr>
              <w:t xml:space="preserve">0.20</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B. heuristic sensitivity head</w:t>
            </w:r>
          </w:p>
        </w:tc>
        <w:tc>
          <w:tcPr>
            <w:vAlign w:val="center"/>
          </w:tcPr>
          <w:p>
            <w:pPr>
              <w:pStyle w:val="Compact"/>
              <w:suppressAutoHyphens/>
              <w:jc w:val="center"/>
            </w:pPr>
            <w:r>
              <w:rPr>
                <w:sz w:val="18"/>
                <w:szCs w:val="18"/>
              </w:rPr>
              <w:t xml:space="preserve">0.414</w:t>
            </w:r>
          </w:p>
        </w:tc>
        <w:tc>
          <w:tcPr>
            <w:vAlign w:val="center"/>
          </w:tcPr>
          <w:p>
            <w:pPr>
              <w:pStyle w:val="Compact"/>
              <w:suppressAutoHyphens/>
              <w:jc w:val="center"/>
            </w:pPr>
            <w:r>
              <w:rPr>
                <w:b/>
                <w:bCs/>
                <w:sz w:val="18"/>
                <w:szCs w:val="18"/>
              </w:rPr>
              <w:t xml:space="preserve">9.46</w:t>
            </w:r>
          </w:p>
        </w:tc>
        <w:tc>
          <w:tcPr>
            <w:vAlign w:val="center"/>
          </w:tcPr>
          <w:p>
            <w:pPr>
              <w:pStyle w:val="Compact"/>
              <w:suppressAutoHyphens/>
              <w:jc w:val="center"/>
            </w:pPr>
            <w:r>
              <w:rPr>
                <w:sz w:val="18"/>
                <w:szCs w:val="18"/>
              </w:rPr>
              <w:t xml:space="preserve">0.75</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C. literature-grounded sensitivity head (h</w:t>
            </w:r>
            <w:r>
              <w:rPr>
                <w:vertAlign w:val="subscript"/>
                <w:sz w:val="18"/>
                <w:szCs w:val="18"/>
              </w:rPr>
              <w:t xml:space="preserve">50</w:t>
            </w:r>
            <w:r>
              <w:rPr>
                <w:sz w:val="18"/>
                <w:szCs w:val="18"/>
              </w:rPr>
              <w:t xml:space="preserve">)</w:t>
            </w:r>
          </w:p>
        </w:tc>
        <w:tc>
          <w:tcPr>
            <w:vAlign w:val="center"/>
          </w:tcPr>
          <w:p>
            <w:pPr>
              <w:pStyle w:val="Compact"/>
              <w:suppressAutoHyphens/>
              <w:jc w:val="center"/>
            </w:pPr>
            <w:r>
              <w:rPr>
                <w:sz w:val="18"/>
                <w:szCs w:val="18"/>
              </w:rPr>
              <w:t xml:space="preserve">0.421</w:t>
            </w:r>
          </w:p>
        </w:tc>
        <w:tc>
          <w:tcPr>
            <w:vAlign w:val="center"/>
          </w:tcPr>
          <w:p>
            <w:pPr>
              <w:pStyle w:val="Compact"/>
              <w:suppressAutoHyphens/>
              <w:jc w:val="center"/>
            </w:pPr>
            <w:r>
              <w:rPr>
                <w:sz w:val="18"/>
                <w:szCs w:val="18"/>
              </w:rPr>
              <w:t xml:space="preserve">8.75</w:t>
            </w:r>
          </w:p>
        </w:tc>
        <w:tc>
          <w:tcPr>
            <w:vAlign w:val="center"/>
          </w:tcPr>
          <w:p>
            <w:pPr>
              <w:pStyle w:val="Compact"/>
              <w:suppressAutoHyphens/>
              <w:jc w:val="center"/>
            </w:pPr>
            <w:r>
              <w:rPr>
                <w:b/>
                <w:bCs/>
                <w:sz w:val="18"/>
                <w:szCs w:val="18"/>
              </w:rPr>
              <w:t xml:space="preserve">0.00</w:t>
            </w:r>
          </w:p>
        </w:tc>
        <w:tc>
          <w:tcPr>
            <w:vAlign w:val="center"/>
          </w:tcPr>
          <w:p>
            <w:pPr>
              <w:pStyle w:val="Compact"/>
              <w:suppressAutoHyphens/>
              <w:jc w:val="center"/>
            </w:pPr>
            <w:r>
              <w:rPr>
                <w:b/>
                <w:bCs/>
                <w:sz w:val="18"/>
                <w:szCs w:val="18"/>
              </w:rPr>
              <w:t xml:space="preserve">0.04</w:t>
            </w:r>
          </w:p>
        </w:tc>
        <w:tc>
          <w:tcPr>
            <w:vAlign w:val="center"/>
          </w:tcPr>
          <w:p>
            <w:pPr>
              <w:pStyle w:val="Compact"/>
              <w:suppressAutoHyphens/>
              <w:jc w:val="center"/>
            </w:pPr>
            <w:r>
              <w:rPr>
                <w:sz w:val="18"/>
                <w:szCs w:val="18"/>
              </w:rPr>
              <w:t xml:space="preserve">8.63</w:t>
            </w:r>
          </w:p>
        </w:tc>
      </w:tr>
    </w:tbl>
    <w:p>
      <w:pPr>
        <w:pStyle w:val="MDPI18keywords"/>
        <w:ind w:left="2608"/>
      </w:pPr>
      <w:r>
        <w:t xml:space="preserve">The literature-grounded h50 head reduces top-5 mean sensitivity by ~8× at the cost of ~0.4 km s</w:t>
      </w:r>
      <w:r>
        <w:rPr>
          <w:vertAlign w:val="superscript"/>
        </w:rPr>
        <w:t xml:space="preserve">−1</w:t>
      </w:r>
      <w:r>
        <w:t xml:space="preserve"> </w:t>
      </w:r>
      <w:r>
        <w:t xml:space="preserve">on top-1 D; preferred when candidate stability is the priority over peak performance.</w:t>
      </w:r>
    </w:p>
    <w:p>
      <w:pPr>
        <w:pStyle w:val="MDPI18keywords"/>
        <w:ind w:left="2608"/>
      </w:pPr>
      <w:r>
        <w:rPr>
          <w:b/>
          <w:bCs/>
        </w:rPr>
        <w:t xml:space="preserve">D.7 Strengthened SMARTS catalog: per-class breakdown.</w:t>
      </w:r>
      <w:r>
        <w:t xml:space="preserve"> </w:t>
      </w:r>
      <w:r>
        <w:t xml:space="preserve">Two motif classes well-known to the energetic-materials community as shock-sensitive or thermally unstable were added to the SMARTS catalog (Section 2.4): N-nitroimines (R−N=N−NO</w:t>
      </w:r>
      <w:r>
        <w:rPr>
          <w:vertAlign w:val="subscript"/>
        </w:rPr>
        <w:t xml:space="preserve">2</w:t>
      </w:r>
      <w:r>
        <w:t xml:space="preserve"> </w:t>
      </w:r>
      <w:r>
        <w:t xml:space="preserve">at non-aromatic nitrogens) and open-chain polyazene / azo-nitro motifs. Strict reject SMARTS (</w:t>
      </w:r>
      <w:r>
        <w:rPr>
          <w:rStyle w:val="VerbatimChar"/>
        </w:rPr>
        <w:t xml:space="preserve">n_nitroimine</w:t>
      </w:r>
      <w:r>
        <w:t xml:space="preserve">,</w:t>
      </w:r>
      <w:r>
        <w:t xml:space="preserve"> </w:t>
      </w:r>
      <w:r>
        <w:rPr>
          <w:rStyle w:val="VerbatimChar"/>
        </w:rPr>
        <w:t xml:space="preserve">azo_nitro_terminal</w:t>
      </w:r>
      <w:r>
        <w:t xml:space="preserve">,</w:t>
      </w:r>
      <w:r>
        <w:t xml:space="preserve"> </w:t>
      </w:r>
      <w:r>
        <w:rPr>
          <w:rStyle w:val="VerbatimChar"/>
        </w:rPr>
        <w:t xml:space="preserve">azo_amino_nitro</w:t>
      </w:r>
      <w:r>
        <w:t xml:space="preserve">,</w:t>
      </w:r>
      <w:r>
        <w:t xml:space="preserve"> </w:t>
      </w:r>
      <w:r>
        <w:rPr>
          <w:rStyle w:val="VerbatimChar"/>
        </w:rPr>
        <w:t xml:space="preserve">tetraazene_open</w:t>
      </w:r>
      <w:r>
        <w:t xml:space="preserve">,</w:t>
      </w:r>
      <w:r>
        <w:t xml:space="preserve"> </w:t>
      </w:r>
      <w:r>
        <w:rPr>
          <w:rStyle w:val="VerbatimChar"/>
        </w:rPr>
        <w:t xml:space="preserve">open_chain_4N</w:t>
      </w:r>
      <w:r>
        <w:t xml:space="preserve">,</w:t>
      </w:r>
      <w:r>
        <w:t xml:space="preserve"> </w:t>
      </w:r>
      <w:r>
        <w:rPr>
          <w:rStyle w:val="VerbatimChar"/>
        </w:rPr>
        <w:t xml:space="preserve">n_n_c_n_n_chain</w:t>
      </w:r>
      <w:r>
        <w:t xml:space="preserve">) reapplied post-hoc to the merged top-100:</w:t>
      </w:r>
    </w:p>
    <w:p>
      <w:pPr>
        <w:pStyle w:val="MDPI18keywords"/>
        <w:ind w:left="2608"/>
      </w:pPr>
      <w:r>
        <w:rPr>
          <w:b/>
          <w:bCs/>
        </w:rPr>
        <w:t xml:space="preserve">Table D.3.</w:t>
      </w:r>
      <w:r>
        <w:t xml:space="preserve"> </w:t>
      </w:r>
      <w:r>
        <w:t xml:space="preserve">Per-class breakdown of the 23/100 strengthened-SMARTS rejects on the merged top-100. The new motif rules (N-nitroimine; terminal azo−NO</w:t>
      </w:r>
      <w:r>
        <w:rPr>
          <w:vertAlign w:val="subscript"/>
        </w:rPr>
        <w:t xml:space="preserve">2</w:t>
      </w:r>
      <w:r>
        <w:t xml:space="preserve">; azo−amino−NO</w:t>
      </w:r>
      <w:r>
        <w:rPr>
          <w:vertAlign w:val="subscript"/>
        </w:rPr>
        <w:t xml:space="preserve">2</w:t>
      </w:r>
      <w:r>
        <w:t xml:space="preserve">; cumulated cyclopropene residual) collectively flag 23 candidates; the rank-1 trinitro-isoxazole survives all rules.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103"/>
        <w:gridCol w:w="1755"/>
      </w:tblGrid>
      <w:tr>
        <w:trPr>
          <w:tblHeader w:val="on"/>
        </w:trPr>
        <w:tc>
          <w:tcPr>
            <w:tcBorders>
              <w:bottom w:val="single" w:sz="8" w:space="0" w:color="auto"/>
            </w:tcBorders>
            <w:vAlign w:val="center"/>
          </w:tcPr>
          <w:p>
            <w:pPr>
              <w:pStyle w:val="Compact"/>
              <w:suppressAutoHyphens/>
              <w:jc w:val="center"/>
            </w:pPr>
            <w:r>
              <w:rPr>
                <w:b/>
                <w:sz w:val="18"/>
                <w:szCs w:val="18"/>
              </w:rPr>
              <w:t xml:space="preserve">Reject class</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N-nitroimine</w:t>
            </w:r>
          </w:p>
        </w:tc>
        <w:tc>
          <w:tcPr>
            <w:vAlign w:val="center"/>
          </w:tcPr>
          <w:p>
            <w:pPr>
              <w:pStyle w:val="Compact"/>
              <w:suppressAutoHyphens/>
              <w:jc w:val="center"/>
            </w:pPr>
            <w:r>
              <w:rPr>
                <w:sz w:val="18"/>
                <w:szCs w:val="18"/>
              </w:rPr>
              <w:t xml:space="preserve">14</w:t>
            </w:r>
          </w:p>
        </w:tc>
      </w:tr>
      <w:tr>
        <w:tc>
          <w:tcPr>
            <w:vAlign w:val="center"/>
          </w:tcPr>
          <w:p>
            <w:pPr>
              <w:pStyle w:val="Compact"/>
              <w:suppressAutoHyphens/>
              <w:jc w:val="center"/>
            </w:pPr>
            <w:r>
              <w:rPr>
                <w:sz w:val="18"/>
                <w:szCs w:val="18"/>
              </w:rPr>
              <w:t xml:space="preserve">terminal azo−NO</w:t>
            </w:r>
            <w:r>
              <w:rPr>
                <w:vertAlign w:val="subscript"/>
                <w:sz w:val="18"/>
                <w:szCs w:val="18"/>
              </w:rPr>
              <w:t xml:space="preserve">2</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azo−amino−NO</w:t>
            </w:r>
            <w:r>
              <w:rPr>
                <w:vertAlign w:val="subscript"/>
                <w:sz w:val="18"/>
                <w:szCs w:val="18"/>
              </w:rPr>
              <w:t xml:space="preserve">2</w:t>
            </w:r>
          </w:p>
        </w:tc>
        <w:tc>
          <w:tcPr>
            <w:vAlign w:val="center"/>
          </w:tcPr>
          <w:p>
            <w:pPr>
              <w:pStyle w:val="Compact"/>
              <w:suppressAutoHyphens/>
              <w:jc w:val="center"/>
            </w:pPr>
            <w:r>
              <w:rPr>
                <w:sz w:val="18"/>
                <w:szCs w:val="18"/>
              </w:rPr>
              <w:t xml:space="preserve">2</w:t>
            </w:r>
          </w:p>
        </w:tc>
      </w:tr>
      <w:tr>
        <w:tc>
          <w:tcPr>
            <w:vAlign w:val="center"/>
          </w:tcPr>
          <w:p>
            <w:pPr>
              <w:pStyle w:val="Compact"/>
              <w:suppressAutoHyphens/>
              <w:jc w:val="center"/>
            </w:pPr>
            <w:r>
              <w:rPr>
                <w:sz w:val="18"/>
                <w:szCs w:val="18"/>
              </w:rPr>
              <w:t xml:space="preserve">cumulated cyclopropene (residual)</w:t>
            </w:r>
          </w:p>
        </w:tc>
        <w:tc>
          <w:tcPr>
            <w:vAlign w:val="center"/>
          </w:tcPr>
          <w:p>
            <w:pPr>
              <w:pStyle w:val="Compact"/>
              <w:suppressAutoHyphens/>
              <w:jc w:val="center"/>
            </w:pPr>
            <w:r>
              <w:rPr>
                <w:sz w:val="18"/>
                <w:szCs w:val="18"/>
              </w:rPr>
              <w:t xml:space="preserve">1</w:t>
            </w:r>
          </w:p>
        </w:tc>
      </w:tr>
      <w:tr>
        <w:tc>
          <w:tcPr>
            <w:vAlign w:val="center"/>
          </w:tcPr>
          <w:p>
            <w:pPr>
              <w:pStyle w:val="Compact"/>
              <w:suppressAutoHyphens/>
              <w:jc w:val="center"/>
            </w:pPr>
            <w:r>
              <w:rPr>
                <w:b/>
                <w:bCs/>
                <w:sz w:val="18"/>
                <w:szCs w:val="18"/>
              </w:rPr>
              <w:t xml:space="preserve">Total rejected</w:t>
            </w:r>
          </w:p>
        </w:tc>
        <w:tc>
          <w:tcPr>
            <w:vAlign w:val="center"/>
          </w:tcPr>
          <w:p>
            <w:pPr>
              <w:pStyle w:val="Compact"/>
              <w:suppressAutoHyphens/>
              <w:jc w:val="center"/>
            </w:pPr>
            <w:r>
              <w:rPr>
                <w:b/>
                <w:bCs/>
                <w:sz w:val="18"/>
                <w:szCs w:val="18"/>
              </w:rPr>
              <w:t xml:space="preserve">23 / 100</w:t>
            </w:r>
          </w:p>
        </w:tc>
      </w:tr>
    </w:tbl>
    <w:p>
      <w:pPr>
        <w:pStyle w:val="MDPI18keywords"/>
        <w:ind w:left="2608"/>
      </w:pPr>
      <w:r>
        <w:t xml:space="preserve">The strengthened filter retains 77/100 candidates; the rank-1 trinitro-isoxazole survives. Crossing with the xTB HOMO-LUMO ≥ 1.5 eV gate gives an estimated 60-65/100 dual-pass set; 77/100 is the conservative figure used by the validation chain.</w:t>
      </w:r>
    </w:p>
    <w:p>
      <w:pPr>
        <w:pStyle w:val="MDPI23heading3"/>
        <w:ind w:left="2608"/>
      </w:pPr>
      <w:r>
        <w:t xml:space="preserve">D.8 CFG-scale ablation</w:t>
      </w:r>
    </w:p>
    <w:p>
      <w:pPr>
        <w:pStyle w:val="MDPI18keywords"/>
        <w:ind w:left="2608"/>
      </w:pPr>
      <w:r>
        <w:t xml:space="preserve">Three runs at</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with pool=8 000 each. Increasing</w:t>
      </w:r>
      <w:r>
        <w:t xml:space="preserve"> </w:t>
      </w:r>
      <m:oMath>
        <m:r>
          <m:t>w</m:t>
        </m:r>
      </m:oMath>
      <w:r>
        <w:t xml:space="preserve"> </w:t>
      </w:r>
      <w:r>
        <w:t xml:space="preserve">sharpens the predicted-property distribution but reduces filter pass-through.</w:t>
      </w:r>
      <w:r>
        <w:t xml:space="preserve"> </w:t>
      </w:r>
      <m:oMath>
        <m:r>
          <m:t>w</m:t>
        </m:r>
        <m:r>
          <m:rPr>
            <m:sty m:val="p"/>
          </m:rPr>
          <m:t>=</m:t>
        </m:r>
        <m:r>
          <m:t>7</m:t>
        </m:r>
      </m:oMath>
      <w:r>
        <w:t xml:space="preserve"> </w:t>
      </w:r>
      <w:r>
        <w:t xml:space="preserve">is the empirical optimum: 983 final candidates and a top score of 0.70.</w:t>
      </w:r>
      <w:r>
        <w:t xml:space="preserve"> </w:t>
      </w:r>
      <m:oMath>
        <m:r>
          <m:t>w</m:t>
        </m:r>
        <m:r>
          <m:rPr>
            <m:sty m:val="p"/>
          </m:rPr>
          <m:t>=</m:t>
        </m:r>
        <m:r>
          <m:t>9</m:t>
        </m:r>
      </m:oMath>
      <w:r>
        <w:t xml:space="preserve"> </w:t>
      </w:r>
      <w:r>
        <w:t xml:space="preserve">drops to 427 surviving candidates with a slightly worse top score.</w:t>
      </w:r>
      <w:r>
        <w:t xml:space="preserve"> </w:t>
      </w:r>
      <m:oMath>
        <m:r>
          <m:t>w</m:t>
        </m:r>
        <m:r>
          <m:rPr>
            <m:sty m:val="p"/>
          </m:rPr>
          <m:t>=</m:t>
        </m:r>
        <m:r>
          <m:t>5</m:t>
        </m:r>
      </m:oMath>
      <w:r>
        <w:t xml:space="preserve"> </w:t>
      </w:r>
      <w:r>
        <w:t xml:space="preserve">over-explores: 528 final candidates, top score 0.92 (Figure 23).</w:t>
      </w:r>
    </w:p>
    <w:p>
      <w:pPr>
        <w:pStyle w:val="MDPI18keywords"/>
        <w:ind w:left="2608"/>
      </w:pPr>
      <w:r>
        <w:t xml:space="preserve">The v4b production-architecture sweep (50 samples per target, three quantile bands per property; full table in</w:t>
      </w:r>
      <w:r>
        <w:t xml:space="preserve"> </w:t>
      </w:r>
      <w:r>
        <w:rPr>
          <w:rStyle w:val="VerbatimChar"/>
        </w:rPr>
        <w:t xml:space="preserve">experiments/diffusion_subset_cond_expanded_v4b_20260426T000541Z/cfg_sweep.md</w:t>
      </w:r>
      <w:r>
        <w:t xml:space="preserve">) confirms that</w:t>
      </w:r>
      <w:r>
        <w:t xml:space="preserve"> </w:t>
      </w:r>
      <m:oMath>
        <m:r>
          <m:t>w</m:t>
        </m:r>
        <m:r>
          <m:rPr>
            <m:sty m:val="p"/>
          </m:rPr>
          <m:t>=</m:t>
        </m:r>
        <m:r>
          <m:t>7</m:t>
        </m:r>
      </m:oMath>
      <w:r>
        <w:t xml:space="preserve"> </w:t>
      </w:r>
      <w:r>
        <w:t xml:space="preserve">gives the best mean per-property quantile match. Representative q90 (high-extreme) rows below illustrate the trade-off: density and detonation-velocity quantile error fall monotonically with increasing</w:t>
      </w:r>
      <w:r>
        <w:t xml:space="preserve"> </w:t>
      </w:r>
      <m:oMath>
        <m:r>
          <m:t>w</m:t>
        </m:r>
      </m:oMath>
      <w:r>
        <w:t xml:space="preserve">; HOF and detonation-pressure quantile errors are bowl-shaped, optimal near</w:t>
      </w:r>
      <w:r>
        <w:t xml:space="preserve"> </w:t>
      </w:r>
      <m:oMath>
        <m:r>
          <m:t>w</m:t>
        </m:r>
        <m:r>
          <m:rPr>
            <m:sty m:val="p"/>
          </m:rPr>
          <m:t>∈</m:t>
        </m:r>
        <m:r>
          <m:rPr>
            <m:sty m:val="p"/>
          </m:rPr>
          <m:t>[</m:t>
        </m:r>
        <m:r>
          <m:t>5</m:t>
        </m:r>
        <m:r>
          <m:rPr>
            <m:sty m:val="p"/>
          </m:rPr>
          <m:t>,</m:t>
        </m:r>
        <m:r>
          <m:t>7</m:t>
        </m:r>
        <m:r>
          <m:rPr>
            <m:sty m:val="p"/>
          </m:rPr>
          <m:t>]</m:t>
        </m:r>
      </m:oMath>
      <w:r>
        <w:t xml:space="preserve">.</w:t>
      </w:r>
    </w:p>
    <w:p>
      <w:pPr>
        <w:pStyle w:val="MDPI18keywords"/>
        <w:ind w:left="2608"/>
      </w:pPr>
      <w:r>
        <w:rPr>
          <w:b/>
          <w:bCs/>
        </w:rPr>
        <w:t xml:space="preserve">Table D.7.</w:t>
      </w:r>
      <w:r>
        <w:t xml:space="preserve"> </w:t>
      </w:r>
      <w:r>
        <w:t xml:space="preserve">Per-property quantile-match error (mean relative error, %) for the v4b production-architecture classifier-free guidance-scale sweep, at guidance scales g = 2.0, 5.0, and 7.0; lower is better.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63"/>
        <w:gridCol w:w="1715"/>
        <w:gridCol w:w="1226"/>
        <w:gridCol w:w="1226"/>
        <w:gridCol w:w="1228"/>
      </w:tblGrid>
      <w:tr>
        <w:trPr>
          <w:tblHeader w:val="on"/>
        </w:trPr>
        <w:tc>
          <w:tcPr>
            <w:tcBorders>
              <w:bottom w:val="single" w:sz="8" w:space="0" w:color="auto"/>
            </w:tcBorders>
            <w:vAlign w:val="center"/>
          </w:tcPr>
          <w:p>
            <w:pPr>
              <w:pStyle w:val="Compact"/>
              <w:suppressAutoHyphens/>
              <w:jc w:val="center"/>
            </w:pPr>
            <w:r>
              <w:rPr>
                <w:b/>
                <w:sz w:val="18"/>
                <w:szCs w:val="18"/>
              </w:rPr>
              <w:t xml:space="preserve">Property</w:t>
            </w:r>
          </w:p>
        </w:tc>
        <w:tc>
          <w:tcPr>
            <w:tcBorders>
              <w:bottom w:val="single" w:sz="8" w:space="0" w:color="auto"/>
            </w:tcBorders>
            <w:vAlign w:val="center"/>
          </w:tcPr>
          <w:p>
            <w:pPr>
              <w:pStyle w:val="Compact"/>
              <w:suppressAutoHyphens/>
              <w:jc w:val="center"/>
            </w:pPr>
            <w:r>
              <w:rPr>
                <w:b/>
                <w:sz w:val="18"/>
                <w:szCs w:val="18"/>
              </w:rPr>
              <w:t xml:space="preserve">Target quantile</w:t>
            </w:r>
          </w:p>
        </w:tc>
        <w:tc>
          <w:tcPr>
            <w:tcBorders>
              <w:bottom w:val="single" w:sz="8" w:space="0" w:color="auto"/>
            </w:tcBorders>
            <w:vAlign w:val="center"/>
          </w:tcPr>
          <w:p>
            <w:pPr>
              <w:pStyle w:val="Compact"/>
              <w:suppressAutoHyphens/>
              <w:jc w:val="center"/>
            </w:pPr>
            <w:r>
              <w:rPr>
                <w:b/>
                <w:sz w:val="18"/>
                <w:szCs w:val="18"/>
              </w:rPr>
              <w:t xml:space="preserve">g=2.0 rel-err%</w:t>
            </w:r>
          </w:p>
        </w:tc>
        <w:tc>
          <w:tcPr>
            <w:tcBorders>
              <w:bottom w:val="single" w:sz="8" w:space="0" w:color="auto"/>
            </w:tcBorders>
            <w:vAlign w:val="center"/>
          </w:tcPr>
          <w:p>
            <w:pPr>
              <w:pStyle w:val="Compact"/>
              <w:suppressAutoHyphens/>
              <w:jc w:val="center"/>
            </w:pPr>
            <w:r>
              <w:rPr>
                <w:b/>
                <w:sz w:val="18"/>
                <w:szCs w:val="18"/>
              </w:rPr>
              <w:t xml:space="preserve">g=5.0 rel-err%</w:t>
            </w:r>
          </w:p>
        </w:tc>
        <w:tc>
          <w:tcPr>
            <w:tcBorders>
              <w:bottom w:val="single" w:sz="8" w:space="0" w:color="auto"/>
            </w:tcBorders>
            <w:vAlign w:val="center"/>
          </w:tcPr>
          <w:p>
            <w:pPr>
              <w:pStyle w:val="Compact"/>
              <w:suppressAutoHyphens/>
              <w:jc w:val="center"/>
            </w:pPr>
            <w:r>
              <w:rPr>
                <w:b/>
                <w:sz w:val="18"/>
                <w:szCs w:val="18"/>
              </w:rPr>
              <w:t xml:space="preserve">g=7.0 rel-err%</w:t>
            </w:r>
          </w:p>
        </w:tc>
      </w:tr>
      <w:tr>
        <w:tc>
          <w:tcPr>
            <w:vAlign w:val="center"/>
          </w:tcPr>
          <w:p>
            <w:pPr>
              <w:pStyle w:val="Compact"/>
              <w:suppressAutoHyphens/>
              <w:jc w:val="center"/>
            </w:pPr>
            <w:r>
              <w:rPr>
                <w:sz w:val="18"/>
                <w:szCs w:val="18"/>
              </w:rPr>
              <w:t xml:space="preserve">density</w:t>
            </w:r>
          </w:p>
        </w:tc>
        <w:tc>
          <w:tcPr>
            <w:vAlign w:val="center"/>
          </w:tcPr>
          <w:p>
            <w:pPr>
              <w:pStyle w:val="Compact"/>
              <w:suppressAutoHyphens/>
              <w:jc w:val="center"/>
            </w:pPr>
            <w:r>
              <w:rPr>
                <w:sz w:val="18"/>
                <w:szCs w:val="18"/>
              </w:rPr>
              <w:t xml:space="preserve">q90 (target +1.83)</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heat_of_formation</w:t>
            </w:r>
          </w:p>
        </w:tc>
        <w:tc>
          <w:tcPr>
            <w:vAlign w:val="center"/>
          </w:tcPr>
          <w:p>
            <w:pPr>
              <w:pStyle w:val="Compact"/>
              <w:suppressAutoHyphens/>
              <w:jc w:val="center"/>
            </w:pPr>
            <w:r>
              <w:rPr>
                <w:sz w:val="18"/>
                <w:szCs w:val="18"/>
              </w:rPr>
              <w:t xml:space="preserve">q90 (target +267.75)</w:t>
            </w:r>
          </w:p>
        </w:tc>
        <w:tc>
          <w:tcPr>
            <w:vAlign w:val="center"/>
          </w:tcPr>
          <w:p>
            <w:pPr>
              <w:pStyle w:val="Compact"/>
              <w:suppressAutoHyphens/>
              <w:jc w:val="center"/>
            </w:pPr>
            <w:r>
              <w:rPr>
                <w:sz w:val="18"/>
                <w:szCs w:val="18"/>
              </w:rPr>
              <w:t xml:space="preserve">212</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detonation_velocity</w:t>
            </w:r>
          </w:p>
        </w:tc>
        <w:tc>
          <w:tcPr>
            <w:vAlign w:val="center"/>
          </w:tcPr>
          <w:p>
            <w:pPr>
              <w:pStyle w:val="Compact"/>
              <w:suppressAutoHyphens/>
              <w:jc w:val="center"/>
            </w:pPr>
            <w:r>
              <w:rPr>
                <w:sz w:val="18"/>
                <w:szCs w:val="18"/>
              </w:rPr>
              <w:t xml:space="preserve">q90 (target +7.86)</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detonation_pressure</w:t>
            </w:r>
          </w:p>
        </w:tc>
        <w:tc>
          <w:tcPr>
            <w:vAlign w:val="center"/>
          </w:tcPr>
          <w:p>
            <w:pPr>
              <w:pStyle w:val="Compact"/>
              <w:suppressAutoHyphens/>
              <w:jc w:val="center"/>
            </w:pPr>
            <w:r>
              <w:rPr>
                <w:sz w:val="18"/>
                <w:szCs w:val="18"/>
              </w:rPr>
              <w:t xml:space="preserve">q90 (target +26.57)</w:t>
            </w:r>
          </w:p>
        </w:tc>
        <w:tc>
          <w:tcPr>
            <w:vAlign w:val="center"/>
          </w:tcPr>
          <w:p>
            <w:pPr>
              <w:pStyle w:val="Compact"/>
              <w:suppressAutoHyphens/>
              <w:jc w:val="center"/>
            </w:pPr>
            <w:r>
              <w:rPr>
                <w:sz w:val="18"/>
                <w:szCs w:val="18"/>
              </w:rPr>
              <w:t xml:space="preserve">49</w:t>
            </w:r>
          </w:p>
        </w:tc>
        <w:tc>
          <w:tcPr>
            <w:vAlign w:val="center"/>
          </w:tcPr>
          <w:p>
            <w:pPr>
              <w:pStyle w:val="Compact"/>
              <w:suppressAutoHyphens/>
              <w:jc w:val="center"/>
            </w:pPr>
            <w:r>
              <w:rPr>
                <w:sz w:val="18"/>
                <w:szCs w:val="18"/>
              </w:rPr>
              <w:t xml:space="preserve">30</w:t>
            </w:r>
          </w:p>
        </w:tc>
        <w:tc>
          <w:tcPr>
            <w:vAlign w:val="center"/>
          </w:tcPr>
          <w:p>
            <w:pPr>
              <w:pStyle w:val="Compact"/>
              <w:suppressAutoHyphens/>
              <w:jc w:val="center"/>
            </w:pPr>
            <w:r>
              <w:rPr>
                <w:sz w:val="18"/>
                <w:szCs w:val="18"/>
              </w:rPr>
              <w:t xml:space="preserve">26</w:t>
            </w:r>
          </w:p>
        </w:tc>
      </w:tr>
    </w:tbl>
    <w:p>
      <w:pPr>
        <w:pStyle w:val="MDPI23heading3"/>
        <w:ind w:left="2608"/>
      </w:pPr>
      <w:r>
        <w:t xml:space="preserve">D.9 Hard-negative viability-head augmentation ablation</w:t>
      </w:r>
    </w:p>
    <w:p>
      <w:pPr>
        <w:pStyle w:val="MDPI18keywords"/>
        <w:ind w:left="2608"/>
      </w:pPr>
      <w:r>
        <w:t xml:space="preserve">We trained two variants of the multi-head model on identical noised-latent inputs to compare hard-negative-augmentation budgets:</w:t>
      </w:r>
    </w:p>
    <w:p>
      <w:pPr>
        <w:pStyle w:val="Compact"/>
      </w:pPr>
      <w:r>
        <w:rPr>
          <w:b/>
          <w:bCs/>
        </w:rPr>
        <w:t xml:space="preserve">Budget-137</w:t>
      </w:r>
      <w:r>
        <w:t xml:space="preserve">: training labels =</w:t>
      </w:r>
      <w: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t xml:space="preserve"> </w:t>
      </w:r>
      <w:r>
        <w:t xml:space="preserve">on the labelled corpus + 137 mined hard negatives encoded as viab=0.</w:t>
      </w:r>
    </w:p>
    <w:p>
      <w:pPr>
        <w:pStyle w:val="Compact"/>
      </w:pPr>
      <w:r>
        <w:rPr>
          <w:b/>
          <w:bCs/>
        </w:rPr>
        <w:t xml:space="preserve">Budget-918 (production)</w:t>
      </w:r>
      <w:r>
        <w:t xml:space="preserve">: same recipe with 918 mined hard negatives (mined from all generation pools) and an additional aromatic-heterocycle boost</w:t>
      </w:r>
      <w:r>
        <w:t xml:space="preserve"> </w:t>
      </w:r>
      <m:oMath>
        <m:r>
          <m:rPr>
            <m:sty m:val="p"/>
          </m:rPr>
          <m:t>×</m:t>
        </m:r>
        <m:r>
          <m:t>1.20</m:t>
        </m:r>
      </m:oMath>
      <w:r>
        <w:t xml:space="preserve"> </w:t>
      </w:r>
      <w:r>
        <w:t xml:space="preserve">on the viability target.</w:t>
      </w:r>
    </w:p>
    <w:p>
      <w:pPr>
        <w:pStyle w:val="MDPI18keywords"/>
        <w:ind w:left="2608"/>
      </w:pPr>
      <w:r>
        <w:t xml:space="preserve">On a held-out probe of seven anchor energetics (RDX, HMX, TNT, FOX-7, PETN, TATB) and five known model-cheats (gem-tetranitro on C2; trinitromethane; gem-dinitro-cyclopropane; polyazene-NO</w:t>
      </w:r>
      <w:r>
        <w:rPr>
          <w:vertAlign w:val="subscript"/>
        </w:rPr>
        <w:t xml:space="preserve">2</w:t>
      </w:r>
      <w:r>
        <w:t xml:space="preserve"> </w:t>
      </w:r>
      <w:r>
        <w:t xml:space="preserve">chain; tiny dinitromethane), the budget-137 model gave anchors viability</w:t>
      </w:r>
      <w:r>
        <w:t xml:space="preserve"> </w:t>
      </w:r>
      <m:oMath>
        <m:r>
          <m:rPr>
            <m:sty m:val="p"/>
          </m:rPr>
          <m:t>∈</m:t>
        </m:r>
      </m:oMath>
      <w:r>
        <w:t xml:space="preserve"> </w:t>
      </w:r>
      <w:r>
        <w:t xml:space="preserve">[0.93, 0.99] and cheats</w:t>
      </w:r>
      <w:r>
        <w:t xml:space="preserve"> </w:t>
      </w:r>
      <m:oMath>
        <m:r>
          <m:rPr>
            <m:sty m:val="p"/>
          </m:rPr>
          <m:t>∈</m:t>
        </m:r>
      </m:oMath>
      <w:r>
        <w:t xml:space="preserve"> </w:t>
      </w:r>
      <w:r>
        <w:t xml:space="preserve">[0.20, 0.84], while the budget-918 checkpoint gave anchors</w:t>
      </w:r>
      <w:r>
        <w:t xml:space="preserve"> </w:t>
      </w:r>
      <m:oMath>
        <m:r>
          <m:rPr>
            <m:sty m:val="p"/>
          </m:rPr>
          <m:t>∈</m:t>
        </m:r>
      </m:oMath>
      <w:r>
        <w:t xml:space="preserve"> </w:t>
      </w:r>
      <w:r>
        <w:t xml:space="preserve">[0.86, 0.99] and cheats</w:t>
      </w:r>
      <w:r>
        <w:t xml:space="preserve"> </w:t>
      </w:r>
      <m:oMath>
        <m:r>
          <m:rPr>
            <m:sty m:val="p"/>
          </m:rPr>
          <m:t>∈</m:t>
        </m:r>
      </m:oMath>
      <w:r>
        <w:t xml:space="preserve"> </w:t>
      </w:r>
      <w:r>
        <w:t xml:space="preserve">[0.12, 0.84]. Both discriminate, but the budget-918 checkpoint demoted the worst-offender model-cheat (gem-tetranitro) by an additional 0.10 absolute. The lesson is that the score-model viability head's discriminative power scales directly with the number of</w:t>
      </w:r>
      <w:r>
        <w:t xml:space="preserve"> </w:t>
      </w:r>
      <w:r>
        <w:rPr>
          <w:i/>
          <w:iCs/>
        </w:rPr>
        <w:t xml:space="preserve">structurally diverse</w:t>
      </w:r>
      <w:r>
        <w:t xml:space="preserve"> </w:t>
      </w:r>
      <w:r>
        <w:t xml:space="preserve">hard negatives encoded as training latents; the standard ZINC drug-like negatives we used to train the SMILES-space classifier are not enough; they are too far from the encoder's posterior to teach a useful gradient.</w:t>
      </w:r>
    </w:p>
    <w:p>
      <w:pPr>
        <w:pStyle w:val="MDPI23heading3"/>
        <w:ind w:left="2608"/>
      </w:pPr>
      <w:r>
        <w:t xml:space="preserve">D.10 Reproducibility across pool sizes</w:t>
      </w:r>
    </w:p>
    <w:p>
      <w:pPr>
        <w:pStyle w:val="MDPI18keywords"/>
        <w:ind w:left="2608"/>
      </w:pPr>
      <w: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t xml:space="preserve"> </w:t>
      </w:r>
      <w:r>
        <w:t xml:space="preserve">km s</w:t>
      </w:r>
      <w:r>
        <w:rPr>
          <w:vertAlign w:val="superscript"/>
        </w:rPr>
        <w:t xml:space="preserve">−1</w:t>
      </w:r>
      <w:r>
        <w:t xml:space="preserve">) that does not re-emerge at the larger sample size. The per-head guidance scale tunes the</w:t>
      </w:r>
      <w:r>
        <w:t xml:space="preserve"> </w:t>
      </w:r>
      <w:r>
        <w:rPr>
          <w:i/>
          <w:iCs/>
        </w:rPr>
        <w:t xml:space="preserve">distribution</w:t>
      </w:r>
      <w:r>
        <w:t xml:space="preserve"> </w:t>
      </w:r>
      <w:r>
        <w:t xml:space="preserve">of generated chemistry, but individual top-1 candidates are subject to the same combinatorial rarity that motivates the pool-size scaling of Section 4. The composite-score distribution over the top-200 of an unguided pool=40 000 run is shown in Fig S2. The recommended robust production recipe (moderate guidance, pool</w:t>
      </w:r>
      <w:r>
        <w:t xml:space="preserve"> </w:t>
      </w:r>
      <m:oMath>
        <m:r>
          <m:rPr>
            <m:sty m:val="p"/>
          </m:rPr>
          <m:t>≥</m:t>
        </m:r>
      </m:oMath>
      <w:r>
        <w:t xml:space="preserve"> </w:t>
      </w:r>
      <w:r>
        <w:t xml:space="preserve">40 000, Pareto reranker (scaffold-aware composite) as ranker, SA-gradient as a complementary run) is documented in Section 4.</w:t>
      </w:r>
    </w:p>
    <w:p xmlns:a="http://schemas.openxmlformats.org/drawingml/2006/main" xmlns:pic="http://schemas.openxmlformats.org/drawingml/2006/picture">
      <w:pPr>
        <w:pStyle w:val="MDPI52figure"/>
        <w:ind w:left="2608"/>
        <w:jc w:val="center"/>
      </w:pPr>
      <w:r>
        <w:drawing>
          <wp:inline>
            <wp:extent cx="4989830" cy="2641904"/>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0"/>
                    <a:stretch>
                      <a:fillRect/>
                    </a:stretch>
                  </pic:blipFill>
                  <pic:spPr bwMode="auto">
                    <a:xfrm>
                      <a:off x="0" y="0"/>
                      <a:ext cx="4989830" cy="2641904"/>
                    </a:xfrm>
                    <a:prstGeom prst="rect">
                      <a:avLst/>
                    </a:prstGeom>
                    <a:noFill/>
                    <a:ln w="9525">
                      <a:noFill/>
                      <a:headEnd/>
                      <a:tailEnd/>
                    </a:ln>
                  </pic:spPr>
                </pic:pic>
              </a:graphicData>
            </a:graphic>
          </wp:inline>
        </w:drawing>
      </w:r>
    </w:p>
    <w:p>
      <w:pPr>
        <w:pStyle w:val="MDPI51figurecaption"/>
        <w:ind w:left="2608"/>
      </w:pPr>
      <w:r>
        <w:rPr>
          <w:b/>
          <w:bCs/>
        </w:rPr>
        <w:t xml:space="preserve">Figure S2.</w:t>
      </w:r>
      <w:r>
        <w:t xml:space="preserve"> </w:t>
      </w:r>
      <w:r>
        <w:t xml:space="preserve">Distribution of composite scores over the top-200 of an unguided pool=40 000 run after the Pareto scaffold-aware ranker (range [0.564, 0.831]).</w:t>
      </w:r>
    </w:p>
    <w:p>
      <w:pPr>
        <w:pStyle w:val="MDPI18keywords"/>
        <w:ind w:left="2608"/>
      </w:pPr>
      <w:r>
        <w:rPr>
          <w:b/>
          <w:bCs/>
        </w:rPr>
        <w:t xml:space="preserve">Pool-fusion provenance of the merged top-100.</w:t>
      </w:r>
      <w:r>
        <w:t xml:space="preserve"> </w:t>
      </w:r>
      <w:r>
        <w:t xml:space="preserve">Applying Section 4 pool-fusion recipe to (i) the unguided pool=40 000 run, (ii) the unguided pool=80 000 run, (iii) a guided pool=40 000 run at</w:t>
      </w:r>
      <w: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t xml:space="preserve">, and (iv) a guided pool=20 000 run at</w:t>
      </w:r>
      <w:r>
        <w:t xml:space="preserve"> </w:t>
      </w:r>
      <m:oMath>
        <m:sSub>
          <m:e>
            <m:r>
              <m:t>s</m:t>
            </m:r>
          </m:e>
          <m:sub>
            <m:r>
              <m:rPr>
                <m:nor/>
                <m:sty m:val="p"/>
              </m:rPr>
              <m:t>SA</m:t>
            </m:r>
          </m:sub>
        </m:sSub>
        <m:r>
          <m:t>​</m:t>
        </m:r>
        <m:r>
          <m:rPr>
            <m:sty m:val="p"/>
          </m:rPr>
          <m:t>=</m:t>
        </m:r>
        <m:r>
          <m:t>​</m:t>
        </m:r>
        <m:r>
          <m:t>0.15</m:t>
        </m:r>
      </m:oMath>
      <w:r>
        <w:t xml:space="preserve"> </w:t>
      </w:r>
      <w:r>
        <w:t xml:space="preserve">yields 331 unique candidates. The top-100 by composite has range [0.564, 0.831]. Source breakdown: 89 from (i), 5 from (ii), 3 from (iii), 3 from (iv) (Fig S3). The Pareto reranker (scaffold-aware composite) is the dominant ranker; the largest contributor is the smallest unguided pool, while classifier-guided runs supply scaffold diversity at the top end. The trinitro-isoxazole rank-1 itself comes from a guided run.</w:t>
      </w:r>
    </w:p>
    <w:p xmlns:a="http://schemas.openxmlformats.org/drawingml/2006/main" xmlns:pic="http://schemas.openxmlformats.org/drawingml/2006/picture">
      <w:pPr>
        <w:pStyle w:val="MDPI52figure"/>
        <w:ind w:left="2608"/>
        <w:jc w:val="center"/>
      </w:pPr>
      <w:r>
        <w:drawing>
          <wp:inline>
            <wp:extent cx="4989830" cy="2376801"/>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1"/>
                    <a:stretch>
                      <a:fillRect/>
                    </a:stretch>
                  </pic:blipFill>
                  <pic:spPr bwMode="auto">
                    <a:xfrm>
                      <a:off x="0" y="0"/>
                      <a:ext cx="4989830" cy="2376801"/>
                    </a:xfrm>
                    <a:prstGeom prst="rect">
                      <a:avLst/>
                    </a:prstGeom>
                    <a:noFill/>
                    <a:ln w="9525">
                      <a:noFill/>
                      <a:headEnd/>
                      <a:tailEnd/>
                    </a:ln>
                  </pic:spPr>
                </pic:pic>
              </a:graphicData>
            </a:graphic>
          </wp:inline>
        </w:drawing>
      </w:r>
    </w:p>
    <w:p>
      <w:pPr>
        <w:pStyle w:val="MDPI51figurecaption"/>
        <w:ind w:left="2608"/>
      </w:pPr>
      <w:r>
        <w:rPr>
          <w:b/>
          <w:bCs/>
        </w:rPr>
        <w:t xml:space="preserve">Figure S3.</w:t>
      </w:r>
      <w:r>
        <w:t xml:space="preserve"> </w:t>
      </w:r>
      <w:r>
        <w:t xml:space="preserve">Source-pool contributions to the merged top-100. The unguided pool=40 000 supplies 89 of the top-100; classifier-guided runs and the larger unguided pool contribute incremental scaffold diversity at the top.</w:t>
      </w:r>
    </w:p>
    <w:p>
      <w:pPr>
        <w:pStyle w:val="MDPI23heading3"/>
        <w:ind w:left="2608"/>
      </w:pPr>
      <w:r>
        <w:t xml:space="preserve">D.11 Distribution-learning metrics</w:t>
      </w:r>
    </w:p>
    <w:p>
      <w:pPr>
        <w:pStyle w:val="MDPI18keywords"/>
        <w:ind w:left="2608"/>
      </w:pPr>
      <w:r>
        <w:t xml:space="preserve">To address standard distribution-learning benchmarks expected by NMI reviewers, we report MOSES-style metrics</w:t>
      </w:r>
      <w:r>
        <w:t xml:space="preserve"> </w:t>
      </w:r>
      <w:hyperlink w:anchor="ref-polykovskiy2020moses">
        <w:r>
          <w:rPr>
            <w:rStyle w:val="Hyperlink"/>
          </w:rPr>
          <w:t xml:space="preserve">[46]</w:t>
        </w:r>
      </w:hyperlink>
      <w:r>
        <w:t xml:space="preserve"> </w:t>
      </w:r>
      <w:r>
        <w:t xml:space="preserve">on the four guidance conditions of the Supplementary Information at pool=10 000 each (10k SMILES per condition):</w:t>
      </w:r>
    </w:p>
    <w:p>
      <w:pPr>
        <w:pStyle w:val="MDPI18keywords"/>
        <w:ind w:left="2608"/>
      </w:pPr>
      <w:r>
        <w:rPr>
          <w:b/>
          <w:bCs/>
        </w:rPr>
        <w:t xml:space="preserve">Table D.4.</w:t>
      </w:r>
      <w:r>
        <w:t xml:space="preserve"> </w:t>
      </w:r>
      <w:r>
        <w:t xml:space="preserve">MOSES-style distribution-learning metrics on each of the four guidance conditions of the Supplementary Information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t xml:space="preserve">,</w:t>
      </w:r>
      <w:r>
        <w:t xml:space="preserve"> </w:t>
      </w:r>
      <m:oMath>
        <m:sSub>
          <m:e>
            <m:r>
              <m:t>s</m:t>
            </m:r>
          </m:e>
          <m:sub>
            <m:r>
              <m:rPr>
                <m:nor/>
                <m:sty m:val="p"/>
              </m:rPr>
              <m:t>sens</m:t>
            </m:r>
          </m:sub>
        </m:sSub>
        <m:r>
          <m:t>​</m:t>
        </m:r>
        <m:r>
          <m:rPr>
            <m:sty m:val="p"/>
          </m:rPr>
          <m:t>=</m:t>
        </m:r>
        <m:r>
          <m:t>​</m:t>
        </m:r>
        <m:r>
          <m:t>0.3</m:t>
        </m:r>
      </m:oMath>
      <w:r>
        <w:t xml:space="preserve">); C2 viab+sens+hazard (adds</w:t>
      </w:r>
      <w:r>
        <w:t xml:space="preserve"> </w:t>
      </w:r>
      <m:oMath>
        <m:sSub>
          <m:e>
            <m:r>
              <m:t>s</m:t>
            </m:r>
          </m:e>
          <m:sub>
            <m:r>
              <m:rPr>
                <m:nor/>
                <m:sty m:val="p"/>
              </m:rPr>
              <m:t>hazard</m:t>
            </m:r>
          </m:sub>
        </m:sSub>
        <m:r>
          <m:t>​</m:t>
        </m:r>
        <m:r>
          <m:rPr>
            <m:sty m:val="p"/>
          </m:rPr>
          <m:t>=</m:t>
        </m:r>
        <m:r>
          <m:t>​</m:t>
        </m:r>
        <m:r>
          <m:t>1.0</m:t>
        </m:r>
      </m:oMath>
      <w:r>
        <w:t xml:space="preserve">); C3 hazard-only (</w:t>
      </w:r>
      <m:oMath>
        <m:sSub>
          <m:e>
            <m:r>
              <m:t>s</m:t>
            </m:r>
          </m:e>
          <m:sub>
            <m:r>
              <m:rPr>
                <m:nor/>
                <m:sty m:val="p"/>
              </m:rPr>
              <m:t>hazard</m:t>
            </m:r>
          </m:sub>
        </m:sSub>
        <m:r>
          <m:t>​</m:t>
        </m:r>
        <m:r>
          <m:rPr>
            <m:sty m:val="p"/>
          </m:rPr>
          <m:t>=</m:t>
        </m:r>
        <m:r>
          <m:t>​</m:t>
        </m:r>
        <m:r>
          <m:t>2.0</m:t>
        </m:r>
      </m:oMath>
      <w:r>
        <w:t xml:space="preserve">, other heads off). Columns: RDKit validity rate; uniqueness fraction in the 10k pool; novelty against the labelled master corpus (LM, 65 980 rows); MOSES IntDiv1 internal-diversity score (1</w:t>
      </w:r>
      <w:r>
        <w:t xml:space="preserve"> </w:t>
      </w:r>
      <m:oMath>
        <m:r>
          <m:rPr>
            <m:sty m:val="p"/>
          </m:rPr>
          <m:t>−</m:t>
        </m:r>
      </m:oMath>
      <w:r>
        <w:t xml:space="preserve"> </w:t>
      </w:r>
      <w:r>
        <w:t xml:space="preserve">mean pairwise Tanimoto); count of unique Bemis–Murcko scaffolds in the 10k pool; pass rate against the PAINS drug-like alert catalog; pass rate against the chemist-curated energetic-chemistry SMARTS catalog (chem_redflags); SNN, average maximum Tanimoto similarity to the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499"/>
        <w:gridCol w:w="752"/>
        <w:gridCol w:w="1018"/>
        <w:gridCol w:w="756"/>
        <w:gridCol w:w="760"/>
        <w:gridCol w:w="865"/>
        <w:gridCol w:w="725"/>
        <w:gridCol w:w="893"/>
        <w:gridCol w:w="5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BM scaffolds</w:t>
            </w:r>
          </w:p>
        </w:tc>
        <w:tc>
          <w:tcPr>
            <w:tcBorders>
              <w:bottom w:val="single" w:sz="8" w:space="0" w:color="auto"/>
            </w:tcBorders>
            <w:vAlign w:val="center"/>
          </w:tcPr>
          <w:p>
            <w:pPr>
              <w:pStyle w:val="Compact"/>
              <w:suppressAutoHyphens/>
              <w:jc w:val="center"/>
            </w:pPr>
            <w:r>
              <w:rPr>
                <w:b/>
                <w:sz w:val="18"/>
                <w:szCs w:val="18"/>
              </w:rPr>
              <w:t xml:space="preserve">PAINS-pass</w:t>
            </w:r>
          </w:p>
        </w:tc>
        <w:tc>
          <w:tcPr>
            <w:tcBorders>
              <w:bottom w:val="single" w:sz="8" w:space="0" w:color="auto"/>
            </w:tcBorders>
            <w:vAlign w:val="center"/>
          </w:tcPr>
          <w:p>
            <w:pPr>
              <w:pStyle w:val="Compact"/>
              <w:suppressAutoHyphens/>
              <w:jc w:val="center"/>
            </w:pPr>
            <w:r>
              <w:rPr>
                <w:b/>
                <w:sz w:val="18"/>
                <w:szCs w:val="18"/>
              </w:rPr>
              <w:t xml:space="preserve">energetic-SMARTS-pass</w:t>
            </w:r>
          </w:p>
        </w:tc>
        <w:tc>
          <w:tcPr>
            <w:tcBorders>
              <w:bottom w:val="single" w:sz="8" w:space="0" w:color="auto"/>
            </w:tcBorders>
            <w:vAlign w:val="center"/>
          </w:tcPr>
          <w:p>
            <w:pPr>
              <w:pStyle w:val="Compact"/>
              <w:suppressAutoHyphens/>
              <w:jc w:val="center"/>
            </w:pPr>
            <w:r>
              <w:rPr>
                <w:b/>
                <w:sz w:val="18"/>
                <w:szCs w:val="18"/>
              </w:rPr>
              <w:t xml:space="preserve">SNN to LM</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0.728</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0.845</w:t>
            </w:r>
          </w:p>
        </w:tc>
        <w:tc>
          <w:tcPr>
            <w:vAlign w:val="center"/>
          </w:tcPr>
          <w:p>
            <w:pPr>
              <w:pStyle w:val="Compact"/>
              <w:suppressAutoHyphens/>
              <w:jc w:val="center"/>
            </w:pPr>
            <w:r>
              <w:rPr>
                <w:sz w:val="18"/>
                <w:szCs w:val="18"/>
              </w:rPr>
              <w:t xml:space="preserve">125</w:t>
            </w:r>
          </w:p>
        </w:tc>
        <w:tc>
          <w:tcPr>
            <w:vAlign w:val="center"/>
          </w:tcPr>
          <w:p>
            <w:pPr>
              <w:pStyle w:val="Compact"/>
              <w:suppressAutoHyphens/>
              <w:jc w:val="center"/>
            </w:pPr>
            <w:r>
              <w:rPr>
                <w:sz w:val="18"/>
                <w:szCs w:val="18"/>
              </w:rPr>
              <w:t xml:space="preserve">0.861</w:t>
            </w:r>
          </w:p>
        </w:tc>
        <w:tc>
          <w:tcPr>
            <w:vAlign w:val="center"/>
          </w:tcPr>
          <w:p>
            <w:pPr>
              <w:pStyle w:val="Compact"/>
              <w:suppressAutoHyphens/>
              <w:jc w:val="center"/>
            </w:pPr>
            <w:r>
              <w:rPr>
                <w:sz w:val="18"/>
                <w:szCs w:val="18"/>
              </w:rPr>
              <w:t xml:space="preserve">0.301</w:t>
            </w:r>
          </w:p>
        </w:tc>
        <w:tc>
          <w:tcPr>
            <w:vAlign w:val="center"/>
          </w:tcPr>
          <w:p>
            <w:pPr>
              <w:pStyle w:val="Compact"/>
              <w:suppressAutoHyphens/>
              <w:jc w:val="center"/>
            </w:pPr>
            <w:r>
              <w:rPr>
                <w:sz w:val="18"/>
                <w:szCs w:val="18"/>
              </w:rPr>
              <w:t xml:space="preserve">0.328</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0.639</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0.833</w:t>
            </w:r>
          </w:p>
        </w:tc>
        <w:tc>
          <w:tcPr>
            <w:vAlign w:val="center"/>
          </w:tcPr>
          <w:p>
            <w:pPr>
              <w:pStyle w:val="Compact"/>
              <w:suppressAutoHyphens/>
              <w:jc w:val="center"/>
            </w:pPr>
            <w:r>
              <w:rPr>
                <w:sz w:val="18"/>
                <w:szCs w:val="18"/>
              </w:rPr>
              <w:t xml:space="preserve">62</w:t>
            </w:r>
          </w:p>
        </w:tc>
        <w:tc>
          <w:tcPr>
            <w:vAlign w:val="center"/>
          </w:tcPr>
          <w:p>
            <w:pPr>
              <w:pStyle w:val="Compact"/>
              <w:suppressAutoHyphens/>
              <w:jc w:val="center"/>
            </w:pPr>
            <w:r>
              <w:rPr>
                <w:sz w:val="18"/>
                <w:szCs w:val="18"/>
              </w:rPr>
              <w:t xml:space="preserve">0.804</w:t>
            </w:r>
          </w:p>
        </w:tc>
        <w:tc>
          <w:tcPr>
            <w:vAlign w:val="center"/>
          </w:tcPr>
          <w:p>
            <w:pPr>
              <w:pStyle w:val="Compact"/>
              <w:suppressAutoHyphens/>
              <w:jc w:val="center"/>
            </w:pPr>
            <w:r>
              <w:rPr>
                <w:sz w:val="18"/>
                <w:szCs w:val="18"/>
              </w:rPr>
              <w:t xml:space="preserve">0.259</w:t>
            </w:r>
          </w:p>
        </w:tc>
        <w:tc>
          <w:tcPr>
            <w:vAlign w:val="center"/>
          </w:tcPr>
          <w:p>
            <w:pPr>
              <w:pStyle w:val="Compact"/>
              <w:suppressAutoHyphens/>
              <w:jc w:val="center"/>
            </w:pPr>
            <w:r>
              <w:rPr>
                <w:sz w:val="18"/>
                <w:szCs w:val="18"/>
              </w:rPr>
              <w:t xml:space="preserve">0.309</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0.572</w:t>
            </w:r>
          </w:p>
        </w:tc>
        <w:tc>
          <w:tcPr>
            <w:vAlign w:val="center"/>
          </w:tcPr>
          <w:p>
            <w:pPr>
              <w:pStyle w:val="Compact"/>
              <w:suppressAutoHyphens/>
              <w:jc w:val="center"/>
            </w:pPr>
            <w:r>
              <w:rPr>
                <w:sz w:val="18"/>
                <w:szCs w:val="18"/>
              </w:rPr>
              <w:t xml:space="preserve">0.999</w:t>
            </w:r>
          </w:p>
        </w:tc>
        <w:tc>
          <w:tcPr>
            <w:vAlign w:val="center"/>
          </w:tcPr>
          <w:p>
            <w:pPr>
              <w:pStyle w:val="Compact"/>
              <w:suppressAutoHyphens/>
              <w:jc w:val="center"/>
            </w:pPr>
            <w:r>
              <w:rPr>
                <w:sz w:val="18"/>
                <w:szCs w:val="18"/>
              </w:rPr>
              <w:t xml:space="preserve">0.851</w:t>
            </w:r>
          </w:p>
        </w:tc>
        <w:tc>
          <w:tcPr>
            <w:vAlign w:val="center"/>
          </w:tcPr>
          <w:p>
            <w:pPr>
              <w:pStyle w:val="Compact"/>
              <w:suppressAutoHyphens/>
              <w:jc w:val="center"/>
            </w:pPr>
            <w:r>
              <w:rPr>
                <w:sz w:val="18"/>
                <w:szCs w:val="18"/>
              </w:rPr>
              <w:t xml:space="preserve">71</w:t>
            </w:r>
          </w:p>
        </w:tc>
        <w:tc>
          <w:tcPr>
            <w:vAlign w:val="center"/>
          </w:tcPr>
          <w:p>
            <w:pPr>
              <w:pStyle w:val="Compact"/>
              <w:suppressAutoHyphens/>
              <w:jc w:val="center"/>
            </w:pPr>
            <w:r>
              <w:rPr>
                <w:sz w:val="18"/>
                <w:szCs w:val="18"/>
              </w:rPr>
              <w:t xml:space="preserve">0.775</w:t>
            </w:r>
          </w:p>
        </w:tc>
        <w:tc>
          <w:tcPr>
            <w:vAlign w:val="center"/>
          </w:tcPr>
          <w:p>
            <w:pPr>
              <w:pStyle w:val="Compact"/>
              <w:suppressAutoHyphens/>
              <w:jc w:val="center"/>
            </w:pPr>
            <w:r>
              <w:rPr>
                <w:sz w:val="18"/>
                <w:szCs w:val="18"/>
              </w:rPr>
              <w:t xml:space="preserve">0.246</w:t>
            </w:r>
          </w:p>
        </w:tc>
        <w:tc>
          <w:tcPr>
            <w:vAlign w:val="center"/>
          </w:tcPr>
          <w:p>
            <w:pPr>
              <w:pStyle w:val="Compact"/>
              <w:suppressAutoHyphens/>
              <w:jc w:val="center"/>
            </w:pPr>
            <w:r>
              <w:rPr>
                <w:sz w:val="18"/>
                <w:szCs w:val="18"/>
              </w:rPr>
              <w:t xml:space="preserve">0.292</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0.732</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0.858</w:t>
            </w:r>
          </w:p>
        </w:tc>
        <w:tc>
          <w:tcPr>
            <w:vAlign w:val="center"/>
          </w:tcPr>
          <w:p>
            <w:pPr>
              <w:pStyle w:val="Compact"/>
              <w:suppressAutoHyphens/>
              <w:jc w:val="center"/>
            </w:pPr>
            <w:r>
              <w:rPr>
                <w:sz w:val="18"/>
                <w:szCs w:val="18"/>
              </w:rPr>
              <w:t xml:space="preserve">165</w:t>
            </w:r>
          </w:p>
        </w:tc>
        <w:tc>
          <w:tcPr>
            <w:vAlign w:val="center"/>
          </w:tcPr>
          <w:p>
            <w:pPr>
              <w:pStyle w:val="Compact"/>
              <w:suppressAutoHyphens/>
              <w:jc w:val="center"/>
            </w:pPr>
            <w:r>
              <w:rPr>
                <w:sz w:val="18"/>
                <w:szCs w:val="18"/>
              </w:rPr>
              <w:t xml:space="preserve">0.844</w:t>
            </w:r>
          </w:p>
        </w:tc>
        <w:tc>
          <w:tcPr>
            <w:vAlign w:val="center"/>
          </w:tcPr>
          <w:p>
            <w:pPr>
              <w:pStyle w:val="Compact"/>
              <w:suppressAutoHyphens/>
              <w:jc w:val="center"/>
            </w:pPr>
            <w:r>
              <w:rPr>
                <w:sz w:val="18"/>
                <w:szCs w:val="18"/>
              </w:rPr>
              <w:t xml:space="preserve">0.260</w:t>
            </w:r>
          </w:p>
        </w:tc>
        <w:tc>
          <w:tcPr>
            <w:vAlign w:val="center"/>
          </w:tcPr>
          <w:p>
            <w:pPr>
              <w:pStyle w:val="Compact"/>
              <w:suppressAutoHyphens/>
              <w:jc w:val="center"/>
            </w:pPr>
            <w:r>
              <w:rPr>
                <w:sz w:val="18"/>
                <w:szCs w:val="18"/>
              </w:rPr>
              <w:t xml:space="preserve">0.306</w:t>
            </w:r>
          </w:p>
        </w:tc>
      </w:tr>
    </w:tbl>
    <w:p>
      <w:pPr>
        <w:pStyle w:val="MDPI18keywords"/>
        <w:ind w:left="2608"/>
      </w:pPr>
      <w:r>
        <w:t xml:space="preserve">The MOSES small-multiples figure (validity, scaffold uniqueness, internal diversity, FCD) has been promoted into Section 2.5 as Fig 8.</w:t>
      </w:r>
    </w:p>
    <w:p>
      <w:pPr>
        <w:pStyle w:val="MDPI18keywords"/>
        <w:ind w:left="2608"/>
      </w:pPr>
      <w:r>
        <w:rPr>
          <w:b/>
          <w:bCs/>
        </w:rPr>
        <w:t xml:space="preserve">Multi-seed validation (SA-axis sweep, 3 seeds each).</w:t>
      </w:r>
      <w:r>
        <w:t xml:space="preserve"> </w:t>
      </w:r>
      <w:r>
        <w:t xml:space="preserve">To bound seed variance on the MOSES metrics, we re-ran the MOSES evaluation on the four SA-axis conditions (C0 unguided; C1 viab-only; C2 viab+sens; C3 viab+sens+SA) across 3 independent seeds (10 000 SMILES per seed per condition). Table D.4b reports mean </w:t>
      </w:r>
      <m:oMath>
        <m:r>
          <m:rPr>
            <m:sty m:val="p"/>
          </m:rPr>
          <m:t>±</m:t>
        </m:r>
      </m:oMath>
      <w:r>
        <w:t xml:space="preserve"> std across seeds. The multi-seed evaluation confirms that validity is exactly 1.000 for every seed and condition (zero variance), novelty vs the labelled master is &gt;99.9 % for all seeds, and the uniqueness and diversity trends from Table D.4 are reproducible. Scaffold count drops substantially under stronger guidance (1262 scaffolds unguided vs 659 fully guided, a 48 % reduction), with low seed-to-seed variance (</w:t>
      </w:r>
      <m:oMath>
        <m:r>
          <m:rPr>
            <m:sty m:val="p"/>
          </m:rPr>
          <m:t>≤</m:t>
        </m:r>
      </m:oMath>
      <w:r>
        <w:t xml:space="preserve"> 23 scaffolds s.d.) confirming that the guidance-driven narrowing of chemical space is a stable, signal-level effect rather than a seed artifact.</w:t>
      </w:r>
    </w:p>
    <w:p>
      <w:pPr>
        <w:pStyle w:val="MDPI18keywords"/>
        <w:ind w:left="2608"/>
      </w:pPr>
      <w:r>
        <w:rPr>
          <w:b/>
          <w:bCs/>
        </w:rPr>
        <w:t xml:space="preserve">Table D.4b.</w:t>
      </w:r>
      <w:r>
        <w:t xml:space="preserve"> </w:t>
      </w:r>
      <w:r>
        <w:t xml:space="preserve">Multi-seed MOSES-style metrics for the four SA-axis conditions (3 seeds each, 10 000 SMILES per seed). Validity is exactly 1.000 (zero variance) across all seeds and conditions. Values reported as mean </w:t>
      </w:r>
      <m:oMath>
        <m:r>
          <m:rPr>
            <m:sty m:val="p"/>
          </m:rPr>
          <m:t>±</m:t>
        </m:r>
      </m:oMath>
      <w:r>
        <w:t xml:space="preserve"> std. SA-axis conditions: C0 = unguided; C1 = viab-only (</w:t>
      </w:r>
      <m:oMath>
        <m:sSub>
          <m:e>
            <m:r>
              <m:t>s</m:t>
            </m:r>
          </m:e>
          <m:sub>
            <m:r>
              <m:rPr>
                <m:nor/>
                <m:sty m:val="p"/>
              </m:rPr>
              <m:t>viab</m:t>
            </m:r>
          </m:sub>
        </m:sSub>
        <m:r>
          <m:t>​</m:t>
        </m:r>
        <m:r>
          <m:rPr>
            <m:sty m:val="p"/>
          </m:rPr>
          <m:t>=</m:t>
        </m:r>
        <m:r>
          <m:t>​</m:t>
        </m:r>
        <m:r>
          <m:t>1.0</m:t>
        </m:r>
      </m:oMath>
      <w:r>
        <w:t xml:space="preserve">); C2 = viab+sens (</w:t>
      </w:r>
      <m:oMath>
        <m:r>
          <m:rPr>
            <m:sty m:val="p"/>
          </m:rPr>
          <m:t>+</m:t>
        </m:r>
        <m:sSub>
          <m:e>
            <m:r>
              <m:t>s</m:t>
            </m:r>
          </m:e>
          <m:sub>
            <m:r>
              <m:rPr>
                <m:nor/>
                <m:sty m:val="p"/>
              </m:rPr>
              <m:t>sens</m:t>
            </m:r>
          </m:sub>
        </m:sSub>
        <m:r>
          <m:t>​</m:t>
        </m:r>
        <m:r>
          <m:rPr>
            <m:sty m:val="p"/>
          </m:rPr>
          <m:t>=</m:t>
        </m:r>
        <m:r>
          <m:t>​</m:t>
        </m:r>
        <m:r>
          <m:t>0.3</m:t>
        </m:r>
      </m:oMath>
      <w:r>
        <w:t xml:space="preserve">); C3 = viab+sens+SA (</w:t>
      </w:r>
      <m:oMath>
        <m:r>
          <m:rPr>
            <m:sty m:val="p"/>
          </m:rPr>
          <m:t>+</m:t>
        </m:r>
        <m:sSub>
          <m:e>
            <m:r>
              <m:t>s</m:t>
            </m:r>
          </m:e>
          <m:sub>
            <m:r>
              <m:rPr>
                <m:nor/>
                <m:sty m:val="p"/>
              </m:rPr>
              <m:t>SA</m:t>
            </m:r>
          </m:sub>
        </m:sSub>
        <m:r>
          <m:t>​</m:t>
        </m:r>
        <m:r>
          <m:rPr>
            <m:sty m:val="p"/>
          </m:rPr>
          <m:t>=</m:t>
        </m:r>
        <m:r>
          <m:t>​</m:t>
        </m:r>
        <m:r>
          <m:t>0.15</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25"/>
        <w:gridCol w:w="900"/>
        <w:gridCol w:w="1265"/>
        <w:gridCol w:w="1034"/>
        <w:gridCol w:w="1013"/>
        <w:gridCol w:w="831"/>
        <w:gridCol w:w="10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SNN to LM</w:t>
            </w:r>
          </w:p>
        </w:tc>
        <w:tc>
          <w:tcPr>
            <w:tcBorders>
              <w:bottom w:val="single" w:sz="8" w:space="0" w:color="auto"/>
            </w:tcBorders>
            <w:vAlign w:val="center"/>
          </w:tcPr>
          <w:p>
            <w:pPr>
              <w:pStyle w:val="Compact"/>
              <w:suppressAutoHyphens/>
              <w:jc w:val="center"/>
            </w:pPr>
            <w:r>
              <w:rPr>
                <w:b/>
                <w:sz w:val="18"/>
                <w:szCs w:val="18"/>
              </w:rPr>
              <w:t xml:space="preserve">BM scaffolds</w:t>
            </w:r>
          </w:p>
        </w:tc>
      </w:tr>
      <w:tr>
        <w:tc>
          <w:tcPr>
            <w:vAlign w:val="center"/>
          </w:tcPr>
          <w:p>
            <w:pPr>
              <w:pStyle w:val="Compact"/>
              <w:suppressAutoHyphens/>
              <w:jc w:val="center"/>
            </w:pPr>
            <w:r>
              <w:rPr>
                <w:sz w:val="18"/>
                <w:szCs w:val="18"/>
              </w:rPr>
              <w:t xml:space="preserve">C0 unguided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0.671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1262</w:t>
            </w:r>
            <w:r>
              <w:rPr>
                <w:sz w:val="18"/>
                <w:szCs w:val="18"/>
              </w:rPr>
              <w:t xml:space="preserve"> </w:t>
            </w:r>
            <m:oMath>
              <m:r>
                <w:rPr>
                  <w:sz w:val="18"/>
                  <w:szCs w:val="18"/>
                </w:rPr>
                <m:rPr>
                  <m:sty m:val="p"/>
                </m:rPr>
                <m:t>±</m:t>
              </m:r>
            </m:oMath>
            <w:r>
              <w:rPr>
                <w:sz w:val="18"/>
                <w:szCs w:val="18"/>
              </w:rPr>
              <w:t xml:space="preserve"> </w:t>
            </w:r>
            <w:r>
              <w:rPr>
                <w:sz w:val="18"/>
                <w:szCs w:val="18"/>
              </w:rPr>
              <w:t xml:space="preserve">10</w:t>
            </w:r>
          </w:p>
        </w:tc>
      </w:tr>
      <w:tr>
        <w:tc>
          <w:tcPr>
            <w:vAlign w:val="center"/>
          </w:tcPr>
          <w:p>
            <w:pPr>
              <w:pStyle w:val="Compact"/>
              <w:suppressAutoHyphens/>
              <w:jc w:val="center"/>
            </w:pPr>
            <w:r>
              <w:rPr>
                <w:sz w:val="18"/>
                <w:szCs w:val="18"/>
              </w:rPr>
              <w:t xml:space="preserve">C1 viab-only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0.660</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0.830</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1113</w:t>
            </w:r>
            <w:r>
              <w:rPr>
                <w:sz w:val="18"/>
                <w:szCs w:val="18"/>
              </w:rPr>
              <w:t xml:space="preserve"> </w:t>
            </w:r>
            <m:oMath>
              <m:r>
                <w:rPr>
                  <w:sz w:val="18"/>
                  <w:szCs w:val="18"/>
                </w:rPr>
                <m:rPr>
                  <m:sty m:val="p"/>
                </m:rPr>
                <m:t>±</m:t>
              </m:r>
            </m:oMath>
            <w:r>
              <w:rPr>
                <w:sz w:val="18"/>
                <w:szCs w:val="18"/>
              </w:rPr>
              <w:t xml:space="preserve"> </w:t>
            </w:r>
            <w:r>
              <w:rPr>
                <w:sz w:val="18"/>
                <w:szCs w:val="18"/>
              </w:rPr>
              <w:t xml:space="preserve">21</w:t>
            </w:r>
          </w:p>
        </w:tc>
      </w:tr>
      <w:tr>
        <w:tc>
          <w:tcPr>
            <w:vAlign w:val="center"/>
          </w:tcPr>
          <w:p>
            <w:pPr>
              <w:pStyle w:val="Compact"/>
              <w:suppressAutoHyphens/>
              <w:jc w:val="center"/>
            </w:pPr>
            <w:r>
              <w:rPr>
                <w:sz w:val="18"/>
                <w:szCs w:val="18"/>
              </w:rPr>
              <w:t xml:space="preserve">C2 viab+sens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0.657</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0.822</w:t>
            </w:r>
            <w:r>
              <w:rPr>
                <w:sz w:val="18"/>
                <w:szCs w:val="18"/>
              </w:rPr>
              <w:t xml:space="preserve"> </w:t>
            </w:r>
            <m:oMath>
              <m:r>
                <w:rPr>
                  <w:sz w:val="18"/>
                  <w:szCs w:val="18"/>
                </w:rPr>
                <m:rPr>
                  <m:sty m:val="p"/>
                </m:rPr>
                <m:t>±</m:t>
              </m:r>
            </m:oMath>
            <w:r>
              <w:rPr>
                <w:sz w:val="18"/>
                <w:szCs w:val="18"/>
              </w:rPr>
              <w:t xml:space="preserve"> </w:t>
            </w:r>
            <w:r>
              <w:rPr>
                <w:sz w:val="18"/>
                <w:szCs w:val="18"/>
              </w:rPr>
              <w:t xml:space="preserve">0.001</w:t>
            </w:r>
          </w:p>
        </w:tc>
        <w:tc>
          <w:tcPr>
            <w:vAlign w:val="center"/>
          </w:tcPr>
          <w:p>
            <w:pPr>
              <w:pStyle w:val="Compact"/>
              <w:suppressAutoHyphens/>
              <w:jc w:val="center"/>
            </w:pPr>
            <w:r>
              <w:rPr>
                <w:sz w:val="18"/>
                <w:szCs w:val="18"/>
              </w:rPr>
              <w:t xml:space="preserve">0.223</w:t>
            </w:r>
            <w:r>
              <w:rPr>
                <w:sz w:val="18"/>
                <w:szCs w:val="18"/>
              </w:rPr>
              <w:t xml:space="preserve"> </w:t>
            </w:r>
            <m:oMath>
              <m:r>
                <w:rPr>
                  <w:sz w:val="18"/>
                  <w:szCs w:val="18"/>
                </w:rPr>
                <m:rPr>
                  <m:sty m:val="p"/>
                </m:rPr>
                <m:t>±</m:t>
              </m:r>
            </m:oMath>
            <w:r>
              <w:rPr>
                <w:sz w:val="18"/>
                <w:szCs w:val="18"/>
              </w:rPr>
              <w:t xml:space="preserve"> </w:t>
            </w:r>
            <w:r>
              <w:rPr>
                <w:sz w:val="18"/>
                <w:szCs w:val="18"/>
              </w:rPr>
              <w:t xml:space="preserve">0.009</w:t>
            </w:r>
          </w:p>
        </w:tc>
        <w:tc>
          <w:tcPr>
            <w:vAlign w:val="center"/>
          </w:tcPr>
          <w:p>
            <w:pPr>
              <w:pStyle w:val="Compact"/>
              <w:suppressAutoHyphens/>
              <w:jc w:val="center"/>
            </w:pPr>
            <w:r>
              <w:rPr>
                <w:sz w:val="18"/>
                <w:szCs w:val="18"/>
              </w:rPr>
              <w:t xml:space="preserve">815</w:t>
            </w:r>
            <w:r>
              <w:rPr>
                <w:sz w:val="18"/>
                <w:szCs w:val="18"/>
              </w:rPr>
              <w:t xml:space="preserve"> </w:t>
            </w:r>
            <m:oMath>
              <m:r>
                <w:rPr>
                  <w:sz w:val="18"/>
                  <w:szCs w:val="18"/>
                </w:rPr>
                <m:rPr>
                  <m:sty m:val="p"/>
                </m:rPr>
                <m:t>±</m:t>
              </m:r>
            </m:oMath>
            <w:r>
              <w:rPr>
                <w:sz w:val="18"/>
                <w:szCs w:val="18"/>
              </w:rPr>
              <w:t xml:space="preserve"> </w:t>
            </w:r>
            <w:r>
              <w:rPr>
                <w:sz w:val="18"/>
                <w:szCs w:val="18"/>
              </w:rPr>
              <w:t xml:space="preserve">23</w:t>
            </w:r>
          </w:p>
        </w:tc>
      </w:tr>
      <w:tr>
        <w:tc>
          <w:tcPr>
            <w:vAlign w:val="center"/>
          </w:tcPr>
          <w:p>
            <w:pPr>
              <w:pStyle w:val="Compact"/>
              <w:suppressAutoHyphens/>
              <w:jc w:val="center"/>
            </w:pPr>
            <w:r>
              <w:rPr>
                <w:sz w:val="18"/>
                <w:szCs w:val="18"/>
              </w:rPr>
              <w:t xml:space="preserve">C3 viab+sens+SA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0.617</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0.818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0.210</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659</w:t>
            </w:r>
            <w:r>
              <w:rPr>
                <w:sz w:val="18"/>
                <w:szCs w:val="18"/>
              </w:rPr>
              <w:t xml:space="preserve"> </w:t>
            </w:r>
            <m:oMath>
              <m:r>
                <w:rPr>
                  <w:sz w:val="18"/>
                  <w:szCs w:val="18"/>
                </w:rPr>
                <m:rPr>
                  <m:sty m:val="p"/>
                </m:rPr>
                <m:t>±</m:t>
              </m:r>
            </m:oMath>
            <w:r>
              <w:rPr>
                <w:sz w:val="18"/>
                <w:szCs w:val="18"/>
              </w:rPr>
              <w:t xml:space="preserve"> </w:t>
            </w:r>
            <w:r>
              <w:rPr>
                <w:sz w:val="18"/>
                <w:szCs w:val="18"/>
              </w:rPr>
              <w:t xml:space="preserve">18</w:t>
            </w:r>
          </w:p>
        </w:tc>
      </w:tr>
    </w:tbl>
    <w:p>
      <w:pPr>
        <w:pStyle w:val="MDPI18keywords"/>
        <w:ind w:left="2608"/>
      </w:pPr>
      <w:r>
        <w:t xml:space="preserve">Five readings of this table (Table D.4):</w:t>
      </w:r>
    </w:p>
    <w:p>
      <w:pPr>
        <w:pStyle w:val="Compact"/>
      </w:pPr>
      <w:r>
        <w:rPr>
          <w:b/>
          <w:bCs/>
        </w:rPr>
        <w:t xml:space="preserve">Validity is 100 %</w:t>
      </w:r>
      <w:r>
        <w:t xml:space="preserve"> </w:t>
      </w:r>
      <w:r>
        <w:t xml:space="preserve">for all conditions: the LIMO non-autoregressive parallel decoder, fine-tuned on the 326 k energetic corpus, produces RDKit-parseable SMILES at convergence regardless of the latent perturbation. Validity is measured by calling</w:t>
      </w:r>
      <w:r>
        <w:t xml:space="preserve"> </w:t>
      </w:r>
      <w:r>
        <w:rPr>
          <w:rStyle w:val="VerbatimChar"/>
        </w:rPr>
        <w:t xml:space="preserve">RDKit.Chem.MolFromSmiles</w:t>
      </w:r>
      <w:r>
        <w:t xml:space="preserve"> </w:t>
      </w:r>
      <w:r>
        <w:t xml:space="preserve">on every decoder output; any output for which</w:t>
      </w:r>
      <w:r>
        <w:t xml:space="preserve"> </w:t>
      </w:r>
      <w:r>
        <w:rPr>
          <w:rStyle w:val="VerbatimChar"/>
        </w:rPr>
        <w:t xml:space="preserve">MolFromSmiles</w:t>
      </w:r>
      <w:r>
        <w:t xml:space="preserve"> </w:t>
      </w:r>
      <w:r>
        <w:t xml:space="preserve">returns</w:t>
      </w:r>
      <w:r>
        <w:t xml:space="preserve"> </w:t>
      </w:r>
      <w:r>
        <w:rPr>
          <w:rStyle w:val="VerbatimChar"/>
        </w:rPr>
        <w:t xml:space="preserve">None</w:t>
      </w:r>
      <w:r>
        <w:t xml:space="preserve"> </w:t>
      </w:r>
      <w:r>
        <w:t xml:space="preserve">is counted as invalid (validity = 0). All validity figures in Table D.4 and Table D.4b are computed on this basis. This is consistent with the SELFIES-as-decode-vocabulary guarantee but stronger because the LIMO decoder's argmax may produce SELFIES that round-trip to non-canonical or strained chemistry; here it does not.</w:t>
      </w:r>
    </w:p>
    <w:p>
      <w:pPr>
        <w:pStyle w:val="Compact"/>
      </w:pPr>
      <w:r>
        <w:rPr>
          <w:b/>
          <w:bCs/>
        </w:rPr>
        <w:t xml:space="preserve">Novelty vs the labelled master is &gt;99.8 %</w:t>
      </w:r>
      <w:r>
        <w:t xml:space="preserve"> </w:t>
      </w:r>
      <w:r>
        <w:t xml:space="preserve">for all conditions: nearly every generated SMILES is absent from our 65 k labelled corpus. This corroborates the Section 2.3 Tanimoto-stratified novelty result (median NN-Tanimoto 0.32–0.36) and confirms that the diffusion sampler is not memorising training rows.</w:t>
      </w:r>
    </w:p>
    <w:p>
      <w:pPr>
        <w:pStyle w:val="Compact"/>
      </w:pPr>
      <w:r>
        <w:rPr>
          <w:b/>
          <w:bCs/>
        </w:rPr>
        <w:t xml:space="preserve">Per-condition uniqueness varies substantially</w:t>
      </w:r>
      <w:r>
        <w:t xml:space="preserve">: 0.728 (unguided) to 0.572 (viab+sens+hazard). Stronger guidance focuses the candidate set, producing more repeated SMILES, an expected and interpretable side-effect of gradient steering.</w:t>
      </w:r>
    </w:p>
    <w:p>
      <w:pPr>
        <w:pStyle w:val="Compact"/>
      </w:pPr>
      <w:r>
        <w:rPr>
          <w:b/>
          <w:bCs/>
        </w:rPr>
        <w:t xml:space="preserve">Bemis–Murcko scaffold count varies 2×</w:t>
      </w:r>
      <w:r>
        <w:t xml:space="preserve"> </w:t>
      </w:r>
      <w:r>
        <w:t xml:space="preserve">across conditions (62 to 165 from the same 10k samples). Hazard-only (C3) produces the most scaffold diversity (165), unguided (C0) is intermediate (125), and the combined viab+sens+hazard (C2) is the most focused (71). This is the cleanest</w:t>
      </w:r>
      <w:r>
        <w:t xml:space="preserve"> </w:t>
      </w:r>
      <w:r>
        <w:rPr>
          <w:i/>
          <w:iCs/>
        </w:rPr>
        <w:t xml:space="preserve">quantitative</w:t>
      </w:r>
      <w:r>
        <w:t xml:space="preserve"> </w:t>
      </w:r>
      <w:r>
        <w:t xml:space="preserve">demonstration that per-head guidance steers chemistry class, not just metric values.</w:t>
      </w:r>
    </w:p>
    <w:p>
      <w:pPr>
        <w:pStyle w:val="Compact"/>
      </w:pPr>
      <w:r>
        <w:rPr>
          <w:b/>
          <w:bCs/>
        </w:rPr>
        <w:t xml:space="preserve">PAINS pass rate is 77–86 %</w:t>
      </w:r>
      <w: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(Section 4), and it scales as expected with guidance strength (rejection rate rises modestly under guidance because guidance pushes into denser energetic-chemistry regions where the SMARTS catalog has more triggers).</w:t>
      </w:r>
    </w:p>
    <w:p>
      <w:pPr>
        <w:pStyle w:val="MDPI18keywords"/>
        <w:ind w:left="2608"/>
      </w:pPr>
      <w:r>
        <w:rPr>
          <w:b/>
          <w:bCs/>
        </w:rPr>
        <w:t xml:space="preserve">Fréchet ChemNet Distance (FCD).</w:t>
      </w:r>
      <w:r>
        <w:t xml:space="preserve"> </w:t>
      </w:r>
      <w:r>
        <w:t xml:space="preserve">We additionally compute FCD</w:t>
      </w:r>
      <w:r>
        <w:t xml:space="preserve"> </w:t>
      </w:r>
      <w:hyperlink w:anchor="ref-preuer2018fcd">
        <w:r>
          <w:rPr>
            <w:rStyle w:val="Hyperlink"/>
          </w:rPr>
          <w:t xml:space="preserve">[47]</w:t>
        </w:r>
      </w:hyperlink>
      <w:r>
        <w:t xml:space="preserve"> </w:t>
      </w:r>
      <w: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MDPI18keywords"/>
        <w:ind w:left="2608"/>
      </w:pPr>
      <w:r>
        <w:rPr>
          <w:b/>
          <w:bCs/>
        </w:rPr>
        <w:t xml:space="preserve">Table D.5.</w:t>
      </w:r>
      <w:r>
        <w:t xml:space="preserve"> </w:t>
      </w:r>
      <w:r>
        <w:t xml:space="preserve">Fréchet ChemNet Distance (FCD) of each method/condition's 10 000-SMILES output against a 5 000-row sample of the labelled master corpus, mean </w:t>
      </w:r>
      <m:oMath>
        <m:r>
          <m:rPr>
            <m:sty m:val="p"/>
          </m:rPr>
          <m:t>±</m:t>
        </m:r>
      </m:oMath>
      <w: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(Table 7):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503"/>
        <w:gridCol w:w="3355"/>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 (n_seeds)</w:t>
            </w:r>
          </w:p>
        </w:tc>
        <w:tc>
          <w:tcPr>
            <w:tcBorders>
              <w:bottom w:val="single" w:sz="8" w:space="0" w:color="auto"/>
            </w:tcBorders>
            <w:vAlign w:val="center"/>
          </w:tcPr>
          <w:p>
            <w:pPr>
              <w:pStyle w:val="Compact"/>
              <w:suppressAutoHyphens/>
              <w:jc w:val="center"/>
            </w:pPr>
            <w:r>
              <w:rPr>
                <w:b/>
                <w:sz w:val="18"/>
                <w:szCs w:val="18"/>
              </w:rPr>
              <w:t xml:space="preserve">FCD vs labelled master (mean ± std)</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 3 seeds, mean)</w:t>
            </w:r>
          </w:p>
        </w:tc>
        <w:tc>
          <w:tcPr>
            <w:vAlign w:val="center"/>
          </w:tcPr>
          <w:p>
            <w:pPr>
              <w:pStyle w:val="Compact"/>
              <w:suppressAutoHyphens/>
              <w:jc w:val="center"/>
            </w:pPr>
            <w:r>
              <w:rPr>
                <w:b/>
                <w:bCs/>
                <w:sz w:val="18"/>
                <w:szCs w:val="18"/>
              </w:rPr>
              <w:t xml:space="preserve">0.52</w:t>
            </w:r>
          </w:p>
        </w:tc>
      </w:tr>
      <w:tr>
        <w:tc>
          <w:tcPr>
            <w:vAlign w:val="center"/>
          </w:tcPr>
          <w:p>
            <w:pPr>
              <w:pStyle w:val="Compact"/>
              <w:suppressAutoHyphens/>
              <w:jc w:val="center"/>
            </w:pPr>
            <w:r>
              <w:rPr>
                <w:sz w:val="18"/>
                <w:szCs w:val="18"/>
              </w:rPr>
              <w:t xml:space="preserve">DGLD C3 hazard-only (3 seeds)</w:t>
            </w:r>
          </w:p>
        </w:tc>
        <w:tc>
          <w:tcPr>
            <w:vAlign w:val="center"/>
          </w:tcPr>
          <w:p>
            <w:pPr>
              <w:pStyle w:val="Compact"/>
              <w:suppressAutoHyphens/>
              <w:jc w:val="center"/>
            </w:pPr>
            <w:r>
              <w:rPr>
                <w:sz w:val="18"/>
                <w:szCs w:val="18"/>
              </w:rPr>
              <w:t xml:space="preserve">24.04</w:t>
            </w:r>
            <w:r>
              <w:rPr>
                <w:sz w:val="18"/>
                <w:szCs w:val="18"/>
              </w:rPr>
              <w:t xml:space="preserve"> </w:t>
            </w:r>
            <m:oMath>
              <m:r>
                <w:rPr>
                  <w:sz w:val="18"/>
                  <w:szCs w:val="18"/>
                </w:rPr>
                <m:rPr>
                  <m:sty m:val="p"/>
                </m:rPr>
                <m:t>±</m:t>
              </m:r>
            </m:oMath>
            <w:r>
              <w:rPr>
                <w:sz w:val="18"/>
                <w:szCs w:val="18"/>
              </w:rPr>
              <w:t xml:space="preserve"> </w:t>
            </w:r>
            <w:r>
              <w:rPr>
                <w:sz w:val="18"/>
                <w:szCs w:val="18"/>
              </w:rPr>
              <w:t xml:space="preserve">0.12</w:t>
            </w:r>
          </w:p>
        </w:tc>
      </w:tr>
      <w:tr>
        <w:tc>
          <w:tcPr>
            <w:vAlign w:val="center"/>
          </w:tcPr>
          <w:p>
            <w:pPr>
              <w:pStyle w:val="Compact"/>
              <w:suppressAutoHyphens/>
              <w:jc w:val="center"/>
            </w:pPr>
            <w:r>
              <w:rPr>
                <w:sz w:val="18"/>
                <w:szCs w:val="18"/>
              </w:rPr>
              <w:t xml:space="preserve">DGLD C0 unguided (6 seeds)</w:t>
            </w:r>
          </w:p>
        </w:tc>
        <w:tc>
          <w:tcPr>
            <w:vAlign w:val="center"/>
          </w:tcPr>
          <w:p>
            <w:pPr>
              <w:pStyle w:val="Compact"/>
              <w:suppressAutoHyphens/>
              <w:jc w:val="center"/>
            </w:pPr>
            <w:r>
              <w:rPr>
                <w:sz w:val="18"/>
                <w:szCs w:val="18"/>
              </w:rPr>
              <w:t xml:space="preserve">24.99</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C2 viab+sens+hazard (3 seeds)</w:t>
            </w:r>
          </w:p>
        </w:tc>
        <w:tc>
          <w:tcPr>
            <w:vAlign w:val="center"/>
          </w:tcPr>
          <w:p>
            <w:pPr>
              <w:pStyle w:val="Compact"/>
              <w:suppressAutoHyphens/>
              <w:jc w:val="center"/>
            </w:pPr>
            <w:r>
              <w:rPr>
                <w:sz w:val="18"/>
                <w:szCs w:val="18"/>
              </w:rPr>
              <w:t xml:space="preserve">25.11</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C1 viab (SA-axis, 3 seeds)</w:t>
            </w:r>
          </w:p>
        </w:tc>
        <w:tc>
          <w:tcPr>
            <w:vAlign w:val="center"/>
          </w:tcPr>
          <w:p>
            <w:pPr>
              <w:pStyle w:val="Compact"/>
              <w:suppressAutoHyphens/>
              <w:jc w:val="center"/>
            </w:pPr>
            <w:r>
              <w:rPr>
                <w:sz w:val="18"/>
                <w:szCs w:val="18"/>
              </w:rPr>
              <w:t xml:space="preserve">25.41</w:t>
            </w:r>
            <w:r>
              <w:rPr>
                <w:sz w:val="18"/>
                <w:szCs w:val="18"/>
              </w:rPr>
              <w:t xml:space="preserve"> </w:t>
            </w:r>
            <m:oMath>
              <m:r>
                <w:rPr>
                  <w:sz w:val="18"/>
                  <w:szCs w:val="18"/>
                </w:rPr>
                <m:rPr>
                  <m:sty m:val="p"/>
                </m:rPr>
                <m:t>±</m:t>
              </m:r>
            </m:oMath>
            <w:r>
              <w:rPr>
                <w:sz w:val="18"/>
                <w:szCs w:val="18"/>
              </w:rPr>
              <w:t xml:space="preserve"> </w:t>
            </w:r>
            <w:r>
              <w:rPr>
                <w:sz w:val="18"/>
                <w:szCs w:val="18"/>
              </w:rPr>
              <w:t xml:space="preserve">0.13</w:t>
            </w:r>
          </w:p>
        </w:tc>
      </w:tr>
      <w:tr>
        <w:tc>
          <w:tcPr>
            <w:vAlign w:val="center"/>
          </w:tcPr>
          <w:p>
            <w:pPr>
              <w:pStyle w:val="Compact"/>
              <w:suppressAutoHyphens/>
              <w:jc w:val="center"/>
            </w:pPr>
            <w:r>
              <w:rPr>
                <w:sz w:val="18"/>
                <w:szCs w:val="18"/>
              </w:rPr>
              <w:t xml:space="preserve">DGLD C1 viab+sens (hazard-axis, 3 seeds)</w:t>
            </w:r>
          </w:p>
        </w:tc>
        <w:tc>
          <w:tcPr>
            <w:vAlign w:val="center"/>
          </w:tcPr>
          <w:p>
            <w:pPr>
              <w:pStyle w:val="Compact"/>
              <w:suppressAutoHyphens/>
              <w:jc w:val="center"/>
            </w:pPr>
            <w:r>
              <w:rPr>
                <w:sz w:val="18"/>
                <w:szCs w:val="18"/>
              </w:rPr>
              <w:t xml:space="preserve">25.86</w:t>
            </w:r>
            <w:r>
              <w:rPr>
                <w:sz w:val="18"/>
                <w:szCs w:val="18"/>
              </w:rPr>
              <w:t xml:space="preserve"> </w:t>
            </w:r>
            <m:oMath>
              <m:r>
                <w:rPr>
                  <w:sz w:val="18"/>
                  <w:szCs w:val="18"/>
                </w:rPr>
                <m:rPr>
                  <m:sty m:val="p"/>
                </m:rPr>
                <m:t>±</m:t>
              </m:r>
            </m:oMath>
            <w:r>
              <w:rPr>
                <w:sz w:val="18"/>
                <w:szCs w:val="18"/>
              </w:rPr>
              <w:t xml:space="preserve"> </w:t>
            </w:r>
            <w:r>
              <w:rPr>
                <w:sz w:val="18"/>
                <w:szCs w:val="18"/>
              </w:rPr>
              <w:t xml:space="preserve">0.02</w:t>
            </w:r>
          </w:p>
        </w:tc>
      </w:tr>
      <w:tr>
        <w:tc>
          <w:tcPr>
            <w:vAlign w:val="center"/>
          </w:tcPr>
          <w:p>
            <w:pPr>
              <w:pStyle w:val="Compact"/>
              <w:suppressAutoHyphens/>
              <w:jc w:val="center"/>
            </w:pPr>
            <w:r>
              <w:rPr>
                <w:sz w:val="18"/>
                <w:szCs w:val="18"/>
              </w:rPr>
              <w:t xml:space="preserve">DGLD C2 viab+sens (SA-axis, 3 seeds)</w:t>
            </w:r>
          </w:p>
        </w:tc>
        <w:tc>
          <w:tcPr>
            <w:vAlign w:val="center"/>
          </w:tcPr>
          <w:p>
            <w:pPr>
              <w:pStyle w:val="Compact"/>
              <w:suppressAutoHyphens/>
              <w:jc w:val="center"/>
            </w:pPr>
            <w:r>
              <w:rPr>
                <w:sz w:val="18"/>
                <w:szCs w:val="18"/>
              </w:rPr>
              <w:t xml:space="preserve">25.93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r>
      <w:tr>
        <w:tc>
          <w:tcPr>
            <w:vAlign w:val="center"/>
          </w:tcPr>
          <w:p>
            <w:pPr>
              <w:pStyle w:val="Compact"/>
              <w:suppressAutoHyphens/>
              <w:jc w:val="center"/>
            </w:pPr>
            <w:r>
              <w:rPr>
                <w:b/>
                <w:bCs/>
                <w:sz w:val="18"/>
                <w:szCs w:val="18"/>
              </w:rPr>
              <w:t xml:space="preserve">DGLD C3 viab+sens+SA (SA-axis, 3 seeds)</w:t>
            </w:r>
          </w:p>
        </w:tc>
        <w:tc>
          <w:tcPr>
            <w:vAlign w:val="center"/>
          </w:tcPr>
          <w:p>
            <w:pPr>
              <w:pStyle w:val="Compact"/>
              <w:suppressAutoHyphens/>
              <w:jc w:val="center"/>
            </w:pPr>
            <w:r>
              <w:rPr>
                <w:b/>
                <w:bCs/>
                <w:sz w:val="18"/>
                <w:szCs w:val="18"/>
              </w:rPr>
              <w:t xml:space="preserve">26.47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0.06</w:t>
            </w:r>
          </w:p>
        </w:tc>
      </w:tr>
    </w:tbl>
    <w:p>
      <w:pPr>
        <w:pStyle w:val="MDPI18keywords"/>
        <w:ind w:left="2608"/>
      </w:pPr>
      <w:r>
        <w:t xml:space="preserve">The result is methodologically informative and self-consistent with the Supplementary Information Pareto-reranker composite ranking: the SMILES-LSTM no-diffusion baseline produces chemistry that is distributionally</w:t>
      </w:r>
      <w:r>
        <w:t xml:space="preserve"> </w:t>
      </w:r>
      <w:r>
        <w:rPr>
          <w:i/>
          <w:iCs/>
        </w:rPr>
        <w:t xml:space="preserve">indistinguishable</w:t>
      </w:r>
      <w:r>
        <w:t xml:space="preserve"> </w:t>
      </w:r>
      <w:r>
        <w:t xml:space="preserve">from the labelled master (FCD = 0.52, the floor for a generic energetic-flavoured SMILES generator trained on the same corpus), but its top-1 Pareto-reranker composite is 0.083 (the Supplementary Information); a generative model that mimics the training distribution well by FCD does</w:t>
      </w:r>
      <w:r>
        <w:t xml:space="preserve"> </w:t>
      </w:r>
      <w:r>
        <w:rPr>
          <w:i/>
          <w:iCs/>
        </w:rPr>
        <w:t xml:space="preserve">not</w:t>
      </w:r>
      <w:r>
        <w:t xml:space="preserve"> </w:t>
      </w:r>
      <w: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the Supplementary Information).</w:t>
      </w:r>
      <w:r>
        <w:t xml:space="preserve"> </w:t>
      </w:r>
      <w:r>
        <w:rPr>
          <w:b/>
          <w:bCs/>
        </w:rPr>
        <w:t xml:space="preserve">FCD and Pareto-reranker composite are anti-correlated across DGLD conditions:</w:t>
      </w:r>
      <w:r>
        <w:t xml:space="preserve"> </w:t>
      </w:r>
      <w: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Supplementary Information composite.</w:t>
      </w:r>
    </w:p>
    <w:p>
      <w:pPr>
        <w:pStyle w:val="MDPI23heading3"/>
        <w:ind w:left="2608"/>
      </w:pPr>
      <w:r>
        <w:t xml:space="preserve">D.12 Hazard-head post-hoc filtering</w:t>
      </w:r>
    </w:p>
    <w:p>
      <w:pPr>
        <w:pStyle w:val="MDPI18keywords"/>
        <w:ind w:left="2608"/>
      </w:pPr>
      <w:r>
        <w:t xml:space="preserve">Applying Section 4 hazard-head-as-rerank-weight to the merged top-100, scored against the chemist-curated SMARTS catalog, gives the following alignment:</w:t>
      </w:r>
    </w:p>
    <w:p>
      <w:pPr>
        <w:pStyle w:val="MDPI18keywords"/>
        <w:ind w:left="2608"/>
      </w:pPr>
      <w:r>
        <w:rPr>
          <w:b/>
          <w:bCs/>
        </w:rPr>
        <w:t xml:space="preserve">Table D.6.</w:t>
      </w:r>
      <w:r>
        <w:t xml:space="preserve"> </w:t>
      </w:r>
      <w: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t xml:space="preserve">) count; intersection (perfect recall: every SMARTS reject is also flagged by the head); hazard-head-only flags (head catches motifs the rule didn't cover); both pass (clean by both gates).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100"/>
        <w:gridCol w:w="2758"/>
      </w:tblGrid>
      <w:tr>
        <w:trPr>
          <w:tblHeader w:val="on"/>
        </w:trPr>
        <w:tc>
          <w:tcPr>
            <w:tcBorders>
              <w:bottom w:val="single" w:sz="8" w:space="0" w:color="auto"/>
            </w:tcBorders>
            <w:vAlign w:val="center"/>
          </w:tcPr>
          <w:p>
            <w:pPr>
              <w:pStyle w:val="Compact"/>
              <w:suppressAutoHyphens/>
              <w:jc w:val="center"/>
            </w:pPr>
            <w:r>
              <w:rPr>
                <w:b/>
                <w:sz w:val="18"/>
                <w:szCs w:val="18"/>
              </w:rPr>
              <w:t xml:space="preserve">Test</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energetic-SMARTS gate reject</w:t>
            </w:r>
          </w:p>
        </w:tc>
        <w:tc>
          <w:tcPr>
            <w:vAlign w:val="center"/>
          </w:tcPr>
          <w:p>
            <w:pPr>
              <w:pStyle w:val="Compact"/>
              <w:suppressAutoHyphens/>
              <w:jc w:val="center"/>
            </w:pPr>
            <w:r>
              <w:rPr>
                <w:sz w:val="18"/>
                <w:szCs w:val="18"/>
              </w:rPr>
              <w:t xml:space="preserve">23 / 100</w:t>
            </w:r>
          </w:p>
        </w:tc>
      </w:tr>
      <w:tr>
        <w:tc>
          <w:tcPr>
            <w:vAlign w:val="center"/>
          </w:tcPr>
          <w:p>
            <w:pPr>
              <w:pStyle w:val="Compact"/>
              <w:suppressAutoHyphens/>
              <w:jc w:val="center"/>
            </w:pPr>
            <w:r>
              <w:rPr>
                <w:sz w:val="18"/>
                <w:szCs w:val="18"/>
              </w:rPr>
              <w:t xml:space="preserve">hazard head P &gt; 0.5</w:t>
            </w:r>
          </w:p>
        </w:tc>
        <w:tc>
          <w:tcPr>
            <w:vAlign w:val="center"/>
          </w:tcPr>
          <w:p>
            <w:pPr>
              <w:pStyle w:val="Compact"/>
              <w:suppressAutoHyphens/>
              <w:jc w:val="center"/>
            </w:pPr>
            <w:r>
              <w:rPr>
                <w:sz w:val="18"/>
                <w:szCs w:val="18"/>
              </w:rPr>
              <w:t xml:space="preserve">89 / 100</w:t>
            </w:r>
          </w:p>
        </w:tc>
      </w:tr>
      <w:tr>
        <w:tc>
          <w:tcPr>
            <w:vAlign w:val="center"/>
          </w:tcPr>
          <w:p>
            <w:pPr>
              <w:pStyle w:val="Compact"/>
              <w:suppressAutoHyphens/>
              <w:jc w:val="center"/>
            </w:pPr>
            <w:r>
              <w:rPr>
                <w:sz w:val="18"/>
                <w:szCs w:val="18"/>
              </w:rPr>
              <w:t xml:space="preserve">both reject (SMARTS ∩ hazard)</w:t>
            </w:r>
          </w:p>
        </w:tc>
        <w:tc>
          <w:tcPr>
            <w:vAlign w:val="center"/>
          </w:tcPr>
          <w:p>
            <w:pPr>
              <w:pStyle w:val="Compact"/>
              <w:suppressAutoHyphens/>
              <w:jc w:val="center"/>
            </w:pPr>
            <w:r>
              <w:rPr>
                <w:b/>
                <w:bCs/>
                <w:sz w:val="18"/>
                <w:szCs w:val="18"/>
              </w:rPr>
              <w:t xml:space="preserve">23 / 23</w:t>
            </w:r>
            <w:r>
              <w:rPr>
                <w:sz w:val="18"/>
                <w:szCs w:val="18"/>
              </w:rPr>
              <w:t xml:space="preserve"> </w:t>
            </w:r>
            <w:r>
              <w:rPr>
                <w:sz w:val="18"/>
                <w:szCs w:val="18"/>
              </w:rPr>
              <w:t xml:space="preserve">(perfect recall)</w:t>
            </w:r>
          </w:p>
        </w:tc>
      </w:tr>
      <w:tr>
        <w:tc>
          <w:tcPr>
            <w:vAlign w:val="center"/>
          </w:tcPr>
          <w:p>
            <w:pPr>
              <w:pStyle w:val="Compact"/>
              <w:suppressAutoHyphens/>
              <w:jc w:val="center"/>
            </w:pPr>
            <w:r>
              <w:rPr>
                <w:sz w:val="18"/>
                <w:szCs w:val="18"/>
              </w:rPr>
              <w:t xml:space="preserve">hazard-only flag (SMARTS missed but head flagged)</w:t>
            </w:r>
          </w:p>
        </w:tc>
        <w:tc>
          <w:tcPr>
            <w:vAlign w:val="center"/>
          </w:tcPr>
          <w:p>
            <w:pPr>
              <w:pStyle w:val="Compact"/>
              <w:suppressAutoHyphens/>
              <w:jc w:val="center"/>
            </w:pPr>
            <w:r>
              <w:rPr>
                <w:sz w:val="18"/>
                <w:szCs w:val="18"/>
              </w:rPr>
              <w:t xml:space="preserve">66 / 100</w:t>
            </w:r>
          </w:p>
        </w:tc>
      </w:tr>
      <w:tr>
        <w:tc>
          <w:tcPr>
            <w:vAlign w:val="center"/>
          </w:tcPr>
          <w:p>
            <w:pPr>
              <w:pStyle w:val="Compact"/>
              <w:suppressAutoHyphens/>
              <w:jc w:val="center"/>
            </w:pPr>
            <w:r>
              <w:rPr>
                <w:sz w:val="18"/>
                <w:szCs w:val="18"/>
              </w:rPr>
              <w:t xml:space="preserve">both pass (SMARTS-ok ∩ hazard</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11 / 100</w:t>
            </w:r>
          </w:p>
        </w:tc>
      </w:tr>
    </w:tbl>
    <w:p>
      <w:pPr>
        <w:pStyle w:val="MDPI18keywords"/>
        <w:ind w:left="2608"/>
      </w:pPr>
      <w:r>
        <w:t xml:space="preserve">The hazard head</w:t>
      </w:r>
      <w:r>
        <w:t xml:space="preserve"> </w:t>
      </w:r>
      <w:r>
        <w:rPr>
          <w:b/>
          <w:bCs/>
        </w:rPr>
        <w:t xml:space="preserve">recovers all 23 chemist-SMARTS rejects with perfect recall on the merged top-100</w:t>
      </w:r>
      <w:r>
        <w:t xml:space="preserve"> </w:t>
      </w:r>
      <w:r>
        <w:t xml:space="preserve">(the chemist-rejects were in the head's training-positive set, so this is partly by construction); a more honest generalisation estimate via 5-fold cross-validation across all 196 hazard-dataset rows gives</w:t>
      </w:r>
      <w:r>
        <w:t xml:space="preserve"> </w:t>
      </w:r>
      <w:r>
        <w:rPr>
          <w:b/>
          <w:bCs/>
        </w:rPr>
        <w:t xml:space="preserve">mean held-out AUROC = 0.91 ± 0.05</w:t>
      </w:r>
      <w:r>
        <w:t xml:space="preserve">, indicating the head genuinely discriminates hazardous vs safe latent-space chemistry rather than overfitting to memorised positives. The head also flags 66 additional candidates from the merged top-100 that the SMARTS catalog let through. Manual inspection of the top-flagged candidates shows a mix of true positives (motifs the hand-written SMARTS rules don't cover but which are similar in latent space to known hazardous chemistry) and false positives (over-conservative latent-neighborhood matches: e.g., the labelled master compound 1-nitro-1H-tetrazol-1-amine surfaces at</w:t>
      </w:r>
      <w:r>
        <w:t xml:space="preserve"> </w:t>
      </w:r>
      <m:oMath>
        <m:sSub>
          <m:e>
            <m:r>
              <m:t>P</m:t>
            </m:r>
          </m:e>
          <m:sub>
            <m:r>
              <m:rPr>
                <m:nor/>
                <m:sty m:val="p"/>
              </m:rPr>
              <m:t>hazard</m:t>
            </m:r>
          </m:sub>
        </m:sSub>
        <m:r>
          <m:rPr>
            <m:sty m:val="p"/>
          </m:rPr>
          <m:t>=</m:t>
        </m:r>
        <m:r>
          <m:t>0.98</m:t>
        </m:r>
      </m:oMath>
      <w:r>
        <w:t xml:space="preserve"> </w:t>
      </w:r>
      <w:r>
        <w:t xml:space="preserve">despite being a published HEDM, suggesting the head learned a broader "high N-density nitramine" feature). The hazard head is therefore used as a</w:t>
      </w:r>
      <w:r>
        <w:t xml:space="preserve"> </w:t>
      </w:r>
      <w:r>
        <w:rPr>
          <w:i/>
          <w:iCs/>
        </w:rPr>
        <w:t xml:space="preserve">soft re-rank weight</w:t>
      </w:r>
      <w:r>
        <w:t xml:space="preserve">, not a hard reject. Threshold</w:t>
      </w:r>
      <w:r>
        <w:t xml:space="preserve"> </w:t>
      </w:r>
      <m:oMath>
        <m:sSub>
          <m:e>
            <m:r>
              <m:t>P</m:t>
            </m:r>
          </m:e>
          <m:sub>
            <m:r>
              <m:rPr>
                <m:nor/>
                <m:sty m:val="p"/>
              </m:rPr>
              <m:t>hazard</m:t>
            </m:r>
          </m:sub>
        </m:sSub>
        <m:r>
          <m:rPr>
            <m:sty m:val="p"/>
          </m:rPr>
          <m:t>&gt;</m:t>
        </m:r>
        <m:r>
          <m:t>0.9</m:t>
        </m:r>
      </m:oMath>
      <w:r>
        <w:t xml:space="preserve"> </w:t>
      </w:r>
      <w:r>
        <w:t xml:space="preserve">reduces the flag count to a more reasonable</w:t>
      </w:r>
      <w:r>
        <w:t xml:space="preserve"> </w:t>
      </w:r>
      <m:oMath>
        <m:r>
          <m:rPr>
            <m:sty m:val="p"/>
          </m:rPr>
          <m:t>∼</m:t>
        </m:r>
      </m:oMath>
      <w:r>
        <w:t xml:space="preserve">50/100; threshold</w:t>
      </w:r>
      <w:r>
        <w:t xml:space="preserve"> </w:t>
      </w:r>
      <m:oMath>
        <m:sSub>
          <m:e>
            <m:r>
              <m:t>P</m:t>
            </m:r>
          </m:e>
          <m:sub>
            <m:r>
              <m:rPr>
                <m:nor/>
                <m:sty m:val="p"/>
              </m:rPr>
              <m:t>hazard</m:t>
            </m:r>
          </m:sub>
        </m:sSub>
        <m:r>
          <m:rPr>
            <m:sty m:val="p"/>
          </m:rPr>
          <m:t>&gt;</m:t>
        </m:r>
        <m:r>
          <m:t>0.5</m:t>
        </m:r>
      </m:oMath>
      <w:r>
        <w:t xml:space="preserve"> </w:t>
      </w:r>
      <w:r>
        <w:t xml:space="preserve">over-rejects.</w:t>
      </w:r>
    </w:p>
    <w:p>
      <w:pPr>
        <w:pStyle w:val="MDPI18keywords"/>
        <w:ind w:left="2608"/>
      </w:pPr>
      <w:r>
        <w:rPr>
          <w:b/>
          <w:bCs/>
        </w:rPr>
        <w:t xml:space="preserve">Why this matters for the methodology.</w:t>
      </w:r>
      <w:r>
        <w:t xml:space="preserve"> </w:t>
      </w:r>
      <w:r>
        <w:t xml:space="preserve">The chemist SMARTS catalog and the hazard head are complementary in a useful way: the SMARTS catalog encodes</w:t>
      </w:r>
      <w:r>
        <w:t xml:space="preserve"> </w:t>
      </w:r>
      <w:r>
        <w:rPr>
          <w:i/>
          <w:iCs/>
        </w:rPr>
        <w:t xml:space="preserve">known motif-level hazards</w:t>
      </w:r>
      <w:r>
        <w:t xml:space="preserve"> </w:t>
      </w:r>
      <w:r>
        <w:t xml:space="preserve">(a hard interpretable rule), while the hazard head encodes</w:t>
      </w:r>
      <w:r>
        <w:t xml:space="preserve"> </w:t>
      </w:r>
      <w:r>
        <w:rPr>
          <w:i/>
          <w:iCs/>
        </w:rPr>
        <w:t xml:space="preserve">latent-space proximity to hazardous chemistry</w:t>
      </w:r>
      <w:r>
        <w:t xml:space="preserve"> </w:t>
      </w:r>
      <w:r>
        <w:t xml:space="preserve">(a soft generalisation that can flag motifs the rule writer didn't anticipate).</w:t>
      </w:r>
    </w:p>
    <w:p>
      <w:pPr>
        <w:pStyle w:val="MDPI23heading3"/>
        <w:ind w:left="2608"/>
      </w:pPr>
      <w:r>
        <w:t xml:space="preserve">D.13 E2 filter-scope note</w:t>
      </w:r>
    </w:p>
    <w:p>
      <w:pPr>
        <w:pStyle w:val="MDPI18keywords"/>
        <w:ind w:left="2608"/>
      </w:pPr>
      <w:r>
        <w:t xml:space="preserve">E2 (gem-dinitro nitramine,</w:t>
      </w:r>
      <w:r>
        <w:t xml:space="preserve"> </w:t>
      </w:r>
      <w:r>
        <w:rPr>
          <w:rStyle w:val="VerbatimChar"/>
        </w:rPr>
        <w:t xml:space="preserve">O=[N+]([O-])NC([N+](=O)[O-])[N+](=O)[O-]</w:t>
      </w:r>
      <w:r>
        <w:t xml:space="preserve">, CH</w:t>
      </w:r>
      <w:r>
        <w:rPr>
          <w:vertAlign w:val="subscript"/>
        </w:rPr>
        <w:t xml:space="preserve">2</w:t>
      </w:r>
      <w:r>
        <w:t xml:space="preserve">N</w:t>
      </w:r>
      <w:r>
        <w:rPr>
          <w:vertAlign w:val="subscript"/>
        </w:rPr>
        <w:t xml:space="preserve">4</w:t>
      </w:r>
      <w:r>
        <w:t xml:space="preserve">O</w:t>
      </w:r>
      <w:r>
        <w:rPr>
          <w:vertAlign w:val="subscript"/>
        </w:rPr>
        <w:t xml:space="preserve">6</w:t>
      </w:r>
      <w:r>
        <w:t xml:space="preserve">) carries 3 nitro groups on a 1-carbon skeleton and should be rejected by Section 4 hard rule "≥3 nitro groups on a 1- or 2-carbon skeleton". The production reranker filter</w:t>
      </w:r>
      <w:r>
        <w:t xml:space="preserve"> </w:t>
      </w:r>
      <w:r>
        <w:rPr>
          <w:rStyle w:val="VerbatimChar"/>
        </w:rPr>
        <w:t xml:space="preserve">chem_redflags.screen()</w:t>
      </w:r>
      <w:r>
        <w:t xml:space="preserve"> </w:t>
      </w:r>
      <w:r>
        <w:t xml:space="preserve">does reject E2 via its</w:t>
      </w:r>
      <w:r>
        <w:t xml:space="preserve"> </w:t>
      </w:r>
      <w:r>
        <w:rPr>
          <w:rStyle w:val="VerbatimChar"/>
        </w:rPr>
        <w:t xml:space="preserve">nC≤2 and n_NO2≥3</w:t>
      </w:r>
      <w:r>
        <w:t xml:space="preserve"> </w:t>
      </w:r>
      <w:r>
        <w:t xml:space="preserve">rule (nC=1, nNO2=3); the lighter</w:t>
      </w:r>
      <w:r>
        <w:t xml:space="preserve"> </w:t>
      </w:r>
      <w:r>
        <w:rPr>
          <w:rStyle w:val="VerbatimChar"/>
        </w:rPr>
        <w:t xml:space="preserve">chem_filter.chem_filter_batch()</w:t>
      </w:r>
      <w:r>
        <w:t xml:space="preserve"> </w:t>
      </w:r>
      <w: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 s</w:t>
      </w:r>
      <w:r>
        <w:rPr>
          <w:vertAlign w:val="superscript"/>
        </w:rPr>
        <w:t xml:space="preserve">−1</w:t>
      </w:r>
      <w:r>
        <w:t xml:space="preserve">, flagged in Table 6) is an upper-bound estimate only.</w:t>
      </w:r>
    </w:p>
    <w:p>
      <w:pPr>
        <w:pStyle w:val="MDPI23heading3"/>
        <w:ind w:left="2608"/>
      </w:pPr>
      <w:r>
        <w:t xml:space="preserve">D.14 AiZynthFinder route detail for L1</w:t>
      </w:r>
    </w:p>
    <w:p>
      <w:pPr>
        <w:pStyle w:val="MDPI18keywords"/>
        <w:ind w:left="2608"/>
      </w:pPr>
      <w:r>
        <w:t xml:space="preserve">This appendix gives the full disconnection narrative for the Section 2.4 AiZynthFinder retrosynthesis audit on L1 (3,4,5-trinitro-1,2-isoxazole), the negative-result discussion for L4, L5, and the nine extension leads, and the drug-domain template-bias argument. The headline is reported in Section 2.4 (1/12 USPTO-template hit rate; L1 reachable in 4 steps with state score 0.50; nine-lead extension reproduces the population finding).</w:t>
      </w:r>
    </w:p>
    <w:p>
      <w:pPr>
        <w:pStyle w:val="MDPI18keywords"/>
        <w:ind w:left="2608"/>
      </w:pPr>
      <w:r>
        <w:rPr>
          <w:b/>
          <w:bCs/>
        </w:rPr>
        <w:t xml:space="preserve">L1 disconnection sequence.</w:t>
      </w:r>
      <w:r>
        <w:t xml:space="preserve"> </w:t>
      </w:r>
      <w:r>
        <w:t xml:space="preserve">Reading</w:t>
      </w:r>
      <w:r>
        <w:t xml:space="preserve"> </w:t>
      </w:r>
      <w:r>
        <w:rPr>
          <w:rStyle w:val="VerbatimChar"/>
        </w:rPr>
        <w:t xml:space="preserve">aizynth_results.json</w:t>
      </w:r>
      <w:r>
        <w:t xml:space="preserve"> </w:t>
      </w:r>
      <w:r>
        <w:t xml:space="preserve">outside-in: the terminal disconnection at the L1 target is a one-step electrophilic ring-nitration of 4,5-dinitro-1,2-isoxazole with HNO</w:t>
      </w:r>
      <w:r>
        <w:rPr>
          <w:vertAlign w:val="subscript"/>
        </w:rPr>
        <w:t xml:space="preserve">3</w:t>
      </w:r>
      <w:r>
        <w:t xml:space="preserve"> </w:t>
      </w:r>
      <w:r>
        <w:t xml:space="preserve">(USPTO template hash</w:t>
      </w:r>
      <w:r>
        <w:t xml:space="preserve"> </w:t>
      </w:r>
      <w:r>
        <w:rPr>
          <w:rStyle w:val="VerbatimChar"/>
        </w:rPr>
        <w:t xml:space="preserve">acb27933</w:t>
      </w:r>
      <w:r>
        <w:t xml:space="preserve">, policy probability 0.156, rank 0). Caveat: 4,5-dinitro-1,2-isoxazole is strongly electron-deficient and a third C-nitration under standard HNO</w:t>
      </w:r>
      <w:r>
        <w:rPr>
          <w:vertAlign w:val="subscript"/>
        </w:rPr>
        <w:t xml:space="preserve">3</w:t>
      </w:r>
      <w:r>
        <w:t xml:space="preserve"> </w:t>
      </w:r>
      <w:r>
        <w:t xml:space="preserve">alone is unlikely at this deactivation level; literature routes for trinitrated five-membered heterocycles use fuming HNO</w:t>
      </w:r>
      <w:r>
        <w:rPr>
          <w:vertAlign w:val="subscript"/>
        </w:rPr>
        <w:t xml:space="preserve">3</w:t>
      </w:r>
      <w:r>
        <w:t xml:space="preserve">/oleum or N</w:t>
      </w:r>
      <w:r>
        <w:rPr>
          <w:vertAlign w:val="subscript"/>
        </w:rPr>
        <w:t xml:space="preserve">2</w:t>
      </w:r>
      <w:r>
        <w:t xml:space="preserve">O</w:t>
      </w:r>
      <w:r>
        <w:rPr>
          <w:vertAlign w:val="subscript"/>
        </w:rPr>
        <w:t xml:space="preserve">5</w:t>
      </w:r>
      <w:r>
        <w:t xml:space="preserve"> </w:t>
      </w:r>
      <w:hyperlink w:anchor="ref-sabatini2018">
        <w:r>
          <w:rPr>
            <w:rStyle w:val="Hyperlink"/>
          </w:rPr>
          <w:t xml:space="preserve">[sabatini2018]</w:t>
        </w:r>
      </w:hyperlink>
      <w: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t xml:space="preserve"> </w:t>
      </w:r>
      <w:r>
        <w:rPr>
          <w:b/>
          <w:bCs/>
        </w:rPr>
        <w:t xml:space="preserve">Hazard note:</w:t>
      </w:r>
      <w:r>
        <w:t xml:space="preserve"> </w:t>
      </w:r>
      <w: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t xml:space="preserve"> </w:t>
      </w:r>
      <w:r>
        <w:t xml:space="preserve">−10 °C throughout the azide stage), in-situ trapping of the resulting isocyanate, and appropriate explosive-handling facilities.</w:t>
      </w:r>
    </w:p>
    <w:p>
      <w:pPr>
        <w:pStyle w:val="MDPI18keywords"/>
        <w:ind w:left="2608"/>
      </w:pPr>
      <w:r>
        <w:rPr>
          <w:b/>
          <w:bCs/>
        </w:rPr>
        <w:t xml:space="preserve">ZINC catalog gap.</w:t>
      </w:r>
      <w:r>
        <w:t xml:space="preserve"> </w:t>
      </w:r>
      <w:r>
        <w:t xml:space="preserve">Of the leaf precursors enumerated by AiZynth, only</w:t>
      </w:r>
      <w:r>
        <w:t xml:space="preserve"> </w:t>
      </w:r>
      <w:r>
        <w:rPr>
          <w:i/>
          <w:iCs/>
        </w:rPr>
        <w:t xml:space="preserve">tert</w:t>
      </w:r>
      <w:r>
        <w:t xml:space="preserve">-butanol and DPPA are flagged</w:t>
      </w:r>
      <w:r>
        <w:t xml:space="preserve"> </w:t>
      </w:r>
      <w:r>
        <w:rPr>
          <w:rStyle w:val="VerbatimChar"/>
        </w:rPr>
        <w:t xml:space="preserve">in_stock: true</w:t>
      </w:r>
      <w:r>
        <w:t xml:space="preserve"> </w:t>
      </w:r>
      <w:r>
        <w:t xml:space="preserve">against the ZINC catalog; the four energetic-domain intermediates (4,5-dinitro-1,2-isoxazole, its 3-amino derivative, the Boc-protected amine, and the 3-carboxylic acid) are all</w:t>
      </w:r>
      <w:r>
        <w:t xml:space="preserve"> </w:t>
      </w:r>
      <w:r>
        <w:rPr>
          <w:rStyle w:val="VerbatimChar"/>
        </w:rPr>
        <w:t xml:space="preserve">in_stock: false</w:t>
      </w:r>
      <w: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MDPI18keywords"/>
        <w:ind w:left="2608"/>
      </w:pPr>
      <w:r>
        <w:rPr>
          <w:b/>
          <w:bCs/>
        </w:rPr>
        <w:t xml:space="preserve">Negative results on L4, L5, and the nine extension leads.</w:t>
      </w:r>
      <w:r>
        <w:t xml:space="preserve"> </w:t>
      </w:r>
      <w: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vertAlign w:val="subscript"/>
        </w:rPr>
        <w:t xml:space="preserve">2</w:t>
      </w:r>
      <w:r>
        <w:t xml:space="preserve"> </w:t>
      </w:r>
      <w:r>
        <w:t xml:space="preserve">ring-closure or for the acyl-oxime-O-NO</w:t>
      </w:r>
      <w:r>
        <w:rPr>
          <w:vertAlign w:val="subscript"/>
        </w:rPr>
        <w:t xml:space="preserve">2</w:t>
      </w:r>
      <w:r>
        <w:t xml:space="preserve"> </w:t>
      </w:r>
      <w:r>
        <w:t xml:space="preserve">linkage. The negative result is not a search-budget artefact: a follow-up run at 5</w:t>
      </w:r>
      <m:oMath>
        <m:r>
          <m:rPr>
            <m:sty m:val="p"/>
          </m:rPr>
          <m:t>×</m:t>
        </m:r>
      </m:oMath>
      <w:r>
        <w:t xml:space="preserve"> </w:t>
      </w:r>
      <w:r>
        <w:t xml:space="preserve">the original iteration budget (1000 MCTS iter, 1800 s wall) reproduced the same outcome on both leads, with the search exiting in &lt;2 s because no expansion templates fire on the target node. This is a negative result and reflects a known limitation of the public AiZynth distribution: the USPTO template set is drug-discovery-biased and does not include energetics-specific reactions (mixed-acid nitration, N</w:t>
      </w:r>
      <w:r>
        <w:rPr>
          <w:vertAlign w:val="subscript"/>
        </w:rPr>
        <w:t xml:space="preserve">2</w:t>
      </w:r>
      <w:r>
        <w:t xml:space="preserve">O</w:t>
      </w:r>
      <w:r>
        <w:rPr>
          <w:vertAlign w:val="subscript"/>
        </w:rPr>
        <w:t xml:space="preserve">5</w:t>
      </w:r>
      <w:r>
        <w:t xml:space="preserve"> </w:t>
      </w:r>
      <w:r>
        <w:t xml:space="preserve">nitrolysis, KMnO</w:t>
      </w:r>
      <w:r>
        <w:rPr>
          <w:vertAlign w:val="subscript"/>
        </w:rPr>
        <w:t xml:space="preserve">4</w:t>
      </w:r>
      <w: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MDPI18keywords"/>
        <w:ind w:left="2608"/>
      </w:pPr>
      <w:r>
        <w:t xml:space="preserve">To test whether the L4/L5 negative result generalises, we reran the same 200-MCTS / 300-s AiZynthFinder protocol on the nine other chem-pass leads (L2, L3, L9, L11, L13, L16, L18, L19, L20). All nine returned no productive routes within budget (</w:t>
      </w:r>
      <w:r>
        <w:rPr>
          <w:rStyle w:val="VerbatimChar"/>
        </w:rPr>
        <w:t xml:space="preserve">aizynth_results_extension.json</w:t>
      </w:r>
      <w:r>
        <w:t xml:space="preserve">), with search times ranging from 0.1 s (immediate template-policy rejection at the target node) to 38.8 s (exhaustive enumeration without finding a closed route). The drug-domain-template gap is therefore a population finding rather than an n=2 anecdote: across the twelve chem-pass leads, only L1 (aromatic 1,2-isoxazole with simple ring nitration) is reachable from public USPTO templates; the eleven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eleven; conversion of the L1 4-step disconnection into an actionable wet-lab route additionally requires sourcing of the energetic-domain intermediates that ZINC does not stock.</w:t>
      </w:r>
    </w:p>
    <w:p>
      <w:pPr>
        <w:pStyle w:val="MDPI22heading2"/>
        <w:ind w:left="2608"/>
      </w:pPr>
      <w:r>
        <w:t xml:space="preserve">E. Baseline-method example outputs</w:t>
      </w:r>
    </w:p>
    <w:p>
      <w:pPr>
        <w:pStyle w:val="MDPI18keywords"/>
        <w:ind w:left="2608"/>
      </w:pPr>
      <w:r>
        <w:t xml:space="preserve">Tables E.1 and E.2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MDPI18keywords"/>
        <w:ind w:left="2608"/>
      </w:pPr>
      <w:r>
        <w:rPr>
          <w:b/>
          <w:bCs/>
        </w:rPr>
        <w:t xml:space="preserve">Table E.1.</w:t>
      </w:r>
      <w:r>
        <w:t xml:space="preserve"> </w:t>
      </w:r>
      <w:r>
        <w:t xml:space="preserve">Ten most-novel CHNO-neutral candidates from the MolMIM 70 M pool. Columns: SMILES; molecular formula; exact molecular weight; novelty (1 minus max-Tanimoto to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531"/>
        <w:gridCol w:w="1057"/>
        <w:gridCol w:w="586"/>
        <w:gridCol w:w="684"/>
      </w:tblGrid>
      <w:tr>
        <w:trPr>
          <w:tblHeader w:val="on"/>
        </w:trPr>
        <w:tc>
          <w:tcPr>
            <w:tcBorders>
              <w:bottom w:val="single" w:sz="8" w:space="0" w:color="auto"/>
            </w:tcBorders>
            <w:vAlign w:val="center"/>
          </w:tcPr>
          <w:p>
            <w:pPr>
              <w:pStyle w:val="Compact"/>
              <w:suppressAutoHyphens/>
              <w:jc w:val="center"/>
            </w:pPr>
            <w:r>
              <w:rPr>
                <w:b/>
                <w:sz w:val="15"/>
                <w:szCs w:val="15"/>
              </w:rPr>
              <w:t xml:space="preserve">SMILES</w:t>
            </w:r>
          </w:p>
        </w:tc>
        <w:tc>
          <w:tcPr>
            <w:tcBorders>
              <w:bottom w:val="single" w:sz="8" w:space="0" w:color="auto"/>
            </w:tcBorders>
            <w:vAlign w:val="center"/>
          </w:tcPr>
          <w:p>
            <w:pPr>
              <w:pStyle w:val="Compact"/>
              <w:suppressAutoHyphens/>
              <w:jc w:val="center"/>
            </w:pPr>
            <w:r>
              <w:rPr>
                <w:b/>
                <w:sz w:val="15"/>
                <w:szCs w:val="15"/>
              </w:rPr>
              <w:t xml:space="preserve">Formula</w:t>
            </w:r>
          </w:p>
        </w:tc>
        <w:tc>
          <w:tcPr>
            <w:tcBorders>
              <w:bottom w:val="single" w:sz="8" w:space="0" w:color="auto"/>
            </w:tcBorders>
            <w:vAlign w:val="center"/>
          </w:tcPr>
          <w:p>
            <w:pPr>
              <w:pStyle w:val="Compact"/>
              <w:suppressAutoHyphens/>
              <w:jc w:val="center"/>
            </w:pPr>
            <w:r>
              <w:rPr>
                <w:b/>
                <w:sz w:val="15"/>
                <w:szCs w:val="15"/>
              </w:rPr>
              <w:t xml:space="preserve">MW</w:t>
            </w:r>
          </w:p>
        </w:tc>
        <w:tc>
          <w:tcPr>
            <w:tcBorders>
              <w:bottom w:val="single" w:sz="8" w:space="0" w:color="auto"/>
            </w:tcBorders>
            <w:vAlign w:val="center"/>
          </w:tcPr>
          <w:p>
            <w:pPr>
              <w:pStyle w:val="Compact"/>
              <w:suppressAutoHyphens/>
              <w:jc w:val="center"/>
            </w:pPr>
            <w:r>
              <w:rPr>
                <w:b/>
                <w:sz w:val="15"/>
                <w:szCs w:val="15"/>
              </w:rPr>
              <w:t xml:space="preserve">Novelty</w:t>
            </w:r>
          </w:p>
        </w:tc>
      </w:tr>
      <w:tr>
        <w:tc>
          <w:tcPr>
            <w:vAlign w:val="center"/>
          </w:tcPr>
          <w:p>
            <w:pPr>
              <w:pStyle w:val="Compact"/>
              <w:suppressAutoHyphens/>
              <w:jc w:val="center"/>
            </w:pPr>
            <w:r>
              <w:rPr>
                <w:sz w:val="15"/>
                <w:szCs w:val="15"/>
              </w:rPr>
              <w:t xml:space="preserve">CO[C@@H]1CCN(CC23CCC(N)(CC2)C3)C[C@@H]1C</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28</w:t>
            </w:r>
            <w:r>
              <w:rPr>
                <w:sz w:val="15"/>
                <w:szCs w:val="15"/>
              </w:rPr>
              <w:t xml:space="preserve">N</w:t>
            </w:r>
            <w:r>
              <w:rPr>
                <w:vertAlign w:val="subscript"/>
                <w:sz w:val="15"/>
                <w:szCs w:val="15"/>
              </w:rPr>
              <w:t xml:space="preserve">2</w:t>
            </w:r>
            <w:r>
              <w:rPr>
                <w:sz w:val="15"/>
                <w:szCs w:val="15"/>
              </w:rPr>
              <w:t xml:space="preserve">O</w:t>
            </w:r>
          </w:p>
        </w:tc>
        <w:tc>
          <w:tcPr>
            <w:vAlign w:val="center"/>
          </w:tcPr>
          <w:p>
            <w:pPr>
              <w:pStyle w:val="Compact"/>
              <w:suppressAutoHyphens/>
              <w:jc w:val="center"/>
            </w:pPr>
            <w:r>
              <w:rPr>
                <w:sz w:val="15"/>
                <w:szCs w:val="15"/>
              </w:rPr>
              <w:t xml:space="preserve">252.22</w:t>
            </w:r>
          </w:p>
        </w:tc>
        <w:tc>
          <w:tcPr>
            <w:vAlign w:val="center"/>
          </w:tcPr>
          <w:p>
            <w:pPr>
              <w:pStyle w:val="Compact"/>
              <w:suppressAutoHyphens/>
              <w:jc w:val="center"/>
            </w:pPr>
            <w:r>
              <w:rPr>
                <w:sz w:val="15"/>
                <w:szCs w:val="15"/>
              </w:rPr>
              <w:t xml:space="preserve">0.823</w:t>
            </w:r>
          </w:p>
        </w:tc>
      </w:tr>
      <w:tr>
        <w:tc>
          <w:tcPr>
            <w:vAlign w:val="center"/>
          </w:tcPr>
          <w:p>
            <w:pPr>
              <w:pStyle w:val="Compact"/>
              <w:suppressAutoHyphens/>
              <w:jc w:val="center"/>
            </w:pPr>
            <w:r>
              <w:rPr>
                <w:sz w:val="15"/>
                <w:szCs w:val="15"/>
              </w:rPr>
              <w:t xml:space="preserve">N=c1cc[nH]cc1-c1nc(N)nc(N2C[C@H]3CN=C(N4CCCC4)[C@H]3C2)n1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23</w:t>
            </w:r>
            <w:r>
              <w:rPr>
                <w:sz w:val="15"/>
                <w:szCs w:val="15"/>
              </w:rPr>
              <w:t xml:space="preserve">N</w:t>
            </w:r>
            <w:r>
              <w:rPr>
                <w:vertAlign w:val="subscript"/>
                <w:sz w:val="15"/>
                <w:szCs w:val="15"/>
              </w:rPr>
              <w:t xml:space="preserve">9</w:t>
            </w:r>
          </w:p>
        </w:tc>
        <w:tc>
          <w:tcPr>
            <w:vAlign w:val="center"/>
          </w:tcPr>
          <w:p>
            <w:pPr>
              <w:pStyle w:val="Compact"/>
              <w:suppressAutoHyphens/>
              <w:jc w:val="center"/>
            </w:pPr>
            <w:r>
              <w:rPr>
                <w:sz w:val="15"/>
                <w:szCs w:val="15"/>
              </w:rPr>
              <w:t xml:space="preserve">365.21</w:t>
            </w:r>
          </w:p>
        </w:tc>
        <w:tc>
          <w:tcPr>
            <w:vAlign w:val="center"/>
          </w:tcPr>
          <w:p>
            <w:pPr>
              <w:pStyle w:val="Compact"/>
              <w:suppressAutoHyphens/>
              <w:jc w:val="center"/>
            </w:pPr>
            <w:r>
              <w:rPr>
                <w:sz w:val="15"/>
                <w:szCs w:val="15"/>
              </w:rPr>
              <w:t xml:space="preserve">0.818</w:t>
            </w:r>
          </w:p>
        </w:tc>
      </w:tr>
      <w:tr>
        <w:tc>
          <w:tcPr>
            <w:vAlign w:val="center"/>
          </w:tcPr>
          <w:p>
            <w:pPr>
              <w:pStyle w:val="Compact"/>
              <w:suppressAutoHyphens/>
              <w:jc w:val="center"/>
            </w:pPr>
            <w:r>
              <w:rPr>
                <w:sz w:val="15"/>
                <w:szCs w:val="15"/>
              </w:rPr>
              <w:t xml:space="preserve">CC(CN1C[C@H](CO)C2(CCC2)C1)=C1CCC1</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25</w:t>
            </w:r>
            <w:r>
              <w:rPr>
                <w:sz w:val="15"/>
                <w:szCs w:val="15"/>
              </w:rPr>
              <w:t xml:space="preserve">NO</w:t>
            </w:r>
          </w:p>
        </w:tc>
        <w:tc>
          <w:tcPr>
            <w:vAlign w:val="center"/>
          </w:tcPr>
          <w:p>
            <w:pPr>
              <w:pStyle w:val="Compact"/>
              <w:suppressAutoHyphens/>
              <w:jc w:val="center"/>
            </w:pPr>
            <w:r>
              <w:rPr>
                <w:sz w:val="15"/>
                <w:szCs w:val="15"/>
              </w:rPr>
              <w:t xml:space="preserve">235.19</w:t>
            </w:r>
          </w:p>
        </w:tc>
        <w:tc>
          <w:tcPr>
            <w:vAlign w:val="center"/>
          </w:tcPr>
          <w:p>
            <w:pPr>
              <w:pStyle w:val="Compact"/>
              <w:suppressAutoHyphens/>
              <w:jc w:val="center"/>
            </w:pPr>
            <w:r>
              <w:rPr>
                <w:sz w:val="15"/>
                <w:szCs w:val="15"/>
              </w:rPr>
              <w:t xml:space="preserve">0.810</w:t>
            </w:r>
          </w:p>
        </w:tc>
      </w:tr>
      <w:tr>
        <w:tc>
          <w:tcPr>
            <w:vAlign w:val="center"/>
          </w:tcPr>
          <w:p>
            <w:pPr>
              <w:pStyle w:val="Compact"/>
              <w:suppressAutoHyphens/>
              <w:jc w:val="center"/>
            </w:pPr>
            <w:r>
              <w:rPr>
                <w:sz w:val="15"/>
                <w:szCs w:val="15"/>
              </w:rPr>
              <w:t xml:space="preserve">C[C@H]1OCCC2=Nc3[nH]c4c(c3CCC[C@@H]21)[C@](C)(O)C4</w:t>
            </w:r>
          </w:p>
        </w:tc>
        <w:tc>
          <w:tcPr>
            <w:vAlign w:val="center"/>
          </w:tcPr>
          <w:p>
            <w:pPr>
              <w:pStyle w:val="Compact"/>
              <w:suppressAutoHyphens/>
              <w:jc w:val="center"/>
            </w:pPr>
            <w:r>
              <w:rPr>
                <w:sz w:val="15"/>
                <w:szCs w:val="15"/>
              </w:rPr>
              <w:t xml:space="preserve">C</w:t>
            </w:r>
            <w:r>
              <w:rPr>
                <w:vertAlign w:val="subscript"/>
                <w:sz w:val="15"/>
                <w:szCs w:val="15"/>
              </w:rPr>
              <w:t xml:space="preserve">16</w:t>
            </w:r>
            <w:r>
              <w:rPr>
                <w:sz w:val="15"/>
                <w:szCs w:val="15"/>
              </w:rPr>
              <w:t xml:space="preserve">H</w:t>
            </w:r>
            <w:r>
              <w:rPr>
                <w:vertAlign w:val="subscript"/>
                <w:sz w:val="15"/>
                <w:szCs w:val="15"/>
              </w:rPr>
              <w:t xml:space="preserve">22</w:t>
            </w:r>
            <w:r>
              <w:rPr>
                <w:sz w:val="15"/>
                <w:szCs w:val="15"/>
              </w:rPr>
              <w:t xml:space="preserve">N</w:t>
            </w:r>
            <w:r>
              <w:rPr>
                <w:vertAlign w:val="subscript"/>
                <w:sz w:val="15"/>
                <w:szCs w:val="15"/>
              </w:rPr>
              <w:t xml:space="preserve">2</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274.17</w:t>
            </w:r>
          </w:p>
        </w:tc>
        <w:tc>
          <w:tcPr>
            <w:vAlign w:val="center"/>
          </w:tcPr>
          <w:p>
            <w:pPr>
              <w:pStyle w:val="Compact"/>
              <w:suppressAutoHyphens/>
              <w:jc w:val="center"/>
            </w:pPr>
            <w:r>
              <w:rPr>
                <w:sz w:val="15"/>
                <w:szCs w:val="15"/>
              </w:rPr>
              <w:t xml:space="preserve">0.809</w:t>
            </w:r>
          </w:p>
        </w:tc>
      </w:tr>
      <w:tr>
        <w:tc>
          <w:tcPr>
            <w:vAlign w:val="center"/>
          </w:tcPr>
          <w:p>
            <w:pPr>
              <w:pStyle w:val="Compact"/>
              <w:suppressAutoHyphens/>
              <w:jc w:val="center"/>
            </w:pPr>
            <w:r>
              <w:rPr>
                <w:sz w:val="15"/>
                <w:szCs w:val="15"/>
              </w:rPr>
              <w:t xml:space="preserve">CC(C)(C)CN1CC(C)(C)C[C@]2(C)C(=O)N3C(=N1)C(=O)NC[C@]3(C)[C@@H]2N</w:t>
            </w:r>
          </w:p>
        </w:tc>
        <w:tc>
          <w:tcPr>
            <w:vAlign w:val="center"/>
          </w:tcPr>
          <w:p>
            <w:pPr>
              <w:pStyle w:val="Compact"/>
              <w:suppressAutoHyphens/>
              <w:jc w:val="center"/>
            </w:pPr>
            <w:r>
              <w:rPr>
                <w:sz w:val="15"/>
                <w:szCs w:val="15"/>
              </w:rPr>
              <w:t xml:space="preserve">C</w:t>
            </w:r>
            <w:r>
              <w:rPr>
                <w:vertAlign w:val="subscript"/>
                <w:sz w:val="15"/>
                <w:szCs w:val="15"/>
              </w:rPr>
              <w:t xml:space="preserve">19</w:t>
            </w:r>
            <w:r>
              <w:rPr>
                <w:sz w:val="15"/>
                <w:szCs w:val="15"/>
              </w:rPr>
              <w:t xml:space="preserve">H</w:t>
            </w:r>
            <w:r>
              <w:rPr>
                <w:vertAlign w:val="subscript"/>
                <w:sz w:val="15"/>
                <w:szCs w:val="15"/>
              </w:rPr>
              <w:t xml:space="preserve">33</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363.26</w:t>
            </w:r>
          </w:p>
        </w:tc>
        <w:tc>
          <w:tcPr>
            <w:vAlign w:val="center"/>
          </w:tcPr>
          <w:p>
            <w:pPr>
              <w:pStyle w:val="Compact"/>
              <w:suppressAutoHyphens/>
              <w:jc w:val="center"/>
            </w:pPr>
            <w:r>
              <w:rPr>
                <w:sz w:val="15"/>
                <w:szCs w:val="15"/>
              </w:rPr>
              <w:t xml:space="preserve">0.806</w:t>
            </w:r>
          </w:p>
        </w:tc>
      </w:tr>
      <w:tr>
        <w:tc>
          <w:tcPr>
            <w:vAlign w:val="center"/>
          </w:tcPr>
          <w:p>
            <w:pPr>
              <w:pStyle w:val="Compact"/>
              <w:suppressAutoHyphens/>
              <w:jc w:val="center"/>
            </w:pPr>
            <w:r>
              <w:rPr>
                <w:sz w:val="15"/>
                <w:szCs w:val="15"/>
              </w:rPr>
              <w:t xml:space="preserve">CC(C)CN1CCN(c2nnc(-c3cncnc3)n2C[C@]2(C)CCCO2)CC1=O</w:t>
            </w:r>
          </w:p>
        </w:tc>
        <w:tc>
          <w:tcPr>
            <w:vAlign w:val="center"/>
          </w:tcPr>
          <w:p>
            <w:pPr>
              <w:pStyle w:val="Compact"/>
              <w:suppressAutoHyphens/>
              <w:jc w:val="center"/>
            </w:pPr>
            <w:r>
              <w:rPr>
                <w:sz w:val="15"/>
                <w:szCs w:val="15"/>
              </w:rPr>
              <w:t xml:space="preserve">C</w:t>
            </w:r>
            <w:r>
              <w:rPr>
                <w:vertAlign w:val="subscript"/>
                <w:sz w:val="15"/>
                <w:szCs w:val="15"/>
              </w:rPr>
              <w:t xml:space="preserve">20</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7</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399.24</w:t>
            </w:r>
          </w:p>
        </w:tc>
        <w:tc>
          <w:tcPr>
            <w:vAlign w:val="center"/>
          </w:tcPr>
          <w:p>
            <w:pPr>
              <w:pStyle w:val="Compact"/>
              <w:suppressAutoHyphens/>
              <w:jc w:val="center"/>
            </w:pPr>
            <w:r>
              <w:rPr>
                <w:sz w:val="15"/>
                <w:szCs w:val="15"/>
              </w:rPr>
              <w:t xml:space="preserve">0.805</w:t>
            </w:r>
          </w:p>
        </w:tc>
      </w:tr>
      <w:tr>
        <w:tc>
          <w:tcPr>
            <w:vAlign w:val="center"/>
          </w:tcPr>
          <w:p>
            <w:pPr>
              <w:pStyle w:val="Compact"/>
              <w:suppressAutoHyphens/>
              <w:jc w:val="center"/>
            </w:pPr>
            <w:r>
              <w:rPr>
                <w:sz w:val="15"/>
                <w:szCs w:val="15"/>
              </w:rPr>
              <w:t xml:space="preserve">N[C@]1(CC2COCCOC2)CO[C@H](C2CC2)C1</w:t>
            </w:r>
          </w:p>
        </w:tc>
        <w:tc>
          <w:tcPr>
            <w:vAlign w:val="center"/>
          </w:tcPr>
          <w:p>
            <w:pPr>
              <w:pStyle w:val="Compact"/>
              <w:suppressAutoHyphens/>
              <w:jc w:val="center"/>
            </w:pPr>
            <w:r>
              <w:rPr>
                <w:sz w:val="15"/>
                <w:szCs w:val="15"/>
              </w:rPr>
              <w:t xml:space="preserve">C</w:t>
            </w:r>
            <w:r>
              <w:rPr>
                <w:vertAlign w:val="subscript"/>
                <w:sz w:val="15"/>
                <w:szCs w:val="15"/>
              </w:rPr>
              <w:t xml:space="preserve">13</w:t>
            </w:r>
            <w:r>
              <w:rPr>
                <w:sz w:val="15"/>
                <w:szCs w:val="15"/>
              </w:rPr>
              <w:t xml:space="preserve">H</w:t>
            </w:r>
            <w:r>
              <w:rPr>
                <w:vertAlign w:val="subscript"/>
                <w:sz w:val="15"/>
                <w:szCs w:val="15"/>
              </w:rPr>
              <w:t xml:space="preserve">23</w:t>
            </w:r>
            <w:r>
              <w:rPr>
                <w:sz w:val="15"/>
                <w:szCs w:val="15"/>
              </w:rPr>
              <w:t xml:space="preserve">NO</w:t>
            </w:r>
            <w:r>
              <w:rPr>
                <w:vertAlign w:val="subscript"/>
                <w:sz w:val="15"/>
                <w:szCs w:val="15"/>
              </w:rPr>
              <w:t xml:space="preserve">3</w:t>
            </w:r>
          </w:p>
        </w:tc>
        <w:tc>
          <w:tcPr>
            <w:vAlign w:val="center"/>
          </w:tcPr>
          <w:p>
            <w:pPr>
              <w:pStyle w:val="Compact"/>
              <w:suppressAutoHyphens/>
              <w:jc w:val="center"/>
            </w:pPr>
            <w:r>
              <w:rPr>
                <w:sz w:val="15"/>
                <w:szCs w:val="15"/>
              </w:rPr>
              <w:t xml:space="preserve">241.17</w:t>
            </w:r>
          </w:p>
        </w:tc>
        <w:tc>
          <w:tcPr>
            <w:vAlign w:val="center"/>
          </w:tcPr>
          <w:p>
            <w:pPr>
              <w:pStyle w:val="Compact"/>
              <w:suppressAutoHyphens/>
              <w:jc w:val="center"/>
            </w:pPr>
            <w:r>
              <w:rPr>
                <w:sz w:val="15"/>
                <w:szCs w:val="15"/>
              </w:rPr>
              <w:t xml:space="preserve">0.804</w:t>
            </w:r>
          </w:p>
        </w:tc>
      </w:tr>
      <w:tr>
        <w:tc>
          <w:tcPr>
            <w:vAlign w:val="center"/>
          </w:tcPr>
          <w:p>
            <w:pPr>
              <w:pStyle w:val="Compact"/>
              <w:suppressAutoHyphens/>
              <w:jc w:val="center"/>
            </w:pPr>
            <w:r>
              <w:rPr>
                <w:sz w:val="15"/>
                <w:szCs w:val="15"/>
              </w:rPr>
              <w:t xml:space="preserve">Cc1c(C(=O)N(C)C[C@@H]2CCN(C(=O)Cc3cnoc3)C2)ccn1C</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24</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3</w:t>
            </w:r>
          </w:p>
        </w:tc>
        <w:tc>
          <w:tcPr>
            <w:vAlign w:val="center"/>
          </w:tcPr>
          <w:p>
            <w:pPr>
              <w:pStyle w:val="Compact"/>
              <w:suppressAutoHyphens/>
              <w:jc w:val="center"/>
            </w:pPr>
            <w:r>
              <w:rPr>
                <w:sz w:val="15"/>
                <w:szCs w:val="15"/>
              </w:rPr>
              <w:t xml:space="preserve">344.18</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O=C(CCn1cnccc1=O)NC1(CNC[C@H]2CC[C@H]3C[C@H]3C2)CCCC1</w:t>
            </w:r>
          </w:p>
        </w:tc>
        <w:tc>
          <w:tcPr>
            <w:vAlign w:val="center"/>
          </w:tcPr>
          <w:p>
            <w:pPr>
              <w:pStyle w:val="Compact"/>
              <w:suppressAutoHyphens/>
              <w:jc w:val="center"/>
            </w:pPr>
            <w:r>
              <w:rPr>
                <w:sz w:val="15"/>
                <w:szCs w:val="15"/>
              </w:rPr>
              <w:t xml:space="preserve">C</w:t>
            </w:r>
            <w:r>
              <w:rPr>
                <w:vertAlign w:val="subscript"/>
                <w:sz w:val="15"/>
                <w:szCs w:val="15"/>
              </w:rPr>
              <w:t xml:space="preserve">21</w:t>
            </w:r>
            <w:r>
              <w:rPr>
                <w:sz w:val="15"/>
                <w:szCs w:val="15"/>
              </w:rPr>
              <w:t xml:space="preserve">H</w:t>
            </w:r>
            <w:r>
              <w:rPr>
                <w:vertAlign w:val="subscript"/>
                <w:sz w:val="15"/>
                <w:szCs w:val="15"/>
              </w:rPr>
              <w:t xml:space="preserve">32</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372.25</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CO[C@@H]1CCCCN(c2nnc([C@]3(C)CNC(=O)C3)n2CC2CC2)C1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347.23</w:t>
            </w:r>
          </w:p>
        </w:tc>
        <w:tc>
          <w:tcPr>
            <w:vAlign w:val="center"/>
          </w:tcPr>
          <w:p>
            <w:pPr>
              <w:pStyle w:val="Compact"/>
              <w:suppressAutoHyphens/>
              <w:jc w:val="center"/>
            </w:pPr>
            <w:r>
              <w:rPr>
                <w:sz w:val="15"/>
                <w:szCs w:val="15"/>
              </w:rPr>
              <w:t xml:space="preserve">0.802</w:t>
            </w:r>
          </w:p>
        </w:tc>
      </w:tr>
    </w:tbl>
    <w:p>
      <w:pPr>
        <w:pStyle w:val="MDPI18keywords"/>
        <w:ind w:left="2608"/>
      </w:pPr>
    </w:p>
    <w:p>
      <w:pPr>
        <w:pStyle w:val="MDPI18keywords"/>
        <w:ind w:left="2608"/>
      </w:pPr>
      <w:r>
        <w:rPr>
          <w:b/>
          <w:bCs/>
        </w:rPr>
        <w:t xml:space="preserve">Table E.2.</w:t>
      </w:r>
      <w:r>
        <w:t xml:space="preserve"> </w:t>
      </w:r>
      <w:r>
        <w:t xml:space="preserve">Ten most-novel CHNO-neutral candidates from the SMILES-LSTM pool. Columns as Table E.1.</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808"/>
        <w:gridCol w:w="924"/>
        <w:gridCol w:w="520"/>
        <w:gridCol w:w="606"/>
      </w:tblGrid>
      <w:tr>
        <w:trPr>
          <w:tblHeader w:val="on"/>
        </w:trPr>
        <w:tc>
          <w:tcPr>
            <w:tcBorders>
              <w:bottom w:val="single" w:sz="8" w:space="0" w:color="auto"/>
            </w:tcBorders>
            <w:vAlign w:val="center"/>
          </w:tcPr>
          <w:p>
            <w:pPr>
              <w:pStyle w:val="Compact"/>
              <w:suppressAutoHyphens/>
              <w:jc w:val="center"/>
            </w:pPr>
            <w:r>
              <w:rPr>
                <w:b/>
                <w:sz w:val="13"/>
                <w:szCs w:val="13"/>
              </w:rPr>
              <w:t xml:space="preserve">SMILES</w:t>
            </w:r>
          </w:p>
        </w:tc>
        <w:tc>
          <w:tcPr>
            <w:tcBorders>
              <w:bottom w:val="single" w:sz="8" w:space="0" w:color="auto"/>
            </w:tcBorders>
            <w:vAlign w:val="center"/>
          </w:tcPr>
          <w:p>
            <w:pPr>
              <w:pStyle w:val="Compact"/>
              <w:suppressAutoHyphens/>
              <w:jc w:val="center"/>
            </w:pPr>
            <w:r>
              <w:rPr>
                <w:b/>
                <w:sz w:val="13"/>
                <w:szCs w:val="13"/>
              </w:rPr>
              <w:t xml:space="preserve">Formula</w:t>
            </w:r>
          </w:p>
        </w:tc>
        <w:tc>
          <w:tcPr>
            <w:tcBorders>
              <w:bottom w:val="single" w:sz="8" w:space="0" w:color="auto"/>
            </w:tcBorders>
            <w:vAlign w:val="center"/>
          </w:tcPr>
          <w:p>
            <w:pPr>
              <w:pStyle w:val="Compact"/>
              <w:suppressAutoHyphens/>
              <w:jc w:val="center"/>
            </w:pPr>
            <w:r>
              <w:rPr>
                <w:b/>
                <w:sz w:val="13"/>
                <w:szCs w:val="13"/>
              </w:rPr>
              <w:t xml:space="preserve">MW</w:t>
            </w:r>
          </w:p>
        </w:tc>
        <w:tc>
          <w:tcPr>
            <w:tcBorders>
              <w:bottom w:val="single" w:sz="8" w:space="0" w:color="auto"/>
            </w:tcBorders>
            <w:vAlign w:val="center"/>
          </w:tcPr>
          <w:p>
            <w:pPr>
              <w:pStyle w:val="Compact"/>
              <w:suppressAutoHyphens/>
              <w:jc w:val="center"/>
            </w:pPr>
            <w:r>
              <w:rPr>
                <w:b/>
                <w:sz w:val="13"/>
                <w:szCs w:val="13"/>
              </w:rPr>
              <w:t xml:space="preserve">Novelty</w:t>
            </w:r>
          </w:p>
        </w:tc>
      </w:tr>
      <w:tr>
        <w:tc>
          <w:tcPr>
            <w:vAlign w:val="center"/>
          </w:tcPr>
          <w:p>
            <w:pPr>
              <w:pStyle w:val="Compact"/>
              <w:suppressAutoHyphens/>
              <w:jc w:val="center"/>
            </w:pPr>
            <w:r>
              <w:rPr>
                <w:sz w:val="13"/>
                <w:szCs w:val="13"/>
              </w:rPr>
              <w:t xml:space="preserve">O=C(O[C@@H]1C[C@H]2CC[C@H]3O[C@]2(C1)C1=C3CCCC1)C(=O)C1CC1</w:t>
            </w:r>
          </w:p>
        </w:tc>
        <w:tc>
          <w:tcPr>
            <w:vAlign w:val="center"/>
          </w:tcPr>
          <w:p>
            <w:pPr>
              <w:pStyle w:val="Compact"/>
              <w:suppressAutoHyphens/>
              <w:jc w:val="center"/>
            </w:pPr>
            <w:r>
              <w:rPr>
                <w:sz w:val="13"/>
                <w:szCs w:val="13"/>
              </w:rPr>
              <w:t xml:space="preserve">C</w:t>
            </w:r>
            <w:r>
              <w:rPr>
                <w:vertAlign w:val="subscript"/>
                <w:sz w:val="13"/>
                <w:szCs w:val="13"/>
              </w:rPr>
              <w:t xml:space="preserve">19</w:t>
            </w:r>
            <w:r>
              <w:rPr>
                <w:sz w:val="13"/>
                <w:szCs w:val="13"/>
              </w:rPr>
              <w:t xml:space="preserve">H</w:t>
            </w:r>
            <w:r>
              <w:rPr>
                <w:vertAlign w:val="subscript"/>
                <w:sz w:val="13"/>
                <w:szCs w:val="13"/>
              </w:rPr>
              <w:t xml:space="preserve">24</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316.17</w:t>
            </w:r>
          </w:p>
        </w:tc>
        <w:tc>
          <w:tcPr>
            <w:vAlign w:val="center"/>
          </w:tcPr>
          <w:p>
            <w:pPr>
              <w:pStyle w:val="Compact"/>
              <w:suppressAutoHyphens/>
              <w:jc w:val="center"/>
            </w:pPr>
            <w:r>
              <w:rPr>
                <w:sz w:val="13"/>
                <w:szCs w:val="13"/>
              </w:rPr>
              <w:t xml:space="preserve">0.775</w:t>
            </w:r>
          </w:p>
        </w:tc>
      </w:tr>
      <w:tr>
        <w:tc>
          <w:tcPr>
            <w:vAlign w:val="center"/>
          </w:tcPr>
          <w:p>
            <w:pPr>
              <w:pStyle w:val="Compact"/>
              <w:suppressAutoHyphens/>
              <w:jc w:val="center"/>
            </w:pPr>
            <w:r>
              <w:rPr>
                <w:sz w:val="13"/>
                <w:szCs w:val="13"/>
              </w:rPr>
              <w:t xml:space="preserve">CC(=N)OC(=O)OC12OC(OCCO)C1O2</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11</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233.05</w:t>
            </w:r>
          </w:p>
        </w:tc>
        <w:tc>
          <w:tcPr>
            <w:vAlign w:val="center"/>
          </w:tcPr>
          <w:p>
            <w:pPr>
              <w:pStyle w:val="Compact"/>
              <w:suppressAutoHyphens/>
              <w:jc w:val="center"/>
            </w:pPr>
            <w:r>
              <w:rPr>
                <w:sz w:val="13"/>
                <w:szCs w:val="13"/>
              </w:rPr>
              <w:t xml:space="preserve">0.754</w:t>
            </w:r>
          </w:p>
        </w:tc>
      </w:tr>
      <w:tr>
        <w:tc>
          <w:tcPr>
            <w:vAlign w:val="center"/>
          </w:tcPr>
          <w:p>
            <w:pPr>
              <w:pStyle w:val="Compact"/>
              <w:suppressAutoHyphens/>
              <w:jc w:val="center"/>
            </w:pPr>
            <w:r>
              <w:rPr>
                <w:sz w:val="13"/>
                <w:szCs w:val="13"/>
              </w:rPr>
              <w:t xml:space="preserve">CC[C@H](c1cccc2ccccc12)[C@@H](/C=C/C[C@]1(C)C(=O)N2C(=O)N=C(OC)O[C@H]2[C@@H]1C(OC)=C(C)O)COC</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38</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550.27</w:t>
            </w:r>
          </w:p>
        </w:tc>
        <w:tc>
          <w:tcPr>
            <w:vAlign w:val="center"/>
          </w:tcPr>
          <w:p>
            <w:pPr>
              <w:pStyle w:val="Compact"/>
              <w:suppressAutoHyphens/>
              <w:jc w:val="center"/>
            </w:pPr>
            <w:r>
              <w:rPr>
                <w:sz w:val="13"/>
                <w:szCs w:val="13"/>
              </w:rPr>
              <w:t xml:space="preserve">0.750</w:t>
            </w:r>
          </w:p>
        </w:tc>
      </w:tr>
      <w:tr>
        <w:tc>
          <w:tcPr>
            <w:vAlign w:val="center"/>
          </w:tcPr>
          <w:p>
            <w:pPr>
              <w:pStyle w:val="Compact"/>
              <w:suppressAutoHyphens/>
              <w:jc w:val="center"/>
            </w:pPr>
            <w:r>
              <w:rPr>
                <w:sz w:val="13"/>
                <w:szCs w:val="13"/>
              </w:rPr>
              <w:t xml:space="preserve">CCN1N=C2OC(=O)N=CN=C2C(O)=NC1=NO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8</w:t>
            </w:r>
            <w:r>
              <w:rPr>
                <w:sz w:val="13"/>
                <w:szCs w:val="13"/>
              </w:rPr>
              <w:t xml:space="preserve">N</w:t>
            </w:r>
            <w:r>
              <w:rPr>
                <w:vertAlign w:val="subscript"/>
                <w:sz w:val="13"/>
                <w:szCs w:val="13"/>
              </w:rPr>
              <w:t xml:space="preserve">6</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252.06</w:t>
            </w:r>
          </w:p>
        </w:tc>
        <w:tc>
          <w:tcPr>
            <w:vAlign w:val="center"/>
          </w:tcPr>
          <w:p>
            <w:pPr>
              <w:pStyle w:val="Compact"/>
              <w:suppressAutoHyphens/>
              <w:jc w:val="center"/>
            </w:pPr>
            <w:r>
              <w:rPr>
                <w:sz w:val="13"/>
                <w:szCs w:val="13"/>
              </w:rPr>
              <w:t xml:space="preserve">0.746</w:t>
            </w:r>
          </w:p>
        </w:tc>
      </w:tr>
      <w:tr>
        <w:tc>
          <w:tcPr>
            <w:vAlign w:val="center"/>
          </w:tcPr>
          <w:p>
            <w:pPr>
              <w:pStyle w:val="Compact"/>
              <w:suppressAutoHyphens/>
              <w:jc w:val="center"/>
            </w:pPr>
            <w:r>
              <w:rPr>
                <w:sz w:val="13"/>
                <w:szCs w:val="13"/>
              </w:rPr>
              <w:t xml:space="preserve">CC(=O)[C@@H]1[C@@H](O)[C@H](C(C)(C)C)[C@@H]1N1C(=O)C(=O)N(C)C(=O)CN1[N+](=O)[O-]</w:t>
            </w:r>
          </w:p>
        </w:tc>
        <w:tc>
          <w:tcPr>
            <w:vAlign w:val="center"/>
          </w:tcPr>
          <w:p>
            <w:pPr>
              <w:pStyle w:val="Compact"/>
              <w:suppressAutoHyphens/>
              <w:jc w:val="center"/>
            </w:pPr>
            <w:r>
              <w:rPr>
                <w:sz w:val="13"/>
                <w:szCs w:val="13"/>
              </w:rPr>
              <w:t xml:space="preserve">C</w:t>
            </w:r>
            <w:r>
              <w:rPr>
                <w:vertAlign w:val="subscript"/>
                <w:sz w:val="13"/>
                <w:szCs w:val="13"/>
              </w:rPr>
              <w:t xml:space="preserve">15</w:t>
            </w:r>
            <w:r>
              <w:rPr>
                <w:sz w:val="13"/>
                <w:szCs w:val="13"/>
              </w:rPr>
              <w:t xml:space="preserve">H</w:t>
            </w:r>
            <w:r>
              <w:rPr>
                <w:vertAlign w:val="subscript"/>
                <w:sz w:val="13"/>
                <w:szCs w:val="13"/>
              </w:rPr>
              <w:t xml:space="preserve">22</w:t>
            </w:r>
            <w:r>
              <w:rPr>
                <w:sz w:val="13"/>
                <w:szCs w:val="13"/>
              </w:rPr>
              <w:t xml:space="preserve">N</w:t>
            </w:r>
            <w:r>
              <w:rPr>
                <w:vertAlign w:val="subscript"/>
                <w:sz w:val="13"/>
                <w:szCs w:val="13"/>
              </w:rPr>
              <w:t xml:space="preserve">4</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370.15</w:t>
            </w:r>
          </w:p>
        </w:tc>
        <w:tc>
          <w:tcPr>
            <w:vAlign w:val="center"/>
          </w:tcPr>
          <w:p>
            <w:pPr>
              <w:pStyle w:val="Compact"/>
              <w:suppressAutoHyphens/>
              <w:jc w:val="center"/>
            </w:pPr>
            <w:r>
              <w:rPr>
                <w:sz w:val="13"/>
                <w:szCs w:val="13"/>
              </w:rPr>
              <w:t xml:space="preserve">0.743</w:t>
            </w:r>
          </w:p>
        </w:tc>
      </w:tr>
      <w:tr>
        <w:tc>
          <w:tcPr>
            <w:vAlign w:val="center"/>
          </w:tcPr>
          <w:p>
            <w:pPr>
              <w:pStyle w:val="Compact"/>
              <w:suppressAutoHyphens/>
              <w:jc w:val="center"/>
            </w:pPr>
            <w:r>
              <w:rPr>
                <w:sz w:val="13"/>
                <w:szCs w:val="13"/>
              </w:rPr>
              <w:t xml:space="preserve">CC1N=C2OC(=O)OC2OC(Oc2nnno2)COC1C#N</w:t>
            </w:r>
          </w:p>
        </w:tc>
        <w:tc>
          <w:tcPr>
            <w:vAlign w:val="center"/>
          </w:tcPr>
          <w:p>
            <w:pPr>
              <w:pStyle w:val="Compact"/>
              <w:suppressAutoHyphens/>
              <w:jc w:val="center"/>
            </w:pPr>
            <w:r>
              <w:rPr>
                <w:sz w:val="13"/>
                <w:szCs w:val="13"/>
              </w:rPr>
              <w:t xml:space="preserve">C</w:t>
            </w:r>
            <w:r>
              <w:rPr>
                <w:vertAlign w:val="subscript"/>
                <w:sz w:val="13"/>
                <w:szCs w:val="13"/>
              </w:rPr>
              <w:t xml:space="preserve">10</w:t>
            </w:r>
            <w:r>
              <w:rPr>
                <w:sz w:val="13"/>
                <w:szCs w:val="13"/>
              </w:rPr>
              <w:t xml:space="preserve">H</w:t>
            </w:r>
            <w:r>
              <w:rPr>
                <w:vertAlign w:val="subscript"/>
                <w:sz w:val="13"/>
                <w:szCs w:val="13"/>
              </w:rPr>
              <w:t xml:space="preserve">9</w:t>
            </w:r>
            <w:r>
              <w:rPr>
                <w:sz w:val="13"/>
                <w:szCs w:val="13"/>
              </w:rPr>
              <w:t xml:space="preserve">N</w:t>
            </w:r>
            <w:r>
              <w:rPr>
                <w:vertAlign w:val="subscript"/>
                <w:sz w:val="13"/>
                <w:szCs w:val="13"/>
              </w:rPr>
              <w:t xml:space="preserve">5</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311.05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C[C@@H]([C@@H]1C=C(/C=C\C=C2\CCCCN2C)[C@]2(C=Nc3ccccc32)C(=O)[C@@H]1OCc1ccccc1)[N+](=O)[O-]</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33</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511.25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C=C1N=C2OC(=O)N2C(=O)COC(=O)NC1=O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5</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6</w:t>
            </w:r>
          </w:p>
        </w:tc>
        <w:tc>
          <w:tcPr>
            <w:vAlign w:val="center"/>
          </w:tcPr>
          <w:p>
            <w:pPr>
              <w:pStyle w:val="Compact"/>
              <w:suppressAutoHyphens/>
              <w:jc w:val="center"/>
            </w:pPr>
            <w:r>
              <w:rPr>
                <w:sz w:val="13"/>
                <w:szCs w:val="13"/>
              </w:rPr>
              <w:t xml:space="preserve">239.02</w:t>
            </w:r>
          </w:p>
        </w:tc>
        <w:tc>
          <w:tcPr>
            <w:vAlign w:val="center"/>
          </w:tcPr>
          <w:p>
            <w:pPr>
              <w:pStyle w:val="Compact"/>
              <w:suppressAutoHyphens/>
              <w:jc w:val="center"/>
            </w:pPr>
            <w:r>
              <w:rPr>
                <w:sz w:val="13"/>
                <w:szCs w:val="13"/>
              </w:rPr>
              <w:t xml:space="preserve">0.736</w:t>
            </w:r>
          </w:p>
        </w:tc>
      </w:tr>
      <w:tr>
        <w:tc>
          <w:tcPr>
            <w:vAlign w:val="center"/>
          </w:tcPr>
          <w:p>
            <w:pPr>
              <w:pStyle w:val="Compact"/>
              <w:suppressAutoHyphens/>
              <w:jc w:val="center"/>
            </w:pPr>
            <w:r>
              <w:rPr>
                <w:sz w:val="13"/>
                <w:szCs w:val="13"/>
              </w:rPr>
              <w:t xml:space="preserve">CC12OC(O1)C(=O)C(=O)N(C=O)OCC2=O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7</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229.02</w:t>
            </w:r>
          </w:p>
        </w:tc>
        <w:tc>
          <w:tcPr>
            <w:vAlign w:val="center"/>
          </w:tcPr>
          <w:p>
            <w:pPr>
              <w:pStyle w:val="Compact"/>
              <w:suppressAutoHyphens/>
              <w:jc w:val="center"/>
            </w:pPr>
            <w:r>
              <w:rPr>
                <w:sz w:val="13"/>
                <w:szCs w:val="13"/>
              </w:rPr>
              <w:t xml:space="preserve">0.732</w:t>
            </w:r>
          </w:p>
        </w:tc>
      </w:tr>
      <w:tr>
        <w:tc>
          <w:tcPr>
            <w:vAlign w:val="center"/>
          </w:tcPr>
          <w:p>
            <w:pPr>
              <w:pStyle w:val="Compact"/>
              <w:suppressAutoHyphens/>
              <w:jc w:val="center"/>
            </w:pPr>
            <w:r>
              <w:rPr>
                <w:sz w:val="13"/>
                <w:szCs w:val="13"/>
              </w:rPr>
              <w:t xml:space="preserve">COC(=O)N1CCCC(C)(C)N1O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16</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3</w:t>
            </w:r>
          </w:p>
        </w:tc>
        <w:tc>
          <w:tcPr>
            <w:vAlign w:val="center"/>
          </w:tcPr>
          <w:p>
            <w:pPr>
              <w:pStyle w:val="Compact"/>
              <w:suppressAutoHyphens/>
              <w:jc w:val="center"/>
            </w:pPr>
            <w:r>
              <w:rPr>
                <w:sz w:val="13"/>
                <w:szCs w:val="13"/>
              </w:rPr>
              <w:t xml:space="preserve">188.12</w:t>
            </w:r>
          </w:p>
        </w:tc>
        <w:tc>
          <w:tcPr>
            <w:vAlign w:val="center"/>
          </w:tcPr>
          <w:p>
            <w:pPr>
              <w:pStyle w:val="Compact"/>
              <w:suppressAutoHyphens/>
              <w:jc w:val="center"/>
            </w:pPr>
            <w:r>
              <w:rPr>
                <w:sz w:val="13"/>
                <w:szCs w:val="13"/>
              </w:rPr>
              <w:t xml:space="preserve">0.730</w:t>
            </w:r>
          </w:p>
        </w:tc>
      </w:tr>
    </w:tbl>
    <w:p>
      <w:pPr>
        <w:pStyle w:val="MDPI22heading2"/>
        <w:ind w:left="2608"/>
      </w:pPr>
      <w:r>
        <w:t xml:space="preserve">F. Detailed ablations (migrated from Section 2.6)</w:t>
      </w:r>
    </w:p>
    <w:p>
      <w:pPr>
        <w:pStyle w:val="MDPI18keywords"/>
        <w:ind w:left="2608"/>
      </w:pPr>
      <w:r>
        <w:t xml:space="preserve">This appendix collects the full prose, sub-tables, and figures for each ablation summarised in Table 8. The body Section 2.6 carries only the headline numbers; this appendix carries the per-condition detail.</w:t>
      </w:r>
    </w:p>
    <w:p>
      <w:pPr>
        <w:pStyle w:val="MDPI23heading3"/>
        <w:ind w:left="2608"/>
      </w:pPr>
      <w:r>
        <w:t xml:space="preserve">F.1 Self-distillation hard-negative budget (137 vs 918)</w:t>
      </w:r>
    </w:p>
    <w:p>
      <w:pPr>
        <w:pStyle w:val="MDPI18keywords"/>
        <w:ind w:left="2608"/>
      </w:pPr>
      <w:r>
        <w:t xml:space="preserve">A viability-head ablation comparing 137-vs-918 hard-negative budgets shows that score-model discriminative power scales directly with structurally-diverse latent negatives; the 918-budget run is required for Section 4 self-distillation refinement to deliver its discriminative gain. The round-1 viability head (137 mined hard negatives encoded as viab=0) and the round-2 production checkpoint (918 mined hard negatives plus an aromatic-heterocycle viability boost</w:t>
      </w:r>
      <w:r>
        <w:t xml:space="preserve"> </w:t>
      </w:r>
      <m:oMath>
        <m:r>
          <m:rPr>
            <m:sty m:val="p"/>
          </m:rPr>
          <m:t>×</m:t>
        </m:r>
        <m:r>
          <m:t>1.20</m:t>
        </m:r>
      </m:oMath>
      <w:r>
        <w:t xml:space="preserve">) are evaluated on a held-out 7-anchor / 5-cheat probe (RDX, HMX, TNT, FOX-7, PETN, TATB plus five known model-cheats: gem-tetranitro on C2, trinitromethane, gem-dinitro-cyclopropane, polyazene-NO</w:t>
      </w:r>
      <w:r>
        <w:rPr>
          <w:vertAlign w:val="subscript"/>
        </w:rPr>
        <w:t xml:space="preserve">2</w:t>
      </w:r>
      <w:r>
        <w:t xml:space="preserve"> </w:t>
      </w:r>
      <w:r>
        <w:t xml:space="preserve">chain, dinitromethane). Both discriminate, but only the 918-budget checkpoint demotes the worst-offender model-cheat (gem-tetranitro) by an additional 0.10 absolute, giving the head reliable steer-off behaviour on the polynitro/polyazene cheats the sampler would otherwise propose. Full round-1-vs-round-2 numerics in</w:t>
      </w:r>
      <w:r>
        <w:t xml:space="preserve"> </w:t>
      </w:r>
      <w:hyperlink w:anchor="sec-app">
        <w:r>
          <w:rPr>
            <w:rStyle w:val="Hyperlink"/>
          </w:rPr>
          <w:t xml:space="preserve">the Supplementary Information</w:t>
        </w:r>
      </w:hyperlink>
      <w:r>
        <w:t xml:space="preserve">; the SC-gradient sweep and the heuristic-vs-literature sensitivity-head ablation the Supplementary Information are in</w:t>
      </w:r>
      <w:r>
        <w:t xml:space="preserve"> </w:t>
      </w:r>
      <w:hyperlink w:anchor="sec-app">
        <w:r>
          <w:rPr>
            <w:rStyle w:val="Hyperlink"/>
          </w:rPr>
          <w:t xml:space="preserve">the Supplementary Information</w:t>
        </w:r>
      </w:hyperlink>
      <w:r>
        <w:t xml:space="preserve">.</w:t>
      </w:r>
    </w:p>
    <w:p>
      <w:pPr>
        <w:pStyle w:val="MDPI18keywords"/>
        <w:ind w:left="2608"/>
      </w:pPr>
      <w:r>
        <w:rPr>
          <w:b/>
          <w:bCs/>
        </w:rPr>
        <w:t xml:space="preserve">Table F.1.</w:t>
      </w:r>
      <w:r>
        <w:t xml:space="preserve"> </w:t>
      </w:r>
      <w:r>
        <w:t xml:space="preserve">Hard-negative budget effect on the held-out 7-anchor / 5-cheat probe (numbers from the Supplementary Information. Anchor min and cheat max are the per-set extrema of the viability-head output; the worst-offender column tracks the gem-tetranitro model-cheat across budgets.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163"/>
        <w:gridCol w:w="1416"/>
        <w:gridCol w:w="1221"/>
        <w:gridCol w:w="3058"/>
      </w:tblGrid>
      <w:tr>
        <w:trPr>
          <w:tblHeader w:val="on"/>
        </w:trPr>
        <w:tc>
          <w:tcPr>
            <w:tcBorders>
              <w:bottom w:val="single" w:sz="8" w:space="0" w:color="auto"/>
            </w:tcBorders>
            <w:vAlign w:val="center"/>
          </w:tcPr>
          <w:p>
            <w:pPr>
              <w:pStyle w:val="Compact"/>
              <w:suppressAutoHyphens/>
              <w:jc w:val="center"/>
            </w:pPr>
            <w:r>
              <w:rPr>
                <w:b/>
                <w:sz w:val="18"/>
                <w:szCs w:val="18"/>
              </w:rPr>
              <w:t xml:space="preserve">HN budget</w:t>
            </w:r>
          </w:p>
        </w:tc>
        <w:tc>
          <w:tcPr>
            <w:tcBorders>
              <w:bottom w:val="single" w:sz="8" w:space="0" w:color="auto"/>
            </w:tcBorders>
            <w:vAlign w:val="center"/>
          </w:tcPr>
          <w:p>
            <w:pPr>
              <w:pStyle w:val="Compact"/>
              <w:suppressAutoHyphens/>
              <w:jc w:val="center"/>
            </w:pPr>
            <w:r>
              <w:rPr>
                <w:b/>
                <w:sz w:val="18"/>
                <w:szCs w:val="18"/>
              </w:rPr>
              <w:t xml:space="preserve">Anchor min</w:t>
            </w:r>
          </w:p>
        </w:tc>
        <w:tc>
          <w:tcPr>
            <w:tcBorders>
              <w:bottom w:val="single" w:sz="8" w:space="0" w:color="auto"/>
            </w:tcBorders>
            <w:vAlign w:val="center"/>
          </w:tcPr>
          <w:p>
            <w:pPr>
              <w:pStyle w:val="Compact"/>
              <w:suppressAutoHyphens/>
              <w:jc w:val="center"/>
            </w:pPr>
            <w:r>
              <w:rPr>
                <w:b/>
                <w:sz w:val="18"/>
                <w:szCs w:val="18"/>
              </w:rPr>
              <w:t xml:space="preserve">Cheat max</w:t>
            </w:r>
          </w:p>
        </w:tc>
        <w:tc>
          <w:tcPr>
            <w:tcBorders>
              <w:bottom w:val="single" w:sz="8" w:space="0" w:color="auto"/>
            </w:tcBorders>
            <w:vAlign w:val="center"/>
          </w:tcPr>
          <w:p>
            <w:pPr>
              <w:pStyle w:val="Compact"/>
              <w:suppressAutoHyphens/>
              <w:jc w:val="center"/>
            </w:pPr>
            <w:r>
              <w:rPr>
                <w:b/>
                <w:sz w:val="18"/>
                <w:szCs w:val="18"/>
              </w:rPr>
              <w:t xml:space="preserve">Worst-offender (gem-tetranitro)</w:t>
            </w:r>
          </w:p>
        </w:tc>
      </w:tr>
      <w:tr>
        <w:tc>
          <w:tcPr>
            <w:vAlign w:val="center"/>
          </w:tcPr>
          <w:p>
            <w:pPr>
              <w:pStyle w:val="Compact"/>
              <w:suppressAutoHyphens/>
              <w:jc w:val="center"/>
            </w:pPr>
            <w:r>
              <w:rPr>
                <w:sz w:val="18"/>
                <w:szCs w:val="18"/>
              </w:rPr>
              <w:t xml:space="preserve">137 (round-1)</w:t>
            </w:r>
          </w:p>
        </w:tc>
        <w:tc>
          <w:tcPr>
            <w:vAlign w:val="center"/>
          </w:tcPr>
          <w:p>
            <w:pPr>
              <w:pStyle w:val="Compact"/>
              <w:suppressAutoHyphens/>
              <w:jc w:val="center"/>
            </w:pPr>
            <w:r>
              <w:rPr>
                <w:sz w:val="18"/>
                <w:szCs w:val="18"/>
              </w:rPr>
              <w:t xml:space="preserve">0.93</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0.84</w:t>
            </w:r>
          </w:p>
        </w:tc>
      </w:tr>
      <w:tr>
        <w:tc>
          <w:tcPr>
            <w:vAlign w:val="center"/>
          </w:tcPr>
          <w:p>
            <w:pPr>
              <w:pStyle w:val="Compact"/>
              <w:suppressAutoHyphens/>
              <w:jc w:val="center"/>
            </w:pPr>
            <w:r>
              <w:rPr>
                <w:sz w:val="18"/>
                <w:szCs w:val="18"/>
              </w:rPr>
              <w:t xml:space="preserve">918 (production)</w:t>
            </w:r>
          </w:p>
        </w:tc>
        <w:tc>
          <w:tcPr>
            <w:vAlign w:val="center"/>
          </w:tcPr>
          <w:p>
            <w:pPr>
              <w:pStyle w:val="Compact"/>
              <w:suppressAutoHyphens/>
              <w:jc w:val="center"/>
            </w:pPr>
            <w:r>
              <w:rPr>
                <w:sz w:val="18"/>
                <w:szCs w:val="18"/>
              </w:rPr>
              <w:t xml:space="preserve">0.86</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0.74 (−0.10 absolute)</w:t>
            </w:r>
          </w:p>
        </w:tc>
      </w:tr>
    </w:tbl>
    <w:p>
      <w:pPr>
        <w:pStyle w:val="MDPI23heading3"/>
        <w:ind w:left="2608"/>
      </w:pPr>
      <w:r>
        <w:t xml:space="preserve">F.2 Diffusion + guidance prior vs Gaussian-latent control</w:t>
      </w:r>
    </w:p>
    <w:p>
      <w:pPr>
        <w:pStyle w:val="MDPI18keywords"/>
        <w:ind w:left="2608"/>
      </w:pPr>
      <w:r>
        <w:t xml:space="preserve">An initial 3k-sample Gaussian baseline (LIMO decoder + SMARTS gate + SA/SC caps + Tanimoto window [0.15, 0.65] + Uni-Mol ranking) yields a top-1 composite of 1.10 (</w:t>
      </w:r>
      <m:oMath>
        <m:r>
          <m:t>ρ</m:t>
        </m:r>
        <m:r>
          <m:rPr>
            <m:sty m:val="p"/>
          </m:rPr>
          <m:t>=</m:t>
        </m:r>
        <m:r>
          <m:t>1.89</m:t>
        </m:r>
      </m:oMath>
      <w:r>
        <w:t xml:space="preserve"> g cm</w:t>
      </w:r>
      <w:r>
        <w:rPr>
          <w:vertAlign w:val="superscript"/>
        </w:rPr>
        <w:t xml:space="preserve">−3</w:t>
      </w:r>
      <w:r>
        <w:t xml:space="preserve">,</w:t>
      </w:r>
      <w:r>
        <w:t xml:space="preserve"> </w:t>
      </w:r>
      <m:oMath>
        <m:r>
          <m:t>D</m:t>
        </m:r>
        <m:r>
          <m:rPr>
            <m:sty m:val="p"/>
          </m:rPr>
          <m:t>=</m:t>
        </m:r>
        <m:r>
          <m:t>9.02</m:t>
        </m:r>
      </m:oMath>
      <w:r>
        <w:t xml:space="preserve"> km s</w:t>
      </w:r>
      <w:r>
        <w:rPr>
          <w:vertAlign w:val="superscript"/>
        </w:rPr>
        <w:t xml:space="preserve">−1</w:t>
      </w:r>
      <w:r>
        <w:t xml:space="preserve">,</w:t>
      </w:r>
      <w:r>
        <w:t xml:space="preserve"> </w:t>
      </w:r>
      <m:oMath>
        <m:r>
          <m:t>P</m:t>
        </m:r>
        <m:r>
          <m:rPr>
            <m:sty m:val="p"/>
          </m:rPr>
          <m:t>=</m:t>
        </m:r>
        <m:r>
          <m:t>35.9</m:t>
        </m:r>
      </m:oMath>
      <w:r>
        <w:t xml:space="preserve"> GPa) with a 15 % pipeline keep rate. A compute-matched 40k run (described below and in Table F.2) reveals a qualitatively different picture once the Uni-Mol performance-ranking step is removed.</w:t>
      </w:r>
    </w:p>
    <w:p>
      <w:pPr>
        <w:pStyle w:val="MDPI18keywords"/>
        <w:ind w:left="2608"/>
      </w:pPr>
      <w:r>
        <w:t xml:space="preserve">A compute-matched Gaussian-latent baseline (40k samples,</w:t>
      </w:r>
      <w:r>
        <w:t xml:space="preserve"> </w:t>
      </w:r>
      <m:oMath>
        <m:r>
          <m:rPr>
            <m:scr m:val="script"/>
            <m:sty m:val="p"/>
          </m:rPr>
          <m:t>N</m:t>
        </m:r>
        <m:r>
          <m:rPr>
            <m:sty m:val="p"/>
          </m:rPr>
          <m:t>(</m:t>
        </m:r>
        <m:r>
          <m:t>0</m:t>
        </m:r>
        <m:r>
          <m:rPr>
            <m:sty m:val="p"/>
          </m:rPr>
          <m:t>,</m:t>
        </m:r>
        <m:sSub>
          <m:e>
            <m:r>
              <m:t>I</m:t>
            </m:r>
          </m:e>
          <m:sub>
            <m:r>
              <m:t>1024</m:t>
            </m:r>
          </m:sub>
        </m:sSub>
        <m:r>
          <m:rPr>
            <m:sty m:val="p"/>
          </m:rPr>
          <m:t>)</m:t>
        </m:r>
      </m:oMath>
      <w:r>
        <w:t xml:space="preserve"> </w:t>
      </w:r>
      <w:r>
        <w:t xml:space="preserve">decoded through frozen LIMO, then min-10-HA fragment gate + CHNO SMARTS gate + SA ≤ 6.5 + Tanimoto novelty window [0.15, 0.65]) was run to close the pool-size mismatch noted in the original caveat. The results reveal a qualitative difference beyond the D-lift: the Gaussian prior achieves a keep rate of 48 % (19 258 / 40 000), far higher than DGLD's 4.6 %, because the Gaussian prior generates mostly chemically plausible</w:t>
      </w:r>
      <w:r>
        <w:t xml:space="preserve"> </w:t>
      </w:r>
      <w:r>
        <w:rPr>
          <w:i/>
          <w:iCs/>
        </w:rPr>
        <w:t xml:space="preserve">but performance-degenerate</w:t>
      </w:r>
      <w:r>
        <w:t xml:space="preserve"> </w:t>
      </w:r>
      <w: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t xml:space="preserve"> </w:t>
      </w:r>
      <m:oMath>
        <m:r>
          <m:t>D</m:t>
        </m:r>
        <m:r>
          <m:rPr>
            <m:sty m:val="p"/>
          </m:rPr>
          <m:t>=</m:t>
        </m:r>
        <m:r>
          <m:t>9.47</m:t>
        </m:r>
      </m:oMath>
      <w:r>
        <w:t xml:space="preserve"> km s</w:t>
      </w:r>
      <w:r>
        <w:rPr>
          <w:vertAlign w:val="superscript"/>
        </w:rPr>
        <w:t xml:space="preserve">−1</w:t>
      </w:r>
      <w:r>
        <w:t xml:space="preserve">). The 48 % vs 4.6 % keep-rate reversal confirms that the diffusion prior's contribution is not in generating chemically plausible molecules (a Gaussian prior does that easily) but in concentrating the distribution on the high-performance tail.</w:t>
      </w:r>
    </w:p>
    <w:p>
      <w:pPr>
        <w:pStyle w:val="MDPI18keywords"/>
        <w:ind w:left="2608"/>
      </w:pPr>
      <w:r>
        <w:rPr>
          <w:b/>
          <w:bCs/>
        </w:rPr>
        <w:t xml:space="preserve">Table F.2.</w:t>
      </w:r>
      <w:r>
        <w:t xml:space="preserve"> </w:t>
      </w:r>
      <w: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70"/>
        <w:gridCol w:w="552"/>
        <w:gridCol w:w="899"/>
        <w:gridCol w:w="1054"/>
        <w:gridCol w:w="1787"/>
        <w:gridCol w:w="2396"/>
      </w:tblGrid>
      <w:tr>
        <w:trPr>
          <w:tblHeader w:val="on"/>
        </w:trPr>
        <w:tc>
          <w:tcPr>
            <w:tcBorders>
              <w:bottom w:val="single" w:sz="8" w:space="0" w:color="auto"/>
            </w:tcBorders>
            <w:vAlign w:val="center"/>
          </w:tcPr>
          <w:p>
            <w:pPr>
              <w:pStyle w:val="Compact"/>
              <w:suppressAutoHyphens/>
              <w:jc w:val="center"/>
            </w:pPr>
            <w:r>
              <w:rPr>
                <w:b/>
                <w:sz w:val="18"/>
                <w:szCs w:val="18"/>
              </w:rPr>
              <w:t xml:space="preserve">Prior</w:t>
            </w:r>
          </w:p>
        </w:tc>
        <w:tc>
          <w:tcPr>
            <w:tcBorders>
              <w:bottom w:val="single" w:sz="8" w:space="0" w:color="auto"/>
            </w:tcBorders>
            <w:vAlign w:val="center"/>
          </w:tcPr>
          <w:p>
            <w:pPr>
              <w:pStyle w:val="Compact"/>
              <w:suppressAutoHyphens/>
              <w:jc w:val="center"/>
            </w:pPr>
            <w:r>
              <w:rPr>
                <w:b/>
                <w:sz w:val="18"/>
                <w:szCs w:val="18"/>
              </w:rPr>
              <w:t xml:space="preserve">Pool size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composite</w:t>
            </w:r>
          </w:p>
        </w:tc>
        <w:tc>
          <w:tcPr>
            <w:tcBorders>
              <w:bottom w:val="single" w:sz="8" w:space="0" w:color="auto"/>
            </w:tcBorders>
            <w:vAlign w:val="center"/>
          </w:tcPr>
          <w:p>
            <w:pPr>
              <w:pStyle w:val="Compact"/>
              <w:suppressAutoHyphens/>
              <w:jc w:val="center"/>
            </w:pPr>
            <w:r>
              <w:rPr>
                <w:b/>
                <w:sz w:val="18"/>
                <w:szCs w:val="18"/>
              </w:rPr>
              <w:t xml:space="preserve">Keep rate (pipeline def.)</w:t>
            </w:r>
          </w:p>
        </w:tc>
        <w:tc>
          <w:tcPr>
            <w:tcBorders>
              <w:bottom w:val="single" w:sz="8" w:space="0" w:color="auto"/>
            </w:tcBorders>
            <w:vAlign w:val="center"/>
          </w:tcPr>
          <w:p>
            <w:pPr>
              <w:pStyle w:val="Compact"/>
              <w:suppressAutoHyphens/>
              <w:jc w:val="center"/>
            </w:pPr>
            <w:r>
              <w:rPr>
                <w:b/>
                <w:sz w:val="18"/>
                <w:szCs w:val="18"/>
              </w:rPr>
              <w:t xml:space="preserve">Top-1 SMILES</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(3k, Uni-Mol-ranked)</w:t>
            </w:r>
          </w:p>
        </w:tc>
        <w:tc>
          <w:tcPr>
            <w:vAlign w:val="center"/>
          </w:tcPr>
          <w:p>
            <w:pPr>
              <w:pStyle w:val="Compact"/>
              <w:suppressAutoHyphens/>
              <w:jc w:val="center"/>
            </w:pPr>
            <w:r>
              <w:rPr>
                <w:sz w:val="18"/>
                <w:szCs w:val="18"/>
              </w:rPr>
              <w:t xml:space="preserve">3 000</w:t>
            </w:r>
          </w:p>
        </w:tc>
        <w:tc>
          <w:tcPr>
            <w:vAlign w:val="center"/>
          </w:tcPr>
          <w:p>
            <w:pPr>
              <w:pStyle w:val="Compact"/>
              <w:suppressAutoHyphens/>
              <w:jc w:val="center"/>
            </w:pPr>
            <w:r>
              <w:rPr>
                <w:sz w:val="18"/>
                <w:szCs w:val="18"/>
              </w:rPr>
              <w:t xml:space="preserve">9.02</w:t>
            </w:r>
          </w:p>
        </w:tc>
        <w:tc>
          <w:tcPr>
            <w:vAlign w:val="center"/>
          </w:tcPr>
          <w:p>
            <w:pPr>
              <w:pStyle w:val="Compact"/>
              <w:suppressAutoHyphens/>
              <w:jc w:val="center"/>
            </w:pPr>
            <w:r>
              <w:rPr>
                <w:sz w:val="18"/>
                <w:szCs w:val="18"/>
              </w:rPr>
              <w:t xml:space="preserve">1.10</w:t>
            </w:r>
          </w:p>
        </w:tc>
        <w:tc>
          <w:tcPr>
            <w:vAlign w:val="center"/>
          </w:tcPr>
          <w:p>
            <w:pPr>
              <w:pStyle w:val="Compact"/>
              <w:suppressAutoHyphens/>
              <w:jc w:val="center"/>
            </w:pPr>
            <w:r>
              <w:rPr>
                <w:sz w:val="18"/>
                <w:szCs w:val="18"/>
              </w:rPr>
              <w:t xml:space="preserve">15 % (Uni-Mol)</w:t>
            </w:r>
          </w:p>
        </w:tc>
        <w:tc>
          <w:tcPr>
            <w:vAlign w:val="center"/>
          </w:tcPr>
          <w:p>
            <w:pPr>
              <w:pStyle w:val="Compact"/>
              <w:suppressAutoHyphens/>
              <w:jc w:val="center"/>
            </w:pPr>
            <w:r>
              <w:rPr>
                <w:rStyle w:val="VerbatimChar"/>
                <w:sz w:val="18"/>
                <w:szCs w:val="18"/>
              </w:rPr>
              <w:t xml:space="preserve">O=[N+]([O-])c1ccncc1</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(40k, N-frac proxy)</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(not ranked by D; N-fraction proxy)</w:t>
            </w:r>
          </w:p>
        </w:tc>
        <w:tc>
          <w:tcPr>
            <w:vAlign w:val="center"/>
          </w:tcPr>
          <w:p>
            <w:pPr>
              <w:pStyle w:val="Compact"/>
              <w:suppressAutoHyphens/>
              <w:jc w:val="center"/>
            </w:pPr>
            <w:r>
              <w:rPr>
                <w:sz w:val="18"/>
                <w:szCs w:val="18"/>
              </w:rPr>
              <w:t xml:space="preserve">(not on the DGLD scale)</w:t>
            </w:r>
          </w:p>
        </w:tc>
        <w:tc>
          <w:tcPr>
            <w:vAlign w:val="center"/>
          </w:tcPr>
          <w:p>
            <w:pPr>
              <w:pStyle w:val="Compact"/>
              <w:suppressAutoHyphens/>
              <w:jc w:val="center"/>
            </w:pPr>
            <w:r>
              <w:rPr>
                <w:sz w:val="18"/>
                <w:szCs w:val="18"/>
              </w:rPr>
              <w:t xml:space="preserve">48 % (SMARTS+SA+min-10-HA)</w:t>
            </w:r>
          </w:p>
        </w:tc>
        <w:tc>
          <w:tcPr>
            <w:vAlign w:val="center"/>
          </w:tcPr>
          <w:p>
            <w:pPr>
              <w:pStyle w:val="Compact"/>
              <w:suppressAutoHyphens/>
              <w:jc w:val="center"/>
            </w:pPr>
            <w:r>
              <w:rPr>
                <w:rStyle w:val="VerbatimChar"/>
                <w:sz w:val="18"/>
                <w:szCs w:val="18"/>
              </w:rPr>
              <w:t xml:space="preserve">NC=NCNNCCCNn1cnnn1</w:t>
            </w:r>
            <w:r>
              <w:rPr>
                <w:sz w:val="18"/>
                <w:szCs w:val="18"/>
              </w:rPr>
              <w:t xml:space="preserve"> </w:t>
            </w:r>
            <w:r>
              <w:rPr>
                <w:sz w:val="18"/>
                <w:szCs w:val="18"/>
              </w:rPr>
              <w:t xml:space="preserve">(15-HA tetrazole chain,</w:t>
            </w:r>
            <w:r>
              <w:rPr>
                <w:sz w:val="18"/>
                <w:szCs w:val="18"/>
              </w:rPr>
              <w:t xml:space="preserve"> </w:t>
            </w:r>
            <m:oMath>
              <m:sSub>
                <m:e>
                  <m:r>
                    <w:rPr>
                      <w:sz w:val="18"/>
                      <w:szCs w:val="18"/>
                    </w:rPr>
                    <m:t>f</m:t>
                  </m:r>
                </m:e>
                <m:sub>
                  <m:r>
                    <w:rPr>
                      <w:sz w:val="18"/>
                      <w:szCs w:val="18"/>
                    </w:rPr>
                    <m:t>N</m:t>
                  </m:r>
                </m:sub>
              </m:sSub>
              <m:r>
                <w:rPr>
                  <w:sz w:val="18"/>
                  <w:szCs w:val="18"/>
                </w:rPr>
                <m:rPr>
                  <m:sty m:val="p"/>
                </m:rPr>
                <m:t>=</m:t>
              </m:r>
              <m:r>
                <w:rPr>
                  <w:sz w:val="18"/>
                  <w:szCs w:val="18"/>
                </w:rPr>
                <m:t>0.60</m:t>
              </m:r>
            </m:oMath>
            <w:r>
              <w:rPr>
                <w:sz w:val="18"/>
                <w:szCs w:val="18"/>
              </w:rPr>
              <w:t xml:space="preserve">)</w:t>
            </w:r>
          </w:p>
        </w:tc>
      </w:tr>
      <w:tr>
        <w:tc>
          <w:tcPr>
            <w:vAlign w:val="center"/>
          </w:tcPr>
          <w:p>
            <w:pPr>
              <w:pStyle w:val="Compact"/>
              <w:suppressAutoHyphens/>
              <w:jc w:val="center"/>
            </w:pPr>
            <w:r>
              <w:rPr>
                <w:sz w:val="18"/>
                <w:szCs w:val="18"/>
              </w:rPr>
              <w:t xml:space="preserve">DGLD diffusion + guidance (M7 100k)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9.47</w:t>
            </w:r>
          </w:p>
        </w:tc>
        <w:tc>
          <w:tcPr>
            <w:vAlign w:val="center"/>
          </w:tcPr>
          <w:p>
            <w:pPr>
              <w:pStyle w:val="Compact"/>
              <w:suppressAutoHyphens/>
              <w:jc w:val="center"/>
            </w:pPr>
            <w:r>
              <w:rPr>
                <w:sz w:val="18"/>
                <w:szCs w:val="18"/>
              </w:rPr>
              <w:t xml:space="preserve">0.665</w:t>
            </w:r>
          </w:p>
        </w:tc>
        <w:tc>
          <w:tcPr>
            <w:vAlign w:val="center"/>
          </w:tcPr>
          <w:p>
            <w:pPr>
              <w:pStyle w:val="Compact"/>
              <w:suppressAutoHyphens/>
              <w:jc w:val="center"/>
            </w:pPr>
            <w:r>
              <w:rPr>
                <w:sz w:val="18"/>
                <w:szCs w:val="18"/>
              </w:rPr>
              <w:t xml:space="preserve">4.6 % (Uni-Mol)</w:t>
            </w:r>
          </w:p>
        </w:tc>
        <w:tc>
          <w:tcPr>
            <w:vAlign w:val="center"/>
          </w:tcPr>
          <w:p>
            <w:pPr>
              <w:pStyle w:val="Compact"/>
              <w:suppressAutoHyphens/>
              <w:jc w:val="center"/>
            </w:pPr>
            <w:r>
              <w:rPr>
                <w:rStyle w:val="VerbatimChar"/>
                <w:sz w:val="18"/>
                <w:szCs w:val="18"/>
              </w:rPr>
              <w:t xml:space="preserve">O=[N+]([O-])OC1C([N+](=O)[O-])=C1[N+](=O)[O-]</w:t>
            </w:r>
          </w:p>
        </w:tc>
      </w:tr>
      <w:tr>
        <w:tc>
          <w:tcPr>
            <w:vAlign w:val="center"/>
          </w:tcPr>
          <w:p>
            <w:pPr>
              <w:pStyle w:val="Compact"/>
              <w:suppressAutoHyphens/>
              <w:jc w:val="center"/>
            </w:pPr>
            <w:r>
              <w:rPr>
                <w:sz w:val="18"/>
                <w:szCs w:val="18"/>
              </w:rPr>
              <w:t xml:space="preserve">Lift (DGLD over Gaussian 3k)</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+0.45</w:t>
            </w:r>
          </w:p>
        </w:tc>
        <w:tc>
          <w:tcPr>
            <w:vAlign w:val="center"/>
          </w:tcPr>
          <w:p>
            <w:pPr>
              <w:pStyle w:val="Compact"/>
              <w:suppressAutoHyphens/>
              <w:jc w:val="center"/>
            </w:pPr>
            <w:r>
              <w:rPr>
                <w:sz w:val="18"/>
                <w:szCs w:val="18"/>
              </w:rPr>
              <w:t xml:space="preserve">−0.44 (better)</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w:t>
            </w:r>
          </w:p>
        </w:tc>
      </w:tr>
    </w:tbl>
    <w:p>
      <w:pPr>
        <w:pStyle w:val="MDPI23heading3"/>
        <w:ind w:left="2608"/>
      </w:pPr>
      <w:r>
        <w:t xml:space="preserve">F.3 Multi-head guidance vs unguided at matched compute</w:t>
      </w:r>
    </w:p>
    <w:p>
      <w:pPr>
        <w:pStyle w:val="MDPI18keywords"/>
        <w:ind w:left="2608"/>
      </w:pPr>
      <w:r>
        <w:t xml:space="preserve">At pool=10 000 each, with identical denoiser and only the sampler differing, multi-head guidance lifts max composite from 0.64 to 0.69, top-1</w:t>
      </w:r>
      <w:r>
        <w:t xml:space="preserve"> </w:t>
      </w:r>
      <m:oMath>
        <m:r>
          <m:t>D</m:t>
        </m:r>
      </m:oMath>
      <w:r>
        <w:t xml:space="preserve"> </w:t>
      </w:r>
      <w:r>
        <w:t xml:space="preserve">from 8.94 to 9.51 km s</w:t>
      </w:r>
      <w:r>
        <w:rPr>
          <w:vertAlign w:val="superscript"/>
        </w:rPr>
        <w:t xml:space="preserve">−1</w:t>
      </w:r>
      <w:r>
        <w:t xml:space="preserve">, and top-1</w:t>
      </w:r>
      <w:r>
        <w:t xml:space="preserve"> </w:t>
      </w:r>
      <m:oMath>
        <m:r>
          <m:t>P</m:t>
        </m:r>
      </m:oMath>
      <w:r>
        <w:t xml:space="preserve"> </w:t>
      </w:r>
      <w:r>
        <w:t xml:space="preserve">from 34.0 to 38.8 GPa (Figure S4).</w:t>
      </w:r>
    </w:p>
    <w:p xmlns:a="http://schemas.openxmlformats.org/drawingml/2006/main" xmlns:pic="http://schemas.openxmlformats.org/drawingml/2006/picture">
      <w:pPr>
        <w:pStyle w:val="MDPI52figure"/>
        <w:ind w:left="2608"/>
        <w:jc w:val="center"/>
      </w:pPr>
      <w:r>
        <w:drawing>
          <wp:inline>
            <wp:extent cx="4989830" cy="2536381"/>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22"/>
                    <a:stretch>
                      <a:fillRect/>
                    </a:stretch>
                  </pic:blipFill>
                  <pic:spPr bwMode="auto">
                    <a:xfrm>
                      <a:off x="0" y="0"/>
                      <a:ext cx="4989830" cy="2536381"/>
                    </a:xfrm>
                    <a:prstGeom prst="rect">
                      <a:avLst/>
                    </a:prstGeom>
                    <a:noFill/>
                    <a:ln w="9525">
                      <a:noFill/>
                      <a:headEnd/>
                      <a:tailEnd/>
                    </a:ln>
                  </pic:spPr>
                </pic:pic>
              </a:graphicData>
            </a:graphic>
          </wp:inline>
        </w:drawing>
      </w:r>
    </w:p>
    <w:p>
      <w:pPr>
        <w:pStyle w:val="MDPI51figurecaption"/>
        <w:ind w:left="2608"/>
      </w:pPr>
      <w:r>
        <w:rPr>
          <w:b/>
          <w:bCs/>
        </w:rPr>
        <w:t xml:space="preserve">Figure S4.</w:t>
      </w:r>
      <w:r>
        <w:t xml:space="preserve"> </w:t>
      </w:r>
      <w:r>
        <w:t xml:space="preserve">Effect of multi-head score-model guidance on the composite-score distribution at matched compute (pool = 10 000 each, post hard-gate filter). The denoiser is identical in both runs; only the sampler differs.</w:t>
      </w:r>
    </w:p>
    <w:p>
      <w:pPr>
        <w:pStyle w:val="MDPI18keywords"/>
        <w:ind w:left="2608"/>
      </w:pPr>
      <w: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t xml:space="preserve"> </w:t>
      </w:r>
      <w:r>
        <w:rPr>
          <w:b/>
          <w:bCs/>
        </w:rPr>
        <w:t xml:space="preserve">C0 unguided</w:t>
      </w:r>
      <w:r>
        <w:t xml:space="preserve"> </w:t>
      </w:r>
      <w:r>
        <w:t xml:space="preserve">(classifier-free guidance only);</w:t>
      </w:r>
      <w:r>
        <w:t xml:space="preserve"> </w:t>
      </w:r>
      <w:r>
        <w:rPr>
          <w:b/>
          <w:bCs/>
        </w:rPr>
        <w:t xml:space="preserve">C1 viab+sens</w:t>
      </w:r>
      <w:r>
        <w:t xml:space="preserve"> </w:t>
      </w:r>
      <w:r>
        <w:t xml:space="preserve">(</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w:r>
        <w:rPr>
          <w:b/>
          <w:bCs/>
        </w:rPr>
        <w:t xml:space="preserve">C2 viab+sens+hazard</w:t>
      </w:r>
      <w:r>
        <w:t xml:space="preserve"> </w:t>
      </w:r>
      <w:r>
        <w:t xml:space="preserve">(</w:t>
      </w:r>
      <m:oMath>
        <m:r>
          <m:rPr>
            <m:sty m:val="p"/>
          </m:rPr>
          <m:t>+</m:t>
        </m:r>
        <m:sSub>
          <m:e>
            <m:r>
              <m:t>s</m:t>
            </m:r>
          </m:e>
          <m:sub>
            <m:r>
              <m:rPr>
                <m:nor/>
                <m:sty m:val="p"/>
              </m:rPr>
              <m:t>hazard</m:t>
            </m:r>
          </m:sub>
        </m:sSub>
        <m:r>
          <m:rPr>
            <m:sty m:val="p"/>
          </m:rPr>
          <m:t>=</m:t>
        </m:r>
        <m:r>
          <m:t>1.0</m:t>
        </m:r>
      </m:oMath>
      <w:r>
        <w:t xml:space="preserve">);</w:t>
      </w:r>
      <w:r>
        <w:t xml:space="preserve"> </w:t>
      </w:r>
      <w:r>
        <w:rPr>
          <w:b/>
          <w:bCs/>
        </w:rPr>
        <w:t xml:space="preserve">C3 hazard-only</w:t>
      </w:r>
      <w:r>
        <w:t xml:space="preserve"> </w:t>
      </w:r>
      <w:r>
        <w:t xml:space="preserve">(</w:t>
      </w:r>
      <m:oMath>
        <m:sSub>
          <m:e>
            <m:r>
              <m:t>s</m:t>
            </m:r>
          </m:e>
          <m:sub>
            <m:r>
              <m:rPr>
                <m:nor/>
                <m:sty m:val="p"/>
              </m:rPr>
              <m:t>hazard</m:t>
            </m:r>
          </m:sub>
        </m:sSub>
        <m:r>
          <m:rPr>
            <m:sty m:val="p"/>
          </m:rPr>
          <m:t>=</m:t>
        </m:r>
        <m:r>
          <m:t>2.0</m:t>
        </m:r>
      </m:oMath>
      <w:r>
        <w:t xml:space="preserve">, other heads off).</w:t>
      </w:r>
    </w:p>
    <w:p>
      <w:pPr>
        <w:pStyle w:val="MDPI18keywords"/>
        <w:ind w:left="2608"/>
      </w:pPr>
      <w:r>
        <w:rPr>
          <w:b/>
          <w:bCs/>
        </w:rPr>
        <w:t xml:space="preserve">Table F.3.</w:t>
      </w:r>
      <w:r>
        <w:t xml:space="preserve"> </w:t>
      </w:r>
      <w:r>
        <w:t xml:space="preserve">Per-condition top-1 candidates from the four-way head-to-head at pool=40 000 single-seed.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84"/>
        <w:gridCol w:w="637"/>
        <w:gridCol w:w="1319"/>
        <w:gridCol w:w="2042"/>
        <w:gridCol w:w="1003"/>
        <w:gridCol w:w="107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formula</w:t>
            </w:r>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scaffolds in top-100</w:t>
            </w:r>
          </w:p>
        </w:tc>
        <w:tc>
          <w:tcPr>
            <w:tcBorders>
              <w:bottom w:val="single" w:sz="8" w:space="0" w:color="auto"/>
            </w:tcBorders>
            <w:vAlign w:val="center"/>
          </w:tcPr>
          <w:p>
            <w:pPr>
              <w:pStyle w:val="Compact"/>
              <w:suppressAutoHyphens/>
              <w:jc w:val="center"/>
            </w:pPr>
            <w:r>
              <w:rPr>
                <w:b/>
                <w:sz w:val="18"/>
                <w:szCs w:val="18"/>
              </w:rPr>
              <w:t xml:space="preserve">internal diversity over top-100</w:t>
            </w:r>
          </w:p>
        </w:tc>
      </w:tr>
      <w:tr>
        <w:tc>
          <w:tcPr>
            <w:vAlign w:val="center"/>
          </w:tcPr>
          <w:p>
            <w:pPr>
              <w:pStyle w:val="Compact"/>
              <w:suppressAutoHyphens/>
              <w:jc w:val="center"/>
            </w:pPr>
            <w:r>
              <w:rPr>
                <w:b/>
                <w:bCs/>
                <w:sz w:val="18"/>
                <w:szCs w:val="18"/>
              </w:rPr>
              <w:t xml:space="preserve">C0</w:t>
            </w:r>
            <w:r>
              <w:rPr>
                <w:sz w:val="18"/>
                <w:szCs w:val="18"/>
              </w:rPr>
              <w:t xml:space="preserve"> </w:t>
            </w:r>
            <w:r>
              <w:rPr>
                <w:sz w:val="18"/>
                <w:szCs w:val="18"/>
              </w:rPr>
              <w:t xml:space="preserve">unguided</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r>
              <w:rPr>
                <w:sz w:val="18"/>
                <w:szCs w:val="18"/>
              </w:rPr>
              <w:t xml:space="preserve"> </w:t>
            </w:r>
            <w:r>
              <w:rPr>
                <w:sz w:val="18"/>
                <w:szCs w:val="18"/>
              </w:rPr>
              <w:t xml:space="preserve">(4-nitro-1,2,3,5-oxatriazole)</w:t>
            </w:r>
          </w:p>
        </w:tc>
        <w:tc>
          <w:tcPr>
            <w:vAlign w:val="center"/>
          </w:tcPr>
          <w:p>
            <w:pPr>
              <w:pStyle w:val="Compact"/>
              <w:suppressAutoHyphens/>
              <w:jc w:val="center"/>
            </w:pPr>
            <w:r>
              <w:rPr>
                <w:sz w:val="18"/>
                <w:szCs w:val="18"/>
              </w:rPr>
              <w:t xml:space="preserve">O=[N+]([O-])c1nnon1</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0.806</w:t>
            </w:r>
          </w:p>
        </w:tc>
      </w:tr>
      <w:tr>
        <w:tc>
          <w:tcPr>
            <w:vAlign w:val="center"/>
          </w:tcPr>
          <w:p>
            <w:pPr>
              <w:pStyle w:val="Compact"/>
              <w:suppressAutoHyphens/>
              <w:jc w:val="center"/>
            </w:pPr>
            <w:r>
              <w:rPr>
                <w:b/>
                <w:bCs/>
                <w:sz w:val="18"/>
                <w:szCs w:val="18"/>
              </w:rPr>
              <w:t xml:space="preserve">C1</w:t>
            </w:r>
            <w:r>
              <w:rPr>
                <w:sz w:val="18"/>
                <w:szCs w:val="18"/>
              </w:rPr>
              <w:t xml:space="preserve"> </w:t>
            </w:r>
            <w:r>
              <w:rPr>
                <w:sz w:val="18"/>
                <w:szCs w:val="18"/>
              </w:rPr>
              <w:t xml:space="preserve">viab+sens (</w:t>
            </w:r>
            <m:oMath>
              <m:sSub>
                <m:e>
                  <m:r>
                    <w:rPr>
                      <w:sz w:val="18"/>
                      <w:szCs w:val="18"/>
                    </w:rPr>
                    <m:t>s</m:t>
                  </m:r>
                </m:e>
                <m:sub>
                  <m:r>
                    <w:rPr>
                      <w:sz w:val="18"/>
                      <w:szCs w:val="18"/>
                    </w:rPr>
                    <m:rPr>
                      <m:nor/>
                      <m:sty m:val="p"/>
                    </m:rPr>
                    <m:t>viab</m:t>
                  </m:r>
                </m:sub>
              </m:sSub>
              <m:r>
                <w:rPr>
                  <w:sz w:val="18"/>
                  <w:szCs w:val="18"/>
                </w:rPr>
                <m:t>​</m:t>
              </m:r>
              <m:r>
                <w:rPr>
                  <w:sz w:val="18"/>
                  <w:szCs w:val="18"/>
                </w:rPr>
                <m:rPr>
                  <m:sty m:val="p"/>
                </m:rPr>
                <m:t>=</m:t>
              </m:r>
              <m:r>
                <w:rPr>
                  <w:sz w:val="18"/>
                  <w:szCs w:val="18"/>
                </w:rPr>
                <m:t>​</m:t>
              </m:r>
              <m:r>
                <w:rPr>
                  <w:sz w:val="18"/>
                  <w:szCs w:val="18"/>
                </w:rPr>
                <m:t>1.0</m:t>
              </m:r>
              <m:r>
                <w:rPr>
                  <w:sz w:val="18"/>
                  <w:szCs w:val="18"/>
                </w:rPr>
                <m:rPr>
                  <m:sty m:val="p"/>
                </m:rPr>
                <m:t>,</m:t>
              </m:r>
              <m:r>
                <w:rPr>
                  <w:sz w:val="18"/>
                  <w:szCs w:val="18"/>
                </w:rPr>
                <m:t> </m:t>
              </m:r>
              <m:sSub>
                <m:e>
                  <m:r>
                    <w:rPr>
                      <w:sz w:val="18"/>
                      <w:szCs w:val="18"/>
                    </w:rPr>
                    <m:t>s</m:t>
                  </m:r>
                </m:e>
                <m:sub>
                  <m:r>
                    <w:rPr>
                      <w:sz w:val="18"/>
                      <w:szCs w:val="18"/>
                    </w:rPr>
                    <m:rPr>
                      <m:nor/>
                      <m:sty m:val="p"/>
                    </m:rPr>
                    <m:t>sens</m:t>
                  </m:r>
                </m:sub>
              </m:sSub>
              <m:r>
                <w:rPr>
                  <w:sz w:val="18"/>
                  <w:szCs w:val="18"/>
                </w:rPr>
                <m:t>​</m:t>
              </m:r>
              <m:r>
                <w:rPr>
                  <w:sz w:val="18"/>
                  <w:szCs w:val="18"/>
                </w:rPr>
                <m:rPr>
                  <m:sty m:val="p"/>
                </m:rPr>
                <m:t>=</m:t>
              </m:r>
              <m:r>
                <w:rPr>
                  <w:sz w:val="18"/>
                  <w:szCs w:val="18"/>
                </w:rPr>
                <m:t>​</m:t>
              </m:r>
              <m:r>
                <w:rPr>
                  <w:sz w:val="18"/>
                  <w:szCs w:val="18"/>
                </w:rPr>
                <m:t>0.3</m:t>
              </m:r>
            </m:oMath>
            <w:r>
              <w:rPr>
                <w:sz w:val="18"/>
                <w:szCs w:val="18"/>
              </w:rPr>
              <w:t xml:space="preserve">)</w:t>
            </w:r>
          </w:p>
        </w:tc>
        <w:tc>
          <w:tcPr>
            <w:vAlign w:val="center"/>
          </w:tcPr>
          <w:p>
            <w:pPr>
              <w:pStyle w:val="Compact"/>
              <w:suppressAutoHyphens/>
              <w:jc w:val="center"/>
            </w:pPr>
            <w:r>
              <w:rPr>
                <w:sz w:val="18"/>
                <w:szCs w:val="18"/>
              </w:rPr>
              <w:t xml:space="preserve">9.44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O=[N+]([O-])C=C(N[N+](=O)[O-])[N+](=O)[O-]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0.778</w:t>
            </w:r>
          </w:p>
        </w:tc>
      </w:tr>
      <w:tr>
        <w:tc>
          <w:tcPr>
            <w:vAlign w:val="center"/>
          </w:tcPr>
          <w:p>
            <w:pPr>
              <w:pStyle w:val="Compact"/>
              <w:suppressAutoHyphens/>
              <w:jc w:val="center"/>
            </w:pPr>
            <w:r>
              <w:rPr>
                <w:b/>
                <w:bCs/>
                <w:sz w:val="18"/>
                <w:szCs w:val="18"/>
              </w:rPr>
              <w:t xml:space="preserve">C2</w:t>
            </w:r>
            <w:r>
              <w:rPr>
                <w:sz w:val="18"/>
                <w:szCs w:val="18"/>
              </w:rPr>
              <w:t xml:space="preserve"> </w:t>
            </w:r>
            <w:r>
              <w:rPr>
                <w:sz w:val="18"/>
                <w:szCs w:val="18"/>
              </w:rPr>
              <w:t xml:space="preserve">viab+sens+hazard (</w:t>
            </w:r>
            <m:oMath>
              <m:r>
                <w:rPr>
                  <w:sz w:val="18"/>
                  <w:szCs w:val="18"/>
                </w:rPr>
                <m:rPr>
                  <m:sty m:val="p"/>
                </m:rPr>
                <m:t>+</m:t>
              </m:r>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(dinitro-vinylene)</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0.779</w:t>
            </w:r>
          </w:p>
        </w:tc>
      </w:tr>
      <w:tr>
        <w:tc>
          <w:tcPr>
            <w:vAlign w:val="center"/>
          </w:tcPr>
          <w:p>
            <w:pPr>
              <w:pStyle w:val="Compact"/>
              <w:suppressAutoHyphens/>
              <w:jc w:val="center"/>
            </w:pPr>
            <w:r>
              <w:rPr>
                <w:b/>
                <w:bCs/>
                <w:sz w:val="18"/>
                <w:szCs w:val="18"/>
              </w:rPr>
              <w:t xml:space="preserve">C3</w:t>
            </w:r>
            <w:r>
              <w:rPr>
                <w:sz w:val="18"/>
                <w:szCs w:val="18"/>
              </w:rPr>
              <w:t xml:space="preserve"> </w:t>
            </w:r>
            <w:r>
              <w:rPr>
                <w:sz w:val="18"/>
                <w:szCs w:val="18"/>
              </w:rPr>
              <w:t xml:space="preserve">hazard-only (</w:t>
            </w:r>
            <m:oMath>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2.0</m:t>
              </m:r>
            </m:oMath>
            <w:r>
              <w:rPr>
                <w:sz w:val="18"/>
                <w:szCs w:val="18"/>
              </w:rPr>
              <w:t xml:space="preserve">, others=0)</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(same as C2)</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0.794</w:t>
            </w:r>
          </w:p>
        </w:tc>
      </w:tr>
    </w:tbl>
    <w:p>
      <w:pPr>
        <w:pStyle w:val="MDPI18keywords"/>
        <w:ind w:left="2608"/>
      </w:pPr>
      <w:r>
        <w:t xml:space="preserve">Top-1 detonation velocity is nearly invariant across the four conditions (9.44–9.53 km s</w:t>
      </w:r>
      <w:r>
        <w:rPr>
          <w:vertAlign w:val="superscript"/>
        </w:rPr>
        <w:t xml:space="preserve">−1</w:t>
      </w:r>
      <w:r>
        <w:t xml:space="preserve">);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vertAlign w:val="subscript"/>
        </w:rPr>
        <w:t xml:space="preserve">1</w:t>
      </w:r>
      <w:r>
        <w:t xml:space="preserve">N</w:t>
      </w:r>
      <w:r>
        <w:rPr>
          <w:vertAlign w:val="subscript"/>
        </w:rPr>
        <w:t xml:space="preserve">4</w:t>
      </w:r>
      <w:r>
        <w:t xml:space="preserve">O</w:t>
      </w:r>
      <w:r>
        <w:rPr>
          <w:vertAlign w:val="subscript"/>
        </w:rPr>
        <w:t xml:space="preserve">3</w:t>
      </w:r>
      <w:r>
        <w:t xml:space="preserve">, 4-nitro-1,2,3,5-oxatriazole) is the same structure as E-set lead E1, confirming that the unguided sampler independently surfaces E1 as its highest-ranked candidate, a consistency check that E1 is not an artefact of the extension-set mining procedure.</w:t>
      </w:r>
    </w:p>
    <w:p>
      <w:pPr>
        <w:pStyle w:val="MDPI23heading3"/>
        <w:ind w:left="2608"/>
      </w:pPr>
      <w:r>
        <w:t xml:space="preserve">F.4 Per-head ablation (hazard, SA, seed-variance)</w:t>
      </w:r>
    </w:p>
    <w:p>
      <w:pPr>
        <w:pStyle w:val="MDPI18keywords"/>
        <w:ind w:left="2608"/>
      </w:pPr>
      <w:r>
        <w:rPr>
          <w:b/>
          <w:bCs/>
        </w:rPr>
        <w:t xml:space="preserve">Why a separate SA head and what it costs.</w:t>
      </w:r>
      <w:r>
        <w:t xml:space="preserve"> </w:t>
      </w:r>
      <w: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Section 4 with a SmoothL1 loss against the SAScorer label and a static head weight</w:t>
      </w:r>
      <w:r>
        <w:t xml:space="preserve"> </w:t>
      </w:r>
      <m:oMath>
        <m:sSub>
          <m:e>
            <m:r>
              <m:t>w</m:t>
            </m:r>
          </m:e>
          <m:sub>
            <m:r>
              <m:rPr>
                <m:nor/>
                <m:sty m:val="p"/>
              </m:rPr>
              <m:t>SA</m:t>
            </m:r>
          </m:sub>
        </m:sSub>
        <m:r>
          <m:rPr>
            <m:sty m:val="p"/>
          </m:rPr>
          <m:t>=</m:t>
        </m:r>
        <m:r>
          <m:t>0.25</m:t>
        </m:r>
      </m:oMath>
      <w:r>
        <w:t xml:space="preserve"> </w:t>
      </w:r>
      <w: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the Supplementary Information for the full SA / SC drug-domain transfer-head story.)</w:t>
      </w:r>
    </w:p>
    <w:p>
      <w:pPr>
        <w:pStyle w:val="MDPI18keywords"/>
        <w:ind w:left="2608"/>
      </w:pPr>
      <w:r>
        <w:t xml:space="preserve">To put the Supplementary Information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MDPI18keywords"/>
        <w:ind w:left="2608"/>
      </w:pPr>
      <w:r>
        <w:rPr>
          <w:b/>
          <w:bCs/>
        </w:rPr>
        <w:t xml:space="preserve">Table F.4.</w:t>
      </w:r>
      <w:r>
        <w:t xml:space="preserve"> </w:t>
      </w:r>
      <w:r>
        <w:t xml:space="preserve">DGLD multi-seed head-to-head at pool=10 000 per condition across hazard-axis (Hz-) and SA-axis (SA-) matrices, sharing the unguided Hz-C0 = SA-C0 cell. Bold row is the most-novel condition.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991"/>
        <w:gridCol w:w="1862"/>
        <w:gridCol w:w="731"/>
        <w:gridCol w:w="888"/>
        <w:gridCol w:w="792"/>
        <w:gridCol w:w="953"/>
        <w:gridCol w:w="641"/>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DGLD SA-C1 viab-only</w:t>
            </w:r>
          </w:p>
        </w:tc>
        <w:tc>
          <w:tcPr>
            <w:vAlign w:val="center"/>
          </w:tcPr>
          <w:p>
            <w:pPr>
              <w:pStyle w:val="Compact"/>
              <w:suppressAutoHyphens/>
              <w:jc w:val="center"/>
            </w:pPr>
            <w:r>
              <w:rPr>
                <w:sz w:val="18"/>
                <w:szCs w:val="18"/>
              </w:rPr>
              <w:t xml:space="preserve">0.542</w:t>
            </w:r>
            <w:r>
              <w:rPr>
                <w:sz w:val="18"/>
                <w:szCs w:val="18"/>
              </w:rPr>
              <w:t xml:space="preserve"> </w:t>
            </w:r>
            <m:oMath>
              <m:r>
                <w:rPr>
                  <w:sz w:val="18"/>
                  <w:szCs w:val="18"/>
                </w:rPr>
                <m:rPr>
                  <m:sty m:val="p"/>
                </m:rPr>
                <m:t>±</m:t>
              </m:r>
            </m:oMath>
            <w:r>
              <w:rPr>
                <w:sz w:val="18"/>
                <w:szCs w:val="18"/>
              </w:rPr>
              <w:t xml:space="preserve"> </w:t>
            </w:r>
            <w:r>
              <w:rPr>
                <w:sz w:val="18"/>
                <w:szCs w:val="18"/>
              </w:rPr>
              <w:t xml:space="preserve">0.184</w:t>
            </w:r>
          </w:p>
        </w:tc>
        <w:tc>
          <w:tcPr>
            <w:vAlign w:val="center"/>
          </w:tcPr>
          <w:p>
            <w:pPr>
              <w:pStyle w:val="Compact"/>
              <w:suppressAutoHyphens/>
              <w:jc w:val="center"/>
            </w:pPr>
            <w:r>
              <w:rPr>
                <w:sz w:val="18"/>
                <w:szCs w:val="18"/>
              </w:rPr>
              <w:t xml:space="preserve">9.54</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39.8</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0.63</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Hz-C1 viab+sens</w:t>
            </w:r>
          </w:p>
        </w:tc>
        <w:tc>
          <w:tcPr>
            <w:vAlign w:val="center"/>
          </w:tcPr>
          <w:p>
            <w:pPr>
              <w:pStyle w:val="Compact"/>
              <w:suppressAutoHyphens/>
              <w:jc w:val="center"/>
            </w:pPr>
            <w:r>
              <w:rPr>
                <w:sz w:val="18"/>
                <w:szCs w:val="18"/>
              </w:rPr>
              <w:t xml:space="preserve">0.613</w:t>
            </w:r>
            <w:r>
              <w:rPr>
                <w:sz w:val="18"/>
                <w:szCs w:val="18"/>
              </w:rPr>
              <w:t xml:space="preserve"> </w:t>
            </w:r>
            <m:oMath>
              <m:r>
                <w:rPr>
                  <w:sz w:val="18"/>
                  <w:szCs w:val="18"/>
                </w:rPr>
                <m:rPr>
                  <m:sty m:val="p"/>
                </m:rPr>
                <m:t>±</m:t>
              </m:r>
            </m:oMath>
            <w:r>
              <w:rPr>
                <w:sz w:val="18"/>
                <w:szCs w:val="18"/>
              </w:rPr>
              <w:t xml:space="preserve"> </w:t>
            </w:r>
            <w:r>
              <w:rPr>
                <w:sz w:val="18"/>
                <w:szCs w:val="18"/>
              </w:rPr>
              <w:t xml:space="preserve">0.106</w:t>
            </w:r>
          </w:p>
        </w:tc>
        <w:tc>
          <w:tcPr>
            <w:vAlign w:val="center"/>
          </w:tcPr>
          <w:p>
            <w:pPr>
              <w:pStyle w:val="Compact"/>
              <w:suppressAutoHyphens/>
              <w:jc w:val="center"/>
            </w:pPr>
            <w:r>
              <w:rPr>
                <w:sz w:val="18"/>
                <w:szCs w:val="18"/>
              </w:rPr>
              <w:t xml:space="preserve">9.36</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0.46</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SA-C2 viab+sens</w:t>
            </w:r>
          </w:p>
        </w:tc>
        <w:tc>
          <w:tcPr>
            <w:vAlign w:val="center"/>
          </w:tcPr>
          <w:p>
            <w:pPr>
              <w:pStyle w:val="Compact"/>
              <w:suppressAutoHyphens/>
              <w:jc w:val="center"/>
            </w:pPr>
            <w:r>
              <w:rPr>
                <w:sz w:val="18"/>
                <w:szCs w:val="18"/>
              </w:rPr>
              <w:t xml:space="preserve">0.618</w:t>
            </w:r>
            <w:r>
              <w:rPr>
                <w:sz w:val="18"/>
                <w:szCs w:val="18"/>
              </w:rPr>
              <w:t xml:space="preserve"> </w:t>
            </w:r>
            <m:oMath>
              <m:r>
                <w:rPr>
                  <w:sz w:val="18"/>
                  <w:szCs w:val="18"/>
                </w:rPr>
                <m:rPr>
                  <m:sty m:val="p"/>
                </m:rPr>
                <m:t>±</m:t>
              </m:r>
            </m:oMath>
            <w:r>
              <w:rPr>
                <w:sz w:val="18"/>
                <w:szCs w:val="18"/>
              </w:rPr>
              <w:t xml:space="preserve"> </w:t>
            </w:r>
            <w:r>
              <w:rPr>
                <w:sz w:val="18"/>
                <w:szCs w:val="18"/>
              </w:rPr>
              <w:t xml:space="preserve">0.056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38.5</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0.41</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r>
              <w:rPr>
                <w:sz w:val="18"/>
                <w:szCs w:val="18"/>
              </w:rPr>
              <w:t xml:space="preserve"> </w:t>
            </w:r>
            <w:r>
              <w:rPr>
                <w:sz w:val="18"/>
                <w:szCs w:val="18"/>
              </w:rPr>
              <w:t xml:space="preserve">(most novel)</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Hz-C3 hazard-only</w:t>
            </w:r>
          </w:p>
        </w:tc>
        <w:tc>
          <w:tcPr>
            <w:vAlign w:val="center"/>
          </w:tcPr>
          <w:p>
            <w:pPr>
              <w:pStyle w:val="Compact"/>
              <w:suppressAutoHyphens/>
              <w:jc w:val="center"/>
            </w:pPr>
            <w:r>
              <w:rPr>
                <w:sz w:val="18"/>
                <w:szCs w:val="18"/>
              </w:rPr>
              <w:t xml:space="preserve">0.503</w:t>
            </w:r>
            <w:r>
              <w:rPr>
                <w:sz w:val="18"/>
                <w:szCs w:val="18"/>
              </w:rPr>
              <w:t xml:space="preserve"> </w:t>
            </w:r>
            <m:oMath>
              <m:r>
                <w:rPr>
                  <w:sz w:val="18"/>
                  <w:szCs w:val="18"/>
                </w:rPr>
                <m:rPr>
                  <m:sty m:val="p"/>
                </m:rPr>
                <m:t>±</m:t>
              </m:r>
            </m:oMath>
            <w:r>
              <w:rPr>
                <w:sz w:val="18"/>
                <w:szCs w:val="18"/>
              </w:rPr>
              <w:t xml:space="preserve"> </w:t>
            </w:r>
            <w:r>
              <w:rPr>
                <w:sz w:val="18"/>
                <w:szCs w:val="18"/>
              </w:rPr>
              <w:t xml:space="preserve">0.131</w:t>
            </w:r>
          </w:p>
        </w:tc>
        <w:tc>
          <w:tcPr>
            <w:vAlign w:val="center"/>
          </w:tcPr>
          <w:p>
            <w:pPr>
              <w:pStyle w:val="Compact"/>
              <w:suppressAutoHyphens/>
              <w:jc w:val="center"/>
            </w:pPr>
            <w:r>
              <w:rPr>
                <w:sz w:val="18"/>
                <w:szCs w:val="18"/>
              </w:rPr>
              <w:t xml:space="preserve">9.32</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1.95</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38.8</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SA-C3 viab+sens+SA</w:t>
            </w:r>
          </w:p>
        </w:tc>
        <w:tc>
          <w:tcPr>
            <w:vAlign w:val="center"/>
          </w:tcPr>
          <w:p>
            <w:pPr>
              <w:pStyle w:val="Compact"/>
              <w:suppressAutoHyphens/>
              <w:jc w:val="center"/>
            </w:pPr>
            <w:r>
              <w:rPr>
                <w:sz w:val="18"/>
                <w:szCs w:val="18"/>
              </w:rPr>
              <w:t xml:space="preserve">0.698</w:t>
            </w:r>
            <w:r>
              <w:rPr>
                <w:sz w:val="18"/>
                <w:szCs w:val="18"/>
              </w:rPr>
              <w:t xml:space="preserve"> </w:t>
            </w:r>
            <m:oMath>
              <m:r>
                <w:rPr>
                  <w:sz w:val="18"/>
                  <w:szCs w:val="18"/>
                </w:rPr>
                <m:rPr>
                  <m:sty m:val="p"/>
                </m:rPr>
                <m:t>±</m:t>
              </m:r>
            </m:oMath>
            <w:r>
              <w:rPr>
                <w:sz w:val="18"/>
                <w:szCs w:val="18"/>
              </w:rPr>
              <w:t xml:space="preserve"> </w:t>
            </w:r>
            <w:r>
              <w:rPr>
                <w:sz w:val="18"/>
                <w:szCs w:val="18"/>
              </w:rPr>
              <w:t xml:space="preserve">0.015</w:t>
            </w:r>
          </w:p>
        </w:tc>
        <w:tc>
          <w:tcPr>
            <w:vAlign w:val="center"/>
          </w:tcPr>
          <w:p>
            <w:pPr>
              <w:pStyle w:val="Compact"/>
              <w:suppressAutoHyphens/>
              <w:jc w:val="center"/>
            </w:pPr>
            <w:r>
              <w:rPr>
                <w:sz w:val="18"/>
                <w:szCs w:val="18"/>
              </w:rPr>
              <w:t xml:space="preserve">9.34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0.49</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bl>
    <w:p>
      <w:pPr>
        <w:pStyle w:val="MDPI18keywords"/>
        <w:ind w:left="2608"/>
      </w:pPr>
      <w:r>
        <w:t xml:space="preserve">Per-condition seed variance (Hz-C1</w:t>
      </w:r>
      <w:r>
        <w:t xml:space="preserve"> </w:t>
      </w:r>
      <m:oMath>
        <m:r>
          <m:rPr>
            <m:sty m:val="p"/>
          </m:rPr>
          <m:t>=</m:t>
        </m:r>
      </m:oMath>
      <w:r>
        <w:t xml:space="preserve"> </w:t>
      </w:r>
      <w:r>
        <w:t xml:space="preserve">0.613, Hz-C2</w:t>
      </w:r>
      <w:r>
        <w:t xml:space="preserve"> </w:t>
      </w:r>
      <m:oMath>
        <m:r>
          <m:rPr>
            <m:sty m:val="p"/>
          </m:rPr>
          <m:t>=</m:t>
        </m:r>
      </m:oMath>
      <w:r>
        <w:t xml:space="preserve"> </w:t>
      </w:r>
      <w:r>
        <w:t xml:space="preserve">0.485, Hz-C3</w:t>
      </w:r>
      <w:r>
        <w:t xml:space="preserve"> </w:t>
      </w:r>
      <m:oMath>
        <m:r>
          <m:rPr>
            <m:sty m:val="p"/>
          </m:rPr>
          <m:t>=</m:t>
        </m:r>
      </m:oMath>
      <w:r>
        <w:t xml:space="preserve"> </w:t>
      </w:r>
      <w:r>
        <w:t xml:space="preserve">0.503) is comparable to or larger than the across-condition mean differences, so the Supplementary Information single-seed numbers must be read with this variance in mind. Hz-C2 viab+sens+hazard is the most-novel condition (max-Tani 0.27, 0/3 seeds memorised) and is adopted as the production default. The SA-axis SA-C3 (viab+sens+SA at</w:t>
      </w:r>
      <w:r>
        <w:t xml:space="preserve"> </w:t>
      </w:r>
      <m:oMath>
        <m:sSub>
          <m:e>
            <m:r>
              <m:t>s</m:t>
            </m:r>
          </m:e>
          <m:sub>
            <m:r>
              <m:rPr>
                <m:nor/>
                <m:sty m:val="p"/>
              </m:rPr>
              <m:t>SA</m:t>
            </m:r>
          </m:sub>
        </m:sSub>
        <m:r>
          <m:t>​</m:t>
        </m:r>
        <m:r>
          <m:rPr>
            <m:sty m:val="p"/>
          </m:rPr>
          <m:t>=</m:t>
        </m:r>
        <m:r>
          <m:t>​</m:t>
        </m:r>
        <m:r>
          <m:t>0.15</m:t>
        </m:r>
      </m:oMath>
      <w:r>
        <w:t xml:space="preserve">) is the worst condition in either matrix at top-1 composite 0.698, justifying the production setting</w:t>
      </w:r>
      <w:r>
        <w:t xml:space="preserve"> </w:t>
      </w:r>
      <m:oMath>
        <m:sSub>
          <m:e>
            <m:r>
              <m:t>s</m:t>
            </m:r>
          </m:e>
          <m:sub>
            <m:r>
              <m:rPr>
                <m:nor/>
                <m:sty m:val="p"/>
              </m:rPr>
              <m:t>SA</m:t>
            </m:r>
          </m:sub>
        </m:sSub>
        <m:r>
          <m:t>​</m:t>
        </m:r>
        <m:r>
          <m:rPr>
            <m:sty m:val="p"/>
          </m:rPr>
          <m:t>=</m:t>
        </m:r>
        <m:r>
          <m:t>​</m:t>
        </m:r>
        <m:r>
          <m:t>0</m:t>
        </m:r>
      </m:oMath>
      <w:r>
        <w:t xml:space="preserve"> </w:t>
      </w:r>
      <w:r>
        <w:t xml:space="preserve">(Section 4). The 6-seed unguided pool gives the tightest mean (0.451</w:t>
      </w:r>
      <w:r>
        <w:t xml:space="preserve"> </w:t>
      </w:r>
      <m:oMath>
        <m:r>
          <m:rPr>
            <m:sty m:val="p"/>
          </m:rPr>
          <m:t>±</m:t>
        </m:r>
      </m:oMath>
      <w:r>
        <w:t xml:space="preserve"> </w:t>
      </w:r>
      <w:r>
        <w:t xml:space="preserve">0.126).</w:t>
      </w:r>
    </w:p>
    <w:p>
      <w:pPr>
        <w:pStyle w:val="MDPI18keywords"/>
        <w:ind w:left="2608"/>
      </w:pPr>
      <w:r>
        <w:rPr>
          <w:b/>
          <w:bCs/>
        </w:rPr>
        <w:t xml:space="preserve">Per-head guidance grid and hazard-head as a soft filter.</w:t>
      </w:r>
      <w:r>
        <w:t xml:space="preserve"> </w:t>
      </w:r>
      <w:r>
        <w:t xml:space="preserve">A 12-cell head-state grid over (</w:t>
      </w:r>
      <m:oMath>
        <m:sSub>
          <m:e>
            <m:r>
              <m:t>s</m:t>
            </m:r>
          </m:e>
          <m:sub>
            <m:r>
              <m:rPr>
                <m:nor/>
                <m:sty m:val="p"/>
              </m:rPr>
              <m:t>viab</m:t>
            </m:r>
          </m:sub>
        </m:sSub>
      </m:oMath>
      <w:r>
        <w:t xml:space="preserve">,</w:t>
      </w:r>
      <w:r>
        <w:t xml:space="preserve"> </w:t>
      </w:r>
      <m:oMath>
        <m:sSub>
          <m:e>
            <m:r>
              <m:t>s</m:t>
            </m:r>
          </m:e>
          <m:sub>
            <m:r>
              <m:rPr>
                <m:nor/>
                <m:sty m:val="p"/>
              </m:rPr>
              <m:t>hazard</m:t>
            </m:r>
          </m:sub>
        </m:sSub>
      </m:oMath>
      <w:r>
        <w:t xml:space="preserve">) collapses to exactly four distinct outputs organised by the 2×2 head-on/off combinations (cluster D, viab+hazard, is the production default). The full md5 cluster table, the SC-gradient sweep, and the heuristic-vs-literature sensitivity-head ablation are in</w:t>
      </w:r>
      <w:r>
        <w:t xml:space="preserve"> </w:t>
      </w:r>
      <w:hyperlink w:anchor="sec-app">
        <w:r>
          <w:rPr>
            <w:rStyle w:val="Hyperlink"/>
          </w:rPr>
          <w:t xml:space="preserve">the Supplementary Information</w:t>
        </w:r>
      </w:hyperlink>
      <w:r>
        <w:t xml:space="preserve">. As a complementary ablation on the same axis, Section 4 hazard head applied as a soft re-rank weight on the merged top-100 recovers all 23 chemist-SMARTS rejects and exposes 66 additional candidates on which the SMARTS catalog is silent (5-fold held-out AUROC</w:t>
      </w:r>
      <w:r>
        <w:t xml:space="preserve"> </w:t>
      </w:r>
      <m:oMath>
        <m:r>
          <m:rPr>
            <m:sty m:val="p"/>
          </m:rPr>
          <m:t>=</m:t>
        </m:r>
      </m:oMath>
      <w:r>
        <w:t xml:space="preserve"> </w:t>
      </w:r>
      <w:r>
        <w:t xml:space="preserve">0.91</w:t>
      </w:r>
      <w:r>
        <w:t xml:space="preserve"> </w:t>
      </w:r>
      <m:oMath>
        <m:r>
          <m:rPr>
            <m:sty m:val="p"/>
          </m:rPr>
          <m:t>±</m:t>
        </m:r>
      </m:oMath>
      <w:r>
        <w:t xml:space="preserve"> </w:t>
      </w:r>
      <w:r>
        <w:t xml:space="preserve">0.05; threshold sweep and false-positive analysis in the Supplementary Information.</w:t>
      </w:r>
    </w:p>
    <w:p>
      <w:pPr>
        <w:pStyle w:val="MDPI23heading3"/>
        <w:ind w:left="2608"/>
      </w:pPr>
      <w:r>
        <w:t xml:space="preserve">F.5 M7 five-lane 100k-pool run</w:t>
      </w:r>
    </w:p>
    <w:p>
      <w:pPr>
        <w:pStyle w:val="MDPI18keywords"/>
        <w:ind w:left="2608"/>
      </w:pPr>
      <w:r>
        <w:t xml:space="preserve">The the Supplementary Information/the Supplementary Information ablations each use pool = 10 000 per condition; the Supplementary Information at pool = 40k uses a single lane per denoiser. To verify that pool-fusion continues to pay off beyond 40k, a 100k-pool M7 experiment ran five sampling lanes with seeds 3–4; the top-200 candidates were re-ranked by Section 4 composite.</w:t>
      </w:r>
    </w:p>
    <w:p>
      <w:pPr>
        <w:pStyle w:val="MDPI18keywords"/>
        <w:ind w:left="2608"/>
      </w:pPr>
      <w:r>
        <w:rPr>
          <w:b/>
          <w:bCs/>
        </w:rPr>
        <w:t xml:space="preserve">Table F.5.</w:t>
      </w:r>
      <w:r>
        <w:t xml:space="preserve"> </w:t>
      </w:r>
      <w:r>
        <w:t xml:space="preserve">M7 five-lane 100k pool-fusion results vs the Supplementary Information single-lane 40k baseline. Pipeline keep-rate is n_validated / n_raw (Uni-Mol + composite filter). Diversity and scaffold count over the returned top-200.</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836"/>
        <w:gridCol w:w="719"/>
        <w:gridCol w:w="749"/>
        <w:gridCol w:w="670"/>
        <w:gridCol w:w="708"/>
        <w:gridCol w:w="683"/>
        <w:gridCol w:w="777"/>
        <w:gridCol w:w="985"/>
        <w:gridCol w:w="731"/>
      </w:tblGrid>
      <w:tr>
        <w:trPr>
          <w:tblHeader w:val="on"/>
        </w:trPr>
        <w:tc>
          <w:tcPr>
            <w:tcBorders>
              <w:bottom w:val="single" w:sz="8" w:space="0" w:color="auto"/>
            </w:tcBorders>
            <w:vAlign w:val="center"/>
          </w:tcPr>
          <w:p>
            <w:pPr>
              <w:pStyle w:val="Compact"/>
              <w:suppressAutoHyphens/>
              <w:jc w:val="center"/>
            </w:pPr>
            <w:r>
              <w:rPr>
                <w:b/>
                <w:sz w:val="18"/>
                <w:szCs w:val="18"/>
              </w:rPr>
              <w:t xml:space="preserve">Run</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n_pass</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Max</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Scaffolds</w:t>
            </w:r>
          </w:p>
        </w:tc>
        <w:tc>
          <w:tcPr>
            <w:tcBorders>
              <w:bottom w:val="single" w:sz="8" w:space="0" w:color="auto"/>
            </w:tcBorders>
            <w:vAlign w:val="center"/>
          </w:tcPr>
          <w:p>
            <w:pPr>
              <w:pStyle w:val="Compact"/>
              <w:suppressAutoHyphens/>
              <w:jc w:val="center"/>
            </w:pPr>
            <w:r>
              <w:rPr>
                <w:b/>
                <w:sz w:val="18"/>
                <w:szCs w:val="18"/>
              </w:rPr>
              <w:t xml:space="preserve">IntDiv</w:t>
            </w:r>
          </w:p>
        </w:tc>
      </w:tr>
      <w:tr>
        <w:tc>
          <w:tcPr>
            <w:vAlign w:val="center"/>
          </w:tcPr>
          <w:p>
            <w:pPr>
              <w:pStyle w:val="Compact"/>
              <w:suppressAutoHyphens/>
              <w:jc w:val="center"/>
            </w:pPr>
            <w:r>
              <w:rPr>
                <w:sz w:val="18"/>
                <w:szCs w:val="18"/>
              </w:rPr>
              <w:t xml:space="preserve">Single-lane 40k (the Supplementary Information)</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966</w:t>
            </w:r>
          </w:p>
        </w:tc>
        <w:tc>
          <w:tcPr>
            <w:vAlign w:val="center"/>
          </w:tcPr>
          <w:p>
            <w:pPr>
              <w:pStyle w:val="Compact"/>
              <w:suppressAutoHyphens/>
              <w:jc w:val="center"/>
            </w:pPr>
            <w:r>
              <w:rPr>
                <w:sz w:val="18"/>
                <w:szCs w:val="18"/>
              </w:rPr>
              <w:t xml:space="preserve">2.4 %</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w:t>
            </w:r>
          </w:p>
        </w:tc>
      </w:tr>
      <w:tr>
        <w:tc>
          <w:tcPr>
            <w:vAlign w:val="center"/>
          </w:tcPr>
          <w:p>
            <w:pPr>
              <w:pStyle w:val="Compact"/>
              <w:suppressAutoHyphens/>
              <w:jc w:val="center"/>
            </w:pPr>
            <w:r>
              <w:rPr>
                <w:b/>
                <w:bCs/>
                <w:sz w:val="18"/>
                <w:szCs w:val="18"/>
              </w:rPr>
              <w:t xml:space="preserve">M7 five-lane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4 639</w:t>
            </w:r>
          </w:p>
        </w:tc>
        <w:tc>
          <w:tcPr>
            <w:vAlign w:val="center"/>
          </w:tcPr>
          <w:p>
            <w:pPr>
              <w:pStyle w:val="Compact"/>
              <w:suppressAutoHyphens/>
              <w:jc w:val="center"/>
            </w:pPr>
            <w:r>
              <w:rPr>
                <w:sz w:val="18"/>
                <w:szCs w:val="18"/>
              </w:rPr>
              <w:t xml:space="preserve">4.6 %</w:t>
            </w:r>
          </w:p>
        </w:tc>
        <w:tc>
          <w:tcPr>
            <w:vAlign w:val="center"/>
          </w:tcPr>
          <w:p>
            <w:pPr>
              <w:pStyle w:val="Compact"/>
              <w:suppressAutoHyphens/>
              <w:jc w:val="center"/>
            </w:pPr>
            <w:r>
              <w:rPr>
                <w:b/>
                <w:bCs/>
                <w:sz w:val="18"/>
                <w:szCs w:val="18"/>
              </w:rPr>
              <w:t xml:space="preserve">9.47</w:t>
            </w:r>
          </w:p>
        </w:tc>
        <w:tc>
          <w:tcPr>
            <w:vAlign w:val="center"/>
          </w:tcPr>
          <w:p>
            <w:pPr>
              <w:pStyle w:val="Compact"/>
              <w:suppressAutoHyphens/>
              <w:jc w:val="center"/>
            </w:pPr>
            <w:r>
              <w:rPr>
                <w:b/>
                <w:bCs/>
                <w:sz w:val="18"/>
                <w:szCs w:val="18"/>
              </w:rPr>
              <w:t xml:space="preserve">9.79</w:t>
            </w:r>
          </w:p>
        </w:tc>
        <w:tc>
          <w:tcPr>
            <w:vAlign w:val="center"/>
          </w:tcPr>
          <w:p>
            <w:pPr>
              <w:pStyle w:val="Compact"/>
              <w:suppressAutoHyphens/>
              <w:jc w:val="center"/>
            </w:pPr>
            <w:r>
              <w:rPr>
                <w:b/>
                <w:bCs/>
                <w:sz w:val="18"/>
                <w:szCs w:val="18"/>
              </w:rPr>
              <w:t xml:space="preserve">9.03</w:t>
            </w:r>
          </w:p>
        </w:tc>
        <w:tc>
          <w:tcPr>
            <w:vAlign w:val="center"/>
          </w:tcPr>
          <w:p>
            <w:pPr>
              <w:pStyle w:val="Compact"/>
              <w:suppressAutoHyphens/>
              <w:jc w:val="center"/>
            </w:pPr>
            <w:r>
              <w:rPr>
                <w:b/>
                <w:bCs/>
                <w:sz w:val="18"/>
                <w:szCs w:val="18"/>
              </w:rPr>
              <w:t xml:space="preserve">24</w:t>
            </w:r>
          </w:p>
        </w:tc>
        <w:tc>
          <w:tcPr>
            <w:vAlign w:val="center"/>
          </w:tcPr>
          <w:p>
            <w:pPr>
              <w:pStyle w:val="Compact"/>
              <w:suppressAutoHyphens/>
              <w:jc w:val="center"/>
            </w:pPr>
            <w:r>
              <w:rPr>
                <w:b/>
                <w:bCs/>
                <w:sz w:val="18"/>
                <w:szCs w:val="18"/>
              </w:rPr>
              <w:t xml:space="preserve">0.81</w:t>
            </w:r>
          </w:p>
        </w:tc>
      </w:tr>
    </w:tbl>
    <w:p>
      <w:pPr>
        <w:pStyle w:val="MDPI18keywords"/>
        <w:ind w:left="2608"/>
      </w:pPr>
      <w:r>
        <w:t xml:space="preserve">The five-lane fusion nearly doubles the keep rate (4.6 % vs 2.4 %, 1.92×) and quintuples the absolute number of passing candidates (4 639 vs 966), consistent with each lane surface-sampling a distinct region of the high-density manifold. Top-1</w:t>
      </w:r>
      <w:r>
        <w:t xml:space="preserve"> </w:t>
      </w:r>
      <m:oMath>
        <m:r>
          <m:t>D</m:t>
        </m:r>
      </m:oMath>
      <w:r>
        <w:t xml:space="preserve"> </w:t>
      </w:r>
      <w:r>
        <w:t xml:space="preserve">is stable at 9.47 km s</w:t>
      </w:r>
      <w:r>
        <w:rPr>
          <w:vertAlign w:val="superscript"/>
        </w:rPr>
        <w:t xml:space="preserve">−1</w:t>
      </w:r>
      <w:r>
        <w:t xml:space="preserve"> </w:t>
      </w:r>
      <w:r>
        <w:t xml:space="preserve">(within 0.04 km s</w:t>
      </w:r>
      <w:r>
        <w:rPr>
          <w:vertAlign w:val="superscript"/>
        </w:rPr>
        <w:t xml:space="preserve">−1</w:t>
      </w:r>
      <w:r>
        <w:t xml:space="preserve"> </w:t>
      </w:r>
      <w:r>
        <w:t xml:space="preserve">of the single-lane best), while max</w:t>
      </w:r>
      <w:r>
        <w:t xml:space="preserve"> </w:t>
      </w:r>
      <m:oMath>
        <m:r>
          <m:t>D</m:t>
        </m:r>
      </m:oMath>
      <w:r>
        <w:t xml:space="preserve"> </w:t>
      </w:r>
      <w:r>
        <w:t xml:space="preserve">rises to 9.79 km s</w:t>
      </w:r>
      <w:r>
        <w:rPr>
          <w:vertAlign w:val="superscript"/>
        </w:rPr>
        <w:t xml:space="preserve">−1</w:t>
      </w:r>
      <w:r>
        <w:t xml:space="preserve">. The fused top-200 spans 24 distinct Bemis–Murcko scaffolds at internal diversity 0.81, a meaningful improvement over the single-lane seven-scaffold top-100. The top-1 SMILES is</w:t>
      </w:r>
      <w:r>
        <w:t xml:space="preserve"> </w:t>
      </w:r>
      <w:r>
        <w:rPr>
          <w:rStyle w:val="VerbatimChar"/>
        </w:rPr>
        <w:t xml:space="preserve">O=[N+]([O-])OC1C([N+](=O)[O-])=C1[N+](=O)[O-]</w:t>
      </w:r>
      <w:r>
        <w:t xml:space="preserve"> </w:t>
      </w:r>
      <w:r>
        <w:t xml:space="preserve">(1,2,3-trinitrocyclopropene), a compact ring with three nitro groups and no prior labelled-master entry.</w:t>
      </w:r>
    </w:p>
    <w:p>
      <w:pPr>
        <w:pStyle w:val="MDPI23heading3"/>
        <w:ind w:left="2608"/>
      </w:pPr>
      <w:r>
        <w:t xml:space="preserve">F.6 Tier-gate ablation (perf head trained without label-trust masking)</w:t>
      </w:r>
    </w:p>
    <w:p>
      <w:pPr>
        <w:pStyle w:val="MDPI18keywords"/>
        <w:ind w:left="2608"/>
      </w:pPr>
      <w:r>
        <w:t xml:space="preserve">The tier-gated training recipe (Section 4, Section 4) masks the performance head from Tier-C/D rows during training, preventing low-confidence empirical-formula and 3D-CNN surrogate labels from driving the performance gradient. To quantify this design choice, the score model was retrained with</w:t>
      </w:r>
      <w:r>
        <w:t xml:space="preserve"> </w:t>
      </w:r>
      <w:r>
        <w:rPr>
          <w:rStyle w:val="VerbatimChar"/>
        </w:rPr>
        <w:t xml:space="preserve">--no_tier_gate</w:t>
      </w:r>
      <w:r>
        <w:t xml:space="preserve">: the performance head trains on all rows, including noisy Tier-C/D labels. The modified model then guided 20 000 samples through the identical DDIM sampler.</w:t>
      </w:r>
    </w:p>
    <w:p>
      <w:pPr>
        <w:pStyle w:val="MDPI18keywords"/>
        <w:ind w:left="2608"/>
      </w:pPr>
      <w:r>
        <w:rPr>
          <w:b/>
          <w:bCs/>
        </w:rPr>
        <w:t xml:space="preserve">Table F.6.</w:t>
      </w:r>
      <w:r>
        <w:t xml:space="preserve"> </w:t>
      </w:r>
      <w:r>
        <w:t xml:space="preserve">Tier-gate ablation: score model trained with and without perf-head label-trust masking, evaluated at pool=20 000. Top-1 ranked by N-fraction proxy (no Uni-Mol scoring). n_feasible is post-SMARTS-gate + SA ≤ 6.5.</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11"/>
        <w:gridCol w:w="725"/>
        <w:gridCol w:w="1091"/>
        <w:gridCol w:w="698"/>
        <w:gridCol w:w="689"/>
        <w:gridCol w:w="2373"/>
        <w:gridCol w:w="771"/>
      </w:tblGrid>
      <w:tr>
        <w:trPr>
          <w:tblHeader w:val="on"/>
        </w:trPr>
        <w:tc>
          <w:tcPr>
            <w:tcBorders>
              <w:bottom w:val="single" w:sz="8" w:space="0" w:color="auto"/>
            </w:tcBorders>
            <w:vAlign w:val="center"/>
          </w:tcPr>
          <w:p>
            <w:pPr>
              <w:pStyle w:val="Compact"/>
              <w:suppressAutoHyphens/>
              <w:jc w:val="center"/>
            </w:pPr>
            <w:r>
              <w:rPr>
                <w:b/>
                <w:sz w:val="18"/>
                <w:szCs w:val="18"/>
              </w:rPr>
              <w:t xml:space="preserve">Training</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n_feasible</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sSub>
                <m:e>
                  <m:r>
                    <w:rPr>
                      <w:sz w:val="18"/>
                      <w:szCs w:val="18"/>
                    </w:rPr>
                    <m:t>f</m:t>
                  </m:r>
                </m:e>
                <m:sub>
                  <m:r>
                    <w:rPr>
                      <w:sz w:val="18"/>
                      <w:szCs w:val="18"/>
                    </w:rPr>
                    <m:t>N</m:t>
                  </m:r>
                </m:sub>
              </m:sSub>
            </m:oMath>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Best val loss</w:t>
            </w:r>
          </w:p>
        </w:tc>
      </w:tr>
      <w:tr>
        <w:tc>
          <w:tcPr>
            <w:vAlign w:val="center"/>
          </w:tcPr>
          <w:p>
            <w:pPr>
              <w:pStyle w:val="Compact"/>
              <w:suppressAutoHyphens/>
              <w:jc w:val="center"/>
            </w:pPr>
            <w:r>
              <w:rPr>
                <w:sz w:val="18"/>
                <w:szCs w:val="18"/>
              </w:rPr>
              <w:t xml:space="preserve">Production (tier-gate on, Section 4)</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see the Supplementary Information (Uni-Mol-ranked)</w:t>
            </w:r>
          </w:p>
        </w:tc>
        <w:tc>
          <w:tcPr>
            <w:vAlign w:val="center"/>
          </w:tcPr>
          <w:p>
            <w:pPr>
              <w:pStyle w:val="Compact"/>
              <w:suppressAutoHyphens/>
              <w:jc w:val="center"/>
            </w:pPr>
            <w:r>
              <w:rPr>
                <w:sz w:val="18"/>
                <w:szCs w:val="18"/>
              </w:rPr>
              <w:t xml:space="preserve">1.089</w:t>
            </w:r>
          </w:p>
        </w:tc>
      </w:tr>
      <w:tr>
        <w:tc>
          <w:tcPr>
            <w:vAlign w:val="center"/>
          </w:tcPr>
          <w:p>
            <w:pPr>
              <w:pStyle w:val="Compact"/>
              <w:suppressAutoHyphens/>
              <w:jc w:val="center"/>
            </w:pPr>
            <w:r>
              <w:rPr>
                <w:b/>
                <w:bCs/>
                <w:sz w:val="18"/>
                <w:szCs w:val="18"/>
              </w:rPr>
              <w:t xml:space="preserve">No tier-gate</w:t>
            </w:r>
            <w:r>
              <w:rPr>
                <w:sz w:val="18"/>
                <w:szCs w:val="18"/>
              </w:rPr>
              <w:t xml:space="preserve"> </w:t>
            </w:r>
            <w:r>
              <w:rPr>
                <w:sz w:val="18"/>
                <w:szCs w:val="18"/>
              </w:rPr>
              <w:t xml:space="preserve">(ablation)</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10 773</w:t>
            </w:r>
          </w:p>
        </w:tc>
        <w:tc>
          <w:tcPr>
            <w:vAlign w:val="center"/>
          </w:tcPr>
          <w:p>
            <w:pPr>
              <w:pStyle w:val="Compact"/>
              <w:suppressAutoHyphens/>
              <w:jc w:val="center"/>
            </w:pPr>
            <w:r>
              <w:rPr>
                <w:sz w:val="18"/>
                <w:szCs w:val="18"/>
              </w:rPr>
              <w:t xml:space="preserve">53.9 %</w:t>
            </w:r>
          </w:p>
        </w:tc>
        <w:tc>
          <w:tcPr>
            <w:vAlign w:val="center"/>
          </w:tcPr>
          <w:p>
            <w:pPr>
              <w:pStyle w:val="Compact"/>
              <w:suppressAutoHyphens/>
              <w:jc w:val="center"/>
            </w:pPr>
            <w:r>
              <w:rPr>
                <w:sz w:val="18"/>
                <w:szCs w:val="18"/>
              </w:rPr>
              <w:t xml:space="preserve">0.667</w:t>
            </w:r>
          </w:p>
        </w:tc>
        <w:tc>
          <w:tcPr>
            <w:vAlign w:val="center"/>
          </w:tcPr>
          <w:p>
            <w:pPr>
              <w:pStyle w:val="Compact"/>
              <w:suppressAutoHyphens/>
              <w:jc w:val="center"/>
            </w:pPr>
            <w:r>
              <w:rPr>
                <w:rStyle w:val="VerbatimChar"/>
                <w:sz w:val="18"/>
                <w:szCs w:val="18"/>
              </w:rPr>
              <w:t xml:space="preserve">[N+][N+]([O-])NC(=N)N[N+]=O</w:t>
            </w:r>
          </w:p>
        </w:tc>
        <w:tc>
          <w:tcPr>
            <w:vAlign w:val="center"/>
          </w:tcPr>
          <w:p>
            <w:pPr>
              <w:pStyle w:val="Compact"/>
              <w:suppressAutoHyphens/>
              <w:jc w:val="center"/>
            </w:pPr>
            <w:r>
              <w:rPr>
                <w:sz w:val="18"/>
                <w:szCs w:val="18"/>
              </w:rPr>
              <w:t xml:space="preserve">1.178</w:t>
            </w:r>
          </w:p>
        </w:tc>
      </w:tr>
    </w:tbl>
    <w:p>
      <w:pPr>
        <w:pStyle w:val="MDPI18keywords"/>
        <w:ind w:left="2608"/>
      </w:pPr>
      <w: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t xml:space="preserve"> </w:t>
      </w:r>
      <m:oMath>
        <m:sSub>
          <m:e>
            <m:r>
              <m:t>f</m:t>
            </m:r>
          </m:e>
          <m:sub>
            <m:r>
              <m:t>N</m:t>
            </m:r>
          </m:sub>
        </m:sSub>
      </m:oMath>
      <w:r>
        <w:t xml:space="preserve"> </w:t>
      </w:r>
      <w:r>
        <w:t xml:space="preserve">by atom count, not by energetic architecture). The validation loss rises by 0.089 absolute, consistent with the perf head being trained on noisier targets.</w:t>
      </w:r>
    </w:p>
    <w:p>
      <w:pPr>
        <w:pStyle w:val="MDPI21heading1"/>
        <w:ind w:left="2608"/>
      </w:pPr>
      <w:r>
        <w:t xml:space="preserve">References</w:t>
      </w:r>
    </w:p>
    <w:p>
      <w:pPr>
        <w:pStyle w:val="MDPI81references"/>
        <w:numPr>
          <w:ilvl w:val="0"/>
          <w:numId w:val="0"/>
        </w:numPr>
        <w:ind w:left="180" w:hanging="180"/>
      </w:pPr>
      <w:bookmarkStart w:id="47"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47"/>
    </w:p>
    <w:p>
      <w:pPr>
        <w:pStyle w:val="MDPI81references"/>
        <w:numPr>
          <w:ilvl w:val="0"/>
          <w:numId w:val="0"/>
        </w:numPr>
        <w:ind w:left="180" w:hanging="180"/>
      </w:pPr>
      <w:bookmarkStart w:id="48"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48"/>
    </w:p>
    <w:p>
      <w:pPr>
        <w:pStyle w:val="MDPI81references"/>
        <w:numPr>
          <w:ilvl w:val="0"/>
          <w:numId w:val="0"/>
        </w:numPr>
        <w:ind w:left="180" w:hanging="180"/>
      </w:pPr>
      <w:bookmarkStart w:id="49"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49"/>
    </w:p>
    <w:p>
      <w:pPr>
        <w:pStyle w:val="MDPI81references"/>
        <w:numPr>
          <w:ilvl w:val="0"/>
          <w:numId w:val="0"/>
        </w:numPr>
        <w:ind w:left="180" w:hanging="180"/>
      </w:pPr>
      <w:bookmarkStart w:id="50" w:name="ref-reidenbach2023molmim"/>
      <w:r>
        <w:t xml:space="preserve">Reidenbach, D., Livne, M., Ilango, R. K., Gill, M., &amp; Israeli, J. (2023). MolMIM: A Molecular Language Model for Property-Guided Molecule Generation via Mutual Information Machines. (MLDD Workshop, ICLR 2023; arXiv:2208.09016).</w:t>
      </w:r>
      <w:bookmarkEnd w:id="50"/>
    </w:p>
    <w:p>
      <w:pPr>
        <w:pStyle w:val="MDPI81references"/>
        <w:numPr>
          <w:ilvl w:val="0"/>
          <w:numId w:val="0"/>
        </w:numPr>
        <w:ind w:left="180" w:hanging="180"/>
      </w:pPr>
      <w:bookmarkStart w:id="51"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51"/>
    </w:p>
    <w:p>
      <w:pPr>
        <w:pStyle w:val="MDPI81references"/>
        <w:numPr>
          <w:ilvl w:val="0"/>
          <w:numId w:val="0"/>
        </w:numPr>
        <w:ind w:left="180" w:hanging="180"/>
      </w:pPr>
      <w:bookmarkStart w:id="52"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52"/>
    </w:p>
    <w:p>
      <w:pPr>
        <w:pStyle w:val="MDPI81references"/>
        <w:numPr>
          <w:ilvl w:val="0"/>
          <w:numId w:val="0"/>
        </w:numPr>
        <w:ind w:left="180" w:hanging="180"/>
      </w:pPr>
      <w:bookmarkStart w:id="53"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53"/>
    </w:p>
    <w:p>
      <w:pPr>
        <w:pStyle w:val="MDPI81references"/>
        <w:numPr>
          <w:ilvl w:val="0"/>
          <w:numId w:val="0"/>
        </w:numPr>
        <w:ind w:left="180" w:hanging="180"/>
      </w:pPr>
      <w:bookmarkStart w:id="54" w:name="ref-vignac2023digress"/>
      <w:r>
        <w:t xml:space="preserve">Vignac, C. et al. (2023). DiGress: Discrete Denoising Diffusion for Graph Generation.</w:t>
      </w:r>
      <w:r>
        <w:t xml:space="preserve"> </w:t>
      </w:r>
      <w:r>
        <w:rPr>
          <w:i/>
          <w:iCs/>
        </w:rPr>
        <w:t xml:space="preserve">ICLR 2023</w:t>
      </w:r>
      <w:r>
        <w:t xml:space="preserve">. arXiv:2209.14734.</w:t>
      </w:r>
      <w:bookmarkEnd w:id="54"/>
    </w:p>
    <w:p>
      <w:pPr>
        <w:pStyle w:val="MDPI81references"/>
        <w:numPr>
          <w:ilvl w:val="0"/>
          <w:numId w:val="0"/>
        </w:numPr>
        <w:ind w:left="180" w:hanging="180"/>
      </w:pPr>
      <w:bookmarkStart w:id="55"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55"/>
    </w:p>
    <w:p>
      <w:pPr>
        <w:pStyle w:val="MDPI81references"/>
        <w:numPr>
          <w:ilvl w:val="0"/>
          <w:numId w:val="0"/>
        </w:numPr>
        <w:ind w:left="180" w:hanging="180"/>
      </w:pPr>
      <w:bookmarkStart w:id="56"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56"/>
    </w:p>
    <w:p>
      <w:pPr>
        <w:pStyle w:val="MDPI81references"/>
        <w:numPr>
          <w:ilvl w:val="0"/>
          <w:numId w:val="0"/>
        </w:numPr>
        <w:ind w:left="180" w:hanging="180"/>
      </w:pPr>
      <w:bookmarkStart w:id="57"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57"/>
    </w:p>
    <w:p>
      <w:pPr>
        <w:pStyle w:val="MDPI81references"/>
        <w:numPr>
          <w:ilvl w:val="0"/>
          <w:numId w:val="0"/>
        </w:numPr>
        <w:ind w:left="180" w:hanging="180"/>
      </w:pPr>
      <w:bookmarkStart w:id="59" w:name="ref-daylight-smarts"/>
      <w:r>
        <w:t xml:space="preserve">Daylight Chemical Information Systems. (2007). SMARTS: A Language for Describing Molecular Patterns. Daylight Theory Manual, Aliso Viejo, CA.</w:t>
      </w:r>
      <w:r>
        <w:t xml:space="preserve"> </w:t>
      </w:r>
      <w:hyperlink r:id="rId23">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Section 4).</w:t>
      </w:r>
      <w:bookmarkEnd w:id="59"/>
    </w:p>
    <w:p>
      <w:pPr>
        <w:pStyle w:val="MDPI81references"/>
        <w:numPr>
          <w:ilvl w:val="0"/>
          <w:numId w:val="0"/>
        </w:numPr>
        <w:ind w:left="180" w:hanging="180"/>
      </w:pPr>
      <w:bookmarkStart w:id="60"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60"/>
    </w:p>
    <w:p>
      <w:pPr>
        <w:pStyle w:val="MDPI81references"/>
        <w:numPr>
          <w:ilvl w:val="0"/>
          <w:numId w:val="0"/>
        </w:numPr>
        <w:ind w:left="180" w:hanging="180"/>
      </w:pPr>
      <w:bookmarkStart w:id="61"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61"/>
    </w:p>
    <w:p>
      <w:pPr>
        <w:pStyle w:val="MDPI81references"/>
        <w:numPr>
          <w:ilvl w:val="0"/>
          <w:numId w:val="0"/>
        </w:numPr>
        <w:ind w:left="180" w:hanging="180"/>
      </w:pPr>
      <w:bookmarkStart w:id="62"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62"/>
    </w:p>
    <w:p>
      <w:pPr>
        <w:pStyle w:val="MDPI81references"/>
        <w:numPr>
          <w:ilvl w:val="0"/>
          <w:numId w:val="0"/>
        </w:numPr>
        <w:ind w:left="180" w:hanging="180"/>
      </w:pPr>
      <w:bookmarkStart w:id="63"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63"/>
    </w:p>
    <w:p>
      <w:pPr>
        <w:pStyle w:val="MDPI81references"/>
        <w:numPr>
          <w:ilvl w:val="0"/>
          <w:numId w:val="0"/>
        </w:numPr>
        <w:ind w:left="180" w:hanging="180"/>
      </w:pPr>
      <w:bookmarkStart w:id="64"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64"/>
    </w:p>
    <w:p>
      <w:pPr>
        <w:pStyle w:val="MDPI81references"/>
        <w:numPr>
          <w:ilvl w:val="0"/>
          <w:numId w:val="0"/>
        </w:numPr>
        <w:ind w:left="180" w:hanging="180"/>
      </w:pPr>
      <w:bookmarkStart w:id="65"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65"/>
    </w:p>
    <w:p>
      <w:pPr>
        <w:pStyle w:val="MDPI81references"/>
        <w:numPr>
          <w:ilvl w:val="0"/>
          <w:numId w:val="0"/>
        </w:numPr>
        <w:ind w:left="180" w:hanging="180"/>
      </w:pPr>
      <w:bookmarkStart w:id="66" w:name="ref-zhou2023unimol"/>
      <w:r>
        <w:t xml:space="preserve">Zhou, G. et al. (2023). Uni-Mol: A Universal 3D Molecular Representation Learning Framework.</w:t>
      </w:r>
      <w:r>
        <w:t xml:space="preserve"> </w:t>
      </w:r>
      <w:r>
        <w:rPr>
          <w:i/>
          <w:iCs/>
        </w:rPr>
        <w:t xml:space="preserve">ICLR 2023</w:t>
      </w:r>
      <w:r>
        <w:t xml:space="preserve">.</w:t>
      </w:r>
      <w:bookmarkEnd w:id="66"/>
    </w:p>
    <w:p>
      <w:pPr>
        <w:pStyle w:val="MDPI81references"/>
        <w:numPr>
          <w:ilvl w:val="0"/>
          <w:numId w:val="0"/>
        </w:numPr>
        <w:ind w:left="180" w:hanging="180"/>
      </w:pPr>
      <w:bookmarkStart w:id="67"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67"/>
    </w:p>
    <w:p>
      <w:pPr>
        <w:pStyle w:val="MDPI81references"/>
        <w:numPr>
          <w:ilvl w:val="0"/>
          <w:numId w:val="0"/>
        </w:numPr>
        <w:ind w:left="180" w:hanging="180"/>
      </w:pPr>
      <w:bookmarkStart w:id="68"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68"/>
    </w:p>
    <w:p>
      <w:pPr>
        <w:pStyle w:val="MDPI81references"/>
        <w:numPr>
          <w:ilvl w:val="0"/>
          <w:numId w:val="0"/>
        </w:numPr>
        <w:ind w:left="180" w:hanging="180"/>
      </w:pPr>
      <w:bookmarkStart w:id="69"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69"/>
    </w:p>
    <w:p>
      <w:pPr>
        <w:pStyle w:val="MDPI81references"/>
        <w:numPr>
          <w:ilvl w:val="0"/>
          <w:numId w:val="0"/>
        </w:numPr>
        <w:ind w:left="180" w:hanging="180"/>
      </w:pPr>
      <w:bookmarkStart w:id="70"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70"/>
    </w:p>
    <w:p>
      <w:pPr>
        <w:pStyle w:val="MDPI81references"/>
        <w:numPr>
          <w:ilvl w:val="0"/>
          <w:numId w:val="0"/>
        </w:numPr>
        <w:ind w:left="180" w:hanging="180"/>
      </w:pPr>
      <w:bookmarkStart w:id="71" w:name="ref-ho2022cfg"/>
      <w:r>
        <w:t xml:space="preserve">Ho, J., &amp; Salimans, T. (2022). Classifier-Free Diffusion Guidance. arXiv:2207.12598.</w:t>
      </w:r>
      <w:bookmarkEnd w:id="71"/>
    </w:p>
    <w:p>
      <w:pPr>
        <w:pStyle w:val="MDPI81references"/>
        <w:numPr>
          <w:ilvl w:val="0"/>
          <w:numId w:val="0"/>
        </w:numPr>
        <w:ind w:left="180" w:hanging="180"/>
      </w:pPr>
      <w:bookmarkStart w:id="72" w:name="ref-dhariwal2021diffusion"/>
      <w:r>
        <w:t xml:space="preserve">Dhariwal, P., &amp; Nichol, A. (2021). Diffusion Models Beat GANs on Image Synthesis.</w:t>
      </w:r>
      <w:r>
        <w:t xml:space="preserve"> </w:t>
      </w:r>
      <w:r>
        <w:rPr>
          <w:i/>
          <w:iCs/>
        </w:rPr>
        <w:t xml:space="preserve">NeurIPS 2021</w:t>
      </w:r>
      <w:r>
        <w:t xml:space="preserve">. arXiv:2105.05233.</w:t>
      </w:r>
      <w:bookmarkEnd w:id="72"/>
    </w:p>
    <w:p>
      <w:pPr>
        <w:pStyle w:val="MDPI81references"/>
        <w:numPr>
          <w:ilvl w:val="0"/>
          <w:numId w:val="0"/>
        </w:numPr>
        <w:ind w:left="180" w:hanging="180"/>
      </w:pPr>
      <w:bookmarkStart w:id="73"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73"/>
    </w:p>
    <w:p>
      <w:pPr>
        <w:pStyle w:val="MDPI81references"/>
        <w:numPr>
          <w:ilvl w:val="0"/>
          <w:numId w:val="0"/>
        </w:numPr>
        <w:ind w:left="180" w:hanging="180"/>
      </w:pPr>
      <w:bookmarkStart w:id="74"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74"/>
    </w:p>
    <w:p>
      <w:pPr>
        <w:pStyle w:val="MDPI81references"/>
        <w:numPr>
          <w:ilvl w:val="0"/>
          <w:numId w:val="0"/>
        </w:numPr>
        <w:ind w:left="180" w:hanging="180"/>
      </w:pPr>
      <w:bookmarkStart w:id="75" w:name="ref-ho2020ddpm"/>
      <w:r>
        <w:t xml:space="preserve">Ho, J., Jain, A., &amp; Abbeel, P. (2020). Denoising Diffusion Probabilistic Models.</w:t>
      </w:r>
      <w:r>
        <w:t xml:space="preserve"> </w:t>
      </w:r>
      <w:r>
        <w:rPr>
          <w:i/>
          <w:iCs/>
        </w:rPr>
        <w:t xml:space="preserve">NeurIPS 2020</w:t>
      </w:r>
      <w:r>
        <w:t xml:space="preserve">. arXiv:2006.11239.</w:t>
      </w:r>
      <w:bookmarkEnd w:id="75"/>
    </w:p>
    <w:p>
      <w:pPr>
        <w:pStyle w:val="MDPI81references"/>
        <w:numPr>
          <w:ilvl w:val="0"/>
          <w:numId w:val="0"/>
        </w:numPr>
        <w:ind w:left="180" w:hanging="180"/>
      </w:pPr>
      <w:bookmarkStart w:id="76"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76"/>
    </w:p>
    <w:p>
      <w:pPr>
        <w:pStyle w:val="MDPI81references"/>
        <w:numPr>
          <w:ilvl w:val="0"/>
          <w:numId w:val="0"/>
        </w:numPr>
        <w:ind w:left="180" w:hanging="180"/>
      </w:pPr>
      <w:bookmarkStart w:id="77"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77"/>
    </w:p>
    <w:p>
      <w:pPr>
        <w:pStyle w:val="MDPI81references"/>
        <w:numPr>
          <w:ilvl w:val="0"/>
          <w:numId w:val="0"/>
        </w:numPr>
        <w:ind w:left="180" w:hanging="180"/>
      </w:pPr>
      <w:bookmarkStart w:id="78"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78"/>
    </w:p>
    <w:p>
      <w:pPr>
        <w:pStyle w:val="MDPI81references"/>
        <w:numPr>
          <w:ilvl w:val="0"/>
          <w:numId w:val="0"/>
        </w:numPr>
        <w:ind w:left="180" w:hanging="180"/>
      </w:pPr>
      <w:bookmarkStart w:id="79"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79"/>
    </w:p>
    <w:p>
      <w:pPr>
        <w:pStyle w:val="MDPI81references"/>
        <w:numPr>
          <w:ilvl w:val="0"/>
          <w:numId w:val="0"/>
        </w:numPr>
        <w:ind w:left="180" w:hanging="180"/>
      </w:pPr>
      <w:bookmarkStart w:id="80" w:name="ref-rogers1960computer"/>
      <w:r>
        <w:t xml:space="preserve">Rogers, D. J., &amp; Tanimoto, T. T. (1960). A Computer Program for Classifying Plants.</w:t>
      </w:r>
      <w:r>
        <w:t xml:space="preserve"> </w:t>
      </w:r>
      <w:r>
        <w:rPr>
          <w:i/>
          <w:iCs/>
        </w:rPr>
        <w:t xml:space="preserve">Science 132(3434)</w:t>
      </w:r>
      <w:r>
        <w:t xml:space="preserve">:1115–1118.</w:t>
      </w:r>
      <w:bookmarkEnd w:id="80"/>
    </w:p>
    <w:p>
      <w:pPr>
        <w:pStyle w:val="MDPI81references"/>
        <w:numPr>
          <w:ilvl w:val="0"/>
          <w:numId w:val="0"/>
        </w:numPr>
        <w:ind w:left="180" w:hanging="180"/>
      </w:pPr>
      <w:bookmarkStart w:id="82" w:name="ref-landrum2024rdkit"/>
      <w:r>
        <w:t xml:space="preserve">Landrum, G., &amp; contributors. RDKit: Open-source cheminformatics.</w:t>
      </w:r>
      <w:r>
        <w:t xml:space="preserve"> </w:t>
      </w:r>
      <w:hyperlink r:id="rId24">
        <w:r>
          <w:rPr>
            <w:rStyle w:val="Hyperlink"/>
          </w:rPr>
          <w:t xml:space="preserve">rdkit.org</w:t>
        </w:r>
      </w:hyperlink>
      <w:r>
        <w:t xml:space="preserve">.</w:t>
      </w:r>
      <w:bookmarkEnd w:id="82"/>
    </w:p>
    <w:p>
      <w:pPr>
        <w:pStyle w:val="MDPI81references"/>
        <w:numPr>
          <w:ilvl w:val="0"/>
          <w:numId w:val="0"/>
        </w:numPr>
        <w:ind w:left="180" w:hanging="180"/>
      </w:pPr>
      <w:bookmarkStart w:id="83" w:name="ref-sterling2015zinc"/>
      <w:r>
        <w:t xml:space="preserve">Sterling, T., &amp; Irwin, J. J. (2015). ZINC 15: Ligand Discovery for Everyone.</w:t>
      </w:r>
      <w:r>
        <w:t xml:space="preserve"> </w:t>
      </w:r>
      <w:r>
        <w:rPr>
          <w:i/>
          <w:iCs/>
        </w:rPr>
        <w:t xml:space="preserve">J. Chem. Inf. Model. 55(11)</w:t>
      </w:r>
      <w:r>
        <w:t xml:space="preserve">:2324–2337.</w:t>
      </w:r>
      <w:bookmarkEnd w:id="83"/>
    </w:p>
    <w:p>
      <w:pPr>
        <w:pStyle w:val="MDPI81references"/>
        <w:numPr>
          <w:ilvl w:val="0"/>
          <w:numId w:val="0"/>
        </w:numPr>
        <w:ind w:left="180" w:hanging="180"/>
      </w:pPr>
      <w:bookmarkStart w:id="84" w:name="ref-kim2023pubchem"/>
      <w:r>
        <w:t xml:space="preserve">Kim, S. et al. (2023). PubChem 2023 Update.</w:t>
      </w:r>
      <w:r>
        <w:t xml:space="preserve"> </w:t>
      </w:r>
      <w:r>
        <w:rPr>
          <w:i/>
          <w:iCs/>
        </w:rPr>
        <w:t xml:space="preserve">Nucleic Acids Res. 51(D1)</w:t>
      </w:r>
      <w:r>
        <w:t xml:space="preserve">:D1373–D1380.</w:t>
      </w:r>
      <w:bookmarkEnd w:id="84"/>
    </w:p>
    <w:p>
      <w:pPr>
        <w:pStyle w:val="MDPI81references"/>
        <w:numPr>
          <w:ilvl w:val="0"/>
          <w:numId w:val="0"/>
        </w:numPr>
        <w:ind w:left="180" w:hanging="180"/>
      </w:pPr>
      <w:bookmarkStart w:id="85" w:name="ref-jaegle2021perceiver"/>
      <w:r>
        <w:t xml:space="preserve">Jaegle, A. et al. (2021). Perceiver: General Perception with Iterative Attention.</w:t>
      </w:r>
      <w:r>
        <w:t xml:space="preserve"> </w:t>
      </w:r>
      <w:r>
        <w:rPr>
          <w:i/>
          <w:iCs/>
        </w:rPr>
        <w:t xml:space="preserve">ICML 2021</w:t>
      </w:r>
      <w:r>
        <w:t xml:space="preserve">. arXiv:2103.03206.</w:t>
      </w:r>
      <w:bookmarkEnd w:id="85"/>
    </w:p>
    <w:p>
      <w:pPr>
        <w:pStyle w:val="MDPI81references"/>
        <w:numPr>
          <w:ilvl w:val="0"/>
          <w:numId w:val="0"/>
        </w:numPr>
        <w:ind w:left="180" w:hanging="180"/>
      </w:pPr>
      <w:bookmarkStart w:id="86"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86"/>
    </w:p>
    <w:p>
      <w:pPr>
        <w:pStyle w:val="MDPI81references"/>
        <w:numPr>
          <w:ilvl w:val="0"/>
          <w:numId w:val="0"/>
        </w:numPr>
        <w:ind w:left="180" w:hanging="180"/>
      </w:pPr>
      <w:bookmarkStart w:id="87"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87"/>
    </w:p>
    <w:p>
      <w:pPr>
        <w:pStyle w:val="MDPI81references"/>
        <w:numPr>
          <w:ilvl w:val="0"/>
          <w:numId w:val="0"/>
        </w:numPr>
        <w:ind w:left="180" w:hanging="180"/>
      </w:pPr>
      <w:bookmarkStart w:id="88"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88"/>
    </w:p>
    <w:p>
      <w:pPr>
        <w:pStyle w:val="MDPI81references"/>
        <w:numPr>
          <w:ilvl w:val="0"/>
          <w:numId w:val="0"/>
        </w:numPr>
        <w:ind w:left="180" w:hanging="180"/>
      </w:pPr>
      <w:bookmarkStart w:id="89"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89"/>
    </w:p>
    <w:p>
      <w:pPr>
        <w:pStyle w:val="MDPI81references"/>
        <w:numPr>
          <w:ilvl w:val="0"/>
          <w:numId w:val="0"/>
        </w:numPr>
        <w:ind w:left="180" w:hanging="180"/>
      </w:pPr>
      <w:bookmarkStart w:id="90"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90"/>
    </w:p>
    <w:p>
      <w:pPr>
        <w:pStyle w:val="MDPI81references"/>
        <w:numPr>
          <w:ilvl w:val="0"/>
          <w:numId w:val="0"/>
        </w:numPr>
        <w:ind w:left="180" w:hanging="180"/>
      </w:pPr>
      <w:bookmarkStart w:id="91"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91"/>
    </w:p>
    <w:p>
      <w:pPr>
        <w:pStyle w:val="MDPI81references"/>
        <w:numPr>
          <w:ilvl w:val="0"/>
          <w:numId w:val="0"/>
        </w:numPr>
        <w:ind w:left="180" w:hanging="180"/>
      </w:pPr>
      <w:bookmarkStart w:id="92"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92"/>
    </w:p>
    <w:p>
      <w:pPr>
        <w:pStyle w:val="MDPI81references"/>
        <w:numPr>
          <w:ilvl w:val="0"/>
          <w:numId w:val="0"/>
        </w:numPr>
        <w:ind w:left="180" w:hanging="180"/>
      </w:pPr>
      <w:bookmarkStart w:id="93"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93"/>
    </w:p>
    <w:p>
      <w:pPr>
        <w:pStyle w:val="MDPI81references"/>
        <w:numPr>
          <w:ilvl w:val="0"/>
          <w:numId w:val="0"/>
        </w:numPr>
        <w:ind w:left="180" w:hanging="180"/>
      </w:pPr>
      <w:bookmarkStart w:id="94"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94"/>
    </w:p>
    <w:p>
      <w:pPr>
        <w:pStyle w:val="MDPI81references"/>
        <w:numPr>
          <w:ilvl w:val="0"/>
          <w:numId w:val="0"/>
        </w:numPr>
        <w:ind w:left="180" w:hanging="180"/>
      </w:pPr>
      <w:bookmarkStart w:id="95"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95"/>
    </w:p>
    <w:p>
      <w:pPr>
        <w:pStyle w:val="MDPI81references"/>
        <w:numPr>
          <w:ilvl w:val="0"/>
          <w:numId w:val="0"/>
        </w:numPr>
        <w:ind w:left="180" w:hanging="180"/>
      </w:pPr>
      <w:bookmarkStart w:id="96"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96"/>
    </w:p>
    <w:p>
      <w:pPr>
        <w:pStyle w:val="MDPI81references"/>
        <w:numPr>
          <w:ilvl w:val="0"/>
          <w:numId w:val="0"/>
        </w:numPr>
        <w:ind w:left="180" w:hanging="180"/>
      </w:pPr>
      <w:bookmarkStart w:id="97" w:name="ref-klapotke2017nitrogen"/>
      <w:r>
        <w:t xml:space="preserve">Klapötke, T. M.</w:t>
      </w:r>
      <w:r>
        <w:t xml:space="preserve"> </w:t>
      </w:r>
      <w:r>
        <w:rPr>
          <w:i/>
          <w:iCs/>
        </w:rPr>
        <w:t xml:space="preserve">Chemistry of High-Energy Materials</w:t>
      </w:r>
      <w:r>
        <w:t xml:space="preserve">, 5th ed. (de Gruyter, 2019). doi:10.1515/9783110624571.</w:t>
      </w:r>
      <w:bookmarkEnd w:id="97"/>
    </w:p>
    <w:p>
      <w:pPr>
        <w:pStyle w:val="MDPI81references"/>
        <w:numPr>
          <w:ilvl w:val="0"/>
          <w:numId w:val="0"/>
        </w:numPr>
        <w:ind w:left="180" w:hanging="180"/>
      </w:pPr>
      <w:bookmarkStart w:id="98"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98"/>
    </w:p>
    <w:p>
      <w:pPr>
        <w:pStyle w:val="MDPI81references"/>
        <w:numPr>
          <w:ilvl w:val="0"/>
          <w:numId w:val="0"/>
        </w:numPr>
        <w:ind w:left="180" w:hanging="180"/>
      </w:pPr>
      <w:bookmarkStart w:id="99"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99"/>
    </w:p>
    <w:p>
      <w:pPr>
        <w:pStyle w:val="MDPI81references"/>
        <w:numPr>
          <w:ilvl w:val="0"/>
          <w:numId w:val="0"/>
        </w:numPr>
        <w:ind w:left="180" w:hanging="180"/>
      </w:pPr>
      <w:bookmarkStart w:id="100"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00"/>
    </w:p>
    <w:p>
      <w:pPr>
        <w:pStyle w:val="MDPI81references"/>
        <w:numPr>
          <w:ilvl w:val="0"/>
          <w:numId w:val="0"/>
        </w:numPr>
        <w:ind w:left="180" w:hanging="180"/>
      </w:pPr>
      <w:bookmarkStart w:id="101"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01"/>
    </w:p>
    <w:p>
      <w:pPr>
        <w:pStyle w:val="MDPI81references"/>
        <w:numPr>
          <w:ilvl w:val="0"/>
          <w:numId w:val="0"/>
        </w:numPr>
        <w:ind w:left="180" w:hanging="180"/>
      </w:pPr>
      <w:bookmarkStart w:id="102"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02"/>
    </w:p>
    <w:p>
      <w:pPr>
        <w:pStyle w:val="MDPI81references"/>
        <w:numPr>
          <w:ilvl w:val="0"/>
          <w:numId w:val="0"/>
        </w:numPr>
        <w:ind w:left="180" w:hanging="180"/>
      </w:pPr>
      <w:bookmarkStart w:id="103"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03"/>
    </w:p>
    <w:p>
      <w:pPr>
        <w:pStyle w:val="MDPI81references"/>
        <w:numPr>
          <w:ilvl w:val="0"/>
          <w:numId w:val="0"/>
        </w:numPr>
        <w:ind w:left="180" w:hanging="180"/>
      </w:pPr>
      <w:bookmarkStart w:id="104"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04"/>
    </w:p>
    <w:p>
      <w:pPr>
        <w:pStyle w:val="MDPI81references"/>
        <w:numPr>
          <w:ilvl w:val="0"/>
          <w:numId w:val="0"/>
        </w:numPr>
        <w:ind w:left="180" w:hanging="180"/>
      </w:pPr>
      <w:bookmarkStart w:id="105" w:name="ref-reymond2015gdb"/>
      <w:r>
        <w:t xml:space="preserve">Reymond, J.-L. (2015). The chemical space project.</w:t>
      </w:r>
      <w:r>
        <w:t xml:space="preserve"> </w:t>
      </w:r>
      <w:r>
        <w:rPr>
          <w:i/>
          <w:iCs/>
        </w:rPr>
        <w:t xml:space="preserve">Acc. Chem. Res. 48(3)</w:t>
      </w:r>
      <w:r>
        <w:t xml:space="preserve">:722–730.</w:t>
      </w:r>
      <w:bookmarkEnd w:id="105"/>
    </w:p>
    <w:p>
      <w:pPr>
        <w:pStyle w:val="MDPI81references"/>
        <w:numPr>
          <w:ilvl w:val="0"/>
          <w:numId w:val="0"/>
        </w:numPr>
        <w:ind w:left="180" w:hanging="180"/>
      </w:pPr>
      <w:bookmarkStart w:id="106"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the Supplementary Information.</w:t>
      </w:r>
      <w:bookmarkEnd w:id="106"/>
    </w:p>
    <w:p>
      <w:pPr>
        <w:pStyle w:val="MDPI81references"/>
        <w:numPr>
          <w:ilvl w:val="0"/>
          <w:numId w:val="0"/>
        </w:numPr>
        <w:ind w:left="180" w:hanging="180"/>
      </w:pPr>
      <w:bookmarkStart w:id="108" w:name="ref-cameo"/>
      <w:r>
        <w:t xml:space="preserve">NIST CAMEO Chemicals: Database of Hazardous Materials and Reactivity.</w:t>
      </w:r>
      <w:r>
        <w:t xml:space="preserve"> </w:t>
      </w:r>
      <w:hyperlink r:id="rId25">
        <w:r>
          <w:rPr>
            <w:rStyle w:val="Hyperlink"/>
          </w:rPr>
          <w:t xml:space="preserve">cameochemicals.noaa.gov</w:t>
        </w:r>
      </w:hyperlink>
      <w:r>
        <w:t xml:space="preserve">.</w:t>
      </w:r>
      <w:bookmarkEnd w:id="108"/>
    </w:p>
    <w:p>
      <w:pPr>
        <w:pStyle w:val="MDPI81references"/>
        <w:numPr>
          <w:ilvl w:val="0"/>
          <w:numId w:val="0"/>
        </w:numPr>
        <w:ind w:left="180" w:hanging="180"/>
      </w:pPr>
      <w:bookmarkStart w:id="109"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109"/>
    </w:p>
    <w:p>
      <w:pPr>
        <w:pStyle w:val="MDPI81references"/>
        <w:numPr>
          <w:ilvl w:val="0"/>
          <w:numId w:val="0"/>
        </w:numPr>
        <w:ind w:left="180" w:hanging="180"/>
      </w:pPr>
      <w:bookmarkStart w:id="110"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110"/>
    </w:p>
    <w:p>
      <w:pPr>
        <w:pStyle w:val="MDPI81references"/>
        <w:numPr>
          <w:ilvl w:val="0"/>
          <w:numId w:val="0"/>
        </w:numPr>
        <w:ind w:left="180" w:hanging="180"/>
      </w:pPr>
      <w:bookmarkStart w:id="111"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111"/>
    </w:p>
    <w:p>
      <w:pPr>
        <w:pStyle w:val="MDPI81references"/>
        <w:numPr>
          <w:ilvl w:val="0"/>
          <w:numId w:val="0"/>
        </w:numPr>
        <w:ind w:left="180" w:hanging="180"/>
      </w:pPr>
      <w:bookmarkStart w:id="112" w:name="ref-bondi1964vdw"/>
      <w:r>
        <w:t xml:space="preserve">Bondi, A. (1964). van der Waals Volumes and Radii.</w:t>
      </w:r>
      <w:r>
        <w:t xml:space="preserve"> </w:t>
      </w:r>
      <w:r>
        <w:rPr>
          <w:i/>
          <w:iCs/>
        </w:rPr>
        <w:t xml:space="preserve">J. Phys. Chem. 68(3)</w:t>
      </w:r>
      <w:r>
        <w:t xml:space="preserve">:441–451. doi:10.1021/j100785a001.</w:t>
      </w:r>
      <w:bookmarkEnd w:id="112"/>
    </w:p>
    <w:p>
      <w:pPr>
        <w:pStyle w:val="MDPI81references"/>
        <w:numPr>
          <w:ilvl w:val="0"/>
          <w:numId w:val="0"/>
        </w:numPr>
        <w:ind w:left="180" w:hanging="180"/>
      </w:pPr>
      <w:bookmarkStart w:id="113"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13"/>
    </w:p>
    <w:p>
      <w:pPr>
        <w:pStyle w:val="MDPI81references"/>
        <w:numPr>
          <w:ilvl w:val="0"/>
          <w:numId w:val="0"/>
        </w:numPr>
        <w:ind w:left="180" w:hanging="180"/>
      </w:pPr>
      <w:bookmarkStart w:id="114"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14"/>
    </w:p>
    <w:p>
      <w:pPr>
        <w:pStyle w:val="MDPI81references"/>
        <w:numPr>
          <w:ilvl w:val="0"/>
          <w:numId w:val="0"/>
        </w:numPr>
        <w:ind w:left="180" w:hanging="180"/>
      </w:pPr>
      <w:bookmarkStart w:id="115"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15"/>
    </w:p>
    <w:p>
      <w:pPr>
        <w:pStyle w:val="MDPI81references"/>
        <w:numPr>
          <w:ilvl w:val="0"/>
          <w:numId w:val="0"/>
        </w:numPr>
        <w:ind w:left="180" w:hanging="180"/>
      </w:pPr>
      <w:bookmarkStart w:id="116"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16"/>
    </w:p>
    <w:p>
      <w:pPr>
        <w:pStyle w:val="MDPI81references"/>
        <w:numPr>
          <w:ilvl w:val="0"/>
          <w:numId w:val="0"/>
        </w:numPr>
        <w:ind w:left="180" w:hanging="180"/>
      </w:pPr>
      <w:bookmarkStart w:id="117"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17"/>
    </w:p>
    <w:p>
      <w:pPr>
        <w:pStyle w:val="MDPI81references"/>
        <w:numPr>
          <w:ilvl w:val="0"/>
          <w:numId w:val="0"/>
        </w:numPr>
        <w:ind w:left="180" w:hanging="180"/>
      </w:pPr>
      <w:bookmarkStart w:id="118"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18"/>
    </w:p>
    <w:p>
      <w:pPr>
        <w:pStyle w:val="MDPI81references"/>
        <w:numPr>
          <w:ilvl w:val="0"/>
          <w:numId w:val="0"/>
        </w:numPr>
        <w:ind w:left="180" w:hanging="180"/>
      </w:pPr>
      <w:bookmarkStart w:id="119"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119"/>
    </w:p>
    <w:p>
      <w:pPr>
        <w:pStyle w:val="MDPI81references"/>
        <w:numPr>
          <w:ilvl w:val="0"/>
          <w:numId w:val="0"/>
        </w:numPr>
        <w:ind w:left="180" w:hanging="180"/>
      </w:pPr>
      <w:bookmarkStart w:id="120"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20"/>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hyperlink" Target="https://github.com/grimme-lab/xtb" TargetMode="External"/><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hyperlink" Target="https://www.daylight.com/dayhtml/doc/theory/theory.smarts.html" TargetMode="External"/><Relationship Id="rId24" Type="http://schemas.openxmlformats.org/officeDocument/2006/relationships/hyperlink" Target="https://www.rdkit.org" TargetMode="External"/><Relationship Id="rId25" Type="http://schemas.openxmlformats.org/officeDocument/2006/relationships/hyperlink" Target="https://cameochemicals.noaa.gov"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