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p>
    <w:p>
      <w:pPr>
        <w:pStyle w:val="BodyText"/>
        <w:jc w:val="both"/>
        <w:keepNext w:val="0"/>
        <w:keepLines w:val="0"/>
        <w:widowControl w:val="1"/>
      </w:pP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rPr>
          <w:vertAlign w:val="superscript"/>
        </w:rPr>
        <w:t xml:space="preserve">*</w:t>
      </w:r>
      <w:r>
        <w:t xml:space="preserve">These authors contributed equally to this work.</w:t>
      </w:r>
    </w:p>
    <w:p>
      <w:pPr>
        <w:pStyle w:val="BodyText"/>
        <w:jc w:val="both"/>
        <w:keepNext w:val="0"/>
        <w:keepLines w:val="0"/>
        <w:widowControl w:val="1"/>
      </w:pPr>
      <w:r>
        <w:rPr>
          <w:vertAlign w:val="superscript"/>
        </w:rPr>
        <w:t xml:space="preserve">†</w:t>
      </w:r>
      <w:r>
        <w:t xml:space="preserve">Corresponding author. Email: apersteiny@afeka.ac.il</w:t>
      </w:r>
    </w:p>
    <w:p>
      <w:pPr>
        <w:pStyle w:val="BodyText"/>
        <w:jc w:val="both"/>
        <w:keepNext w:val="0"/>
        <w:keepLines w:val="0"/>
        <w:widowControl w:val="1"/>
      </w:pPr>
      <w:r>
        <w:t xml:space="preserve">Companion to the NMI Article (main article).</w:t>
      </w:r>
    </w:p>
    <w:bookmarkEnd w:id="9"/>
    <w:p>
      <w:pPr>
        <w:pStyle w:val="BodyText"/>
        <w:jc w:val="both"/>
        <w:keepNext w:val="0"/>
        <w:keepLines w:val="0"/>
        <w:widowControl w:val="1"/>
      </w:pPr>
      <w:r>
        <w:rPr>
          <w:b/>
          <w:bCs/>
        </w:rPr>
        <w:t xml:space="preserve">Scope.</w:t>
      </w:r>
      <w:r>
        <w:t xml:space="preserve"> </w:t>
      </w:r>
      <w:r>
        <w:t xml:space="preserve">This Supplementary Information accompanies the NMI Article</w:t>
      </w:r>
      <w:r>
        <w:t xml:space="preserve"> </w:t>
      </w:r>
      <w:r>
        <w:t xml:space="preserve">“Domain-gated latent diffusion discovers novel HMX-class energetic materials with</w:t>
      </w:r>
      <w:r>
        <w:t xml:space="preserve"> </w:t>
      </w:r>
      <w:r>
        <w:t xml:space="preserve">first-principles validation”. It provides reproducibility-grade detail beyond what</w:t>
      </w:r>
      <w:r>
        <w:t xml:space="preserve"> </w:t>
      </w:r>
      <w:r>
        <w:t xml:space="preserve">fits in Methods: full per-lead chemistry (Supplementary Table S1), dataset provenance</w:t>
      </w:r>
      <w:r>
        <w:t xml:space="preserve"> </w:t>
      </w:r>
      <w:r>
        <w:t xml:space="preserve">(Supplementary Note 1), complete hyperparameter tables (Supplementary Note 2),</w:t>
      </w:r>
      <w:r>
        <w:t xml:space="preserve"> </w:t>
      </w:r>
      <w:r>
        <w:t xml:space="preserve">full DFT computational protocol with uncertainty bounds (Supplementary Note 3),</w:t>
      </w:r>
      <w:r>
        <w:t xml:space="preserve"> </w:t>
      </w:r>
      <w:r>
        <w:t xml:space="preserve">reproducibility details and superseded ablations (Supplementary Note 4), baseline</w:t>
      </w:r>
      <w:r>
        <w:t xml:space="preserve"> </w:t>
      </w:r>
      <w:r>
        <w:t xml:space="preserve">implementation details (Supplementary Note 5), and the seven detailed guidance and</w:t>
      </w:r>
      <w:r>
        <w:t xml:space="preserve"> </w:t>
      </w:r>
      <w:r>
        <w:t xml:space="preserve">pool-fusion ablations whose headlines appear in main Fig. 5 (Supplementary</w:t>
      </w:r>
      <w:r>
        <w:t xml:space="preserve"> </w:t>
      </w:r>
      <w:r>
        <w:t xml:space="preserve">Note 6). All section, table, and figure references in this document are</w:t>
      </w:r>
      <w:r>
        <w:t xml:space="preserve"> </w:t>
      </w:r>
      <w:r>
        <w:t xml:space="preserve">SI-internal unless explicitly marked “main paper”. The reference list at the</w:t>
      </w:r>
      <w:r>
        <w:t xml:space="preserve"> </w:t>
      </w:r>
      <w:r>
        <w:t xml:space="preserve">end is reproduced from the main article so the SI reads standalone.</w:t>
      </w:r>
    </w:p>
    <w:p>
      <w:pPr>
        <w:pStyle w:val="BodyText"/>
        <w:jc w:val="both"/>
        <w:keepNext w:val="0"/>
        <w:keepLines w:val="0"/>
        <w:widowControl w:val="1"/>
      </w:pPr>
      <w:r>
        <w:rPr>
          <w:b/>
          <w:bCs/>
        </w:rPr>
        <w:t xml:space="preserve">What is not in this SI.</w:t>
      </w:r>
      <w:r>
        <w:t xml:space="preserve"> </w:t>
      </w:r>
      <w:r>
        <w:t xml:space="preserve">Raw DFT geometries, optimised electronic-structure</w:t>
      </w:r>
      <w:r>
        <w:t xml:space="preserve"> </w:t>
      </w:r>
      <w:r>
        <w:t xml:space="preserve">outputs, model checkpoints (LIMO encoder, two denoisers, score model at rounds 0/1/2),</w:t>
      </w:r>
      <w:r>
        <w:t xml:space="preserve"> </w:t>
      </w:r>
      <w:r>
        <w:t xml:space="preserve">the 918 self-distillation hard-negative latents, per-step training curves, and the</w:t>
      </w:r>
      <w:r>
        <w:t xml:space="preserve"> </w:t>
      </w:r>
      <w:r>
        <w:t xml:space="preserve">full labelled-master corpus are deposited on Zenodo</w:t>
      </w:r>
      <w:r>
        <w:t xml:space="preserve"> </w:t>
      </w:r>
      <w:r>
        <w:t xml:space="preserve">(</w:t>
      </w:r>
      <w:hyperlink r:id="rId10">
        <w:r>
          <w:rPr>
            <w:rStyle w:val="Hyperlink"/>
          </w:rPr>
          <w:t xml:space="preserve">10.5281/zenodo.19821953</w:t>
        </w:r>
      </w:hyperlink>
      <w:r>
        <w:t xml:space="preserve">, CC-BY-4.0).</w:t>
      </w:r>
      <w:r>
        <w:t xml:space="preserve"> </w:t>
      </w:r>
      <w:r>
        <w:t xml:space="preserve">All code is on GitHub (</w:t>
      </w:r>
      <w:hyperlink r:id="rId11">
        <w:r>
          <w:rPr>
            <w:rStyle w:val="Hyperlink"/>
          </w:rPr>
          <w:t xml:space="preserve">ApartsinProjects/DGLD4Energetic</w:t>
        </w:r>
      </w:hyperlink>
      <w:r>
        <w:t xml:space="preserve">, Apache-2.0).</w:t>
      </w:r>
    </w:p>
    <w:bookmarkStart w:id="12" w:name="si-table-s1"/>
    <w:p>
      <w:pPr>
        <w:pStyle w:val="BodyText"/>
        <w:jc w:val="both"/>
        <w:keepNext w:val="0"/>
        <w:keepLines w:val="0"/>
        <w:widowControl w:val="1"/>
      </w:pPr>
      <w:r>
        <w:rPr>
          <w:b/>
          <w:bCs/>
        </w:rPr>
        <w:t xml:space="preserve">Supplementary Table S1.</w:t>
      </w:r>
      <w:r>
        <w:t xml:space="preserve"> </w:t>
      </w:r>
      <w:r>
        <w:t xml:space="preserve">Twelve DFT-confirmed novel leads with canonical SMILES. SMILES are RDKit-canonicalised with explicit charge separation on nitro groups.</w:t>
      </w:r>
      <w:r>
        <w:t xml:space="preserve"> </w:t>
      </w:r>
      <m:oMath>
        <m:sSub>
          <m:e>
            <m:r>
              <m:t>ρ</m:t>
            </m:r>
          </m:e>
          <m:sub>
            <m:r>
              <m:rPr>
                <m:nor/>
                <m:sty m:val="p"/>
              </m:rPr>
              <m:t>cal</m:t>
            </m:r>
          </m:sub>
        </m:sSub>
      </m:oMath>
      <w:r>
        <w:t xml:space="preserve"> </w:t>
      </w:r>
      <w:r>
        <w:t xml:space="preserve">and</w:t>
      </w:r>
      <w:r>
        <w:t xml:space="preserve"> </w:t>
      </w:r>
      <m:oMath>
        <m:sSub>
          <m:e>
            <m:r>
              <m:t>D</m:t>
            </m:r>
          </m:e>
          <m:sub>
            <m:r>
              <m:rPr>
                <m:nor/>
                <m:sty m:val="p"/>
              </m:rPr>
              <m:t>K-J,cal</m:t>
            </m:r>
          </m:sub>
        </m:sSub>
      </m:oMath>
      <w:r>
        <w:t xml:space="preserve"> </w:t>
      </w:r>
      <w:r>
        <w:t xml:space="preserve">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w:t>
      </w:r>
    </w:p>
    <w:tbl>
      <w:tblPr>
        <w:tblStyle w:val="Table"/>
        <w:tblW w:type="pct" w:w="5000"/>
        <w:jc w:val="center"/>
        <w:tblLook w:firstRow="1" w:lastRow="0" w:firstColumn="0" w:lastColumn="0" w:noHBand="0" w:noVBand="0" w:val="0020"/>
        <w:tblCaption w:val="Supplementary Table S1. Twelve DFT-confirmed novel leads with canonical SMILES. SMILES are RDKit-canonicalised with explicit charge separation on nitro groups. \rho_\text{cal} and D_\text{K-J,cal} 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Canonical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O=[N+]([O-])c1noc([N+](=O)[O-])c1[N+](=O)[O-]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3,4,5-trinitro-1,2-isoxazole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O=[N+]([O-])N=C1NC(O)ON=C1[N+](=O)[O-]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cyclic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O=[N+]([O-])C1=NCN=NN1[N+](=O)[O-]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O=C(C=NO[N+](=O)[O-])[N+](=O)[O-]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NN(C=NC=C(N(N[N+](=O)[O-])[N+](=O)[O-])[N+](=O)[O-])[N+](=O)[O-]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N-rich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O=C(N[N+](=O)[O-])C(N=C[N+](=O)[O-])[N+](=O)[O-]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O=[N+]([O-])C=NOC=NN[N+](=O)[O-]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nitroimine + nitramine chain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 (= L3 by canonical SMILES; retained from a different sampling lane)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O=[N+]([O-])C=C(N=NCN[N+](=O)[O-])[N+](=O)[O-]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azo-bridged dinitromethyl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nitrate ester + nitro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O=C1N=C(N[N+](=O)[O-])C(=N1)[N+](=O)[O-]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polynitro 1,3,5-triazinone (extension lead)</w:t>
            </w:r>
          </w:p>
        </w:tc>
      </w:tr>
    </w:tbl>
    <w:bookmarkEnd w:id="12"/>
    <w:bookmarkStart w:id="68" w:name="si-notes"/>
    <w:p>
      <w:pPr>
        <w:pStyle w:val="Heading2"/>
        <w:keepNext/>
        <w:keepLines/>
        <w:widowControl w:val="1"/>
      </w:pPr>
      <w:r>
        <w:t xml:space="preserve">Supplementary Notes</w:t>
      </w:r>
    </w:p>
    <w:bookmarkStart w:id="18" w:name="si-note-1"/>
    <w:p>
      <w:pPr>
        <w:pStyle w:val="Heading3"/>
        <w:keepNext/>
        <w:keepLines/>
        <w:widowControl w:val="1"/>
      </w:pPr>
      <w:r>
        <w:t xml:space="preserve">Supplementary Note 1: Dataset details</w:t>
      </w:r>
    </w:p>
    <w:bookmarkStart w:id="13" w:name="data-sources-and-provenance"/>
    <w:p>
      <w:pPr>
        <w:pStyle w:val="Heading4"/>
        <w:keepNext/>
        <w:keepLines/>
        <w:widowControl w:val="1"/>
      </w:pPr>
      <w:r>
        <w:t xml:space="preserve">1.1 Data sources and provenance</w:t>
      </w:r>
    </w:p>
    <w:p>
      <w:pPr>
        <w:pStyle w:val="FirstParagraph"/>
        <w:jc w:val="both"/>
        <w:keepNext w:val="0"/>
        <w:keepLines w:val="0"/>
        <w:widowControl w:val="1"/>
      </w:pPr>
      <w:r>
        <w:t xml:space="preserve">The labelled master, the unlabelled SMILES dump, and the motif-augmented expansion (Methods “Dataset and four-tier label hierarchy” (main paper))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bCs/>
        </w:rPr>
        <w:t xml:space="preserve">Table 1.1.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1.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[1]</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[3]</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[5]</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[7]</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[8]</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[9]</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Results “Novelty and synthesisability” (main paper)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3"/>
    <w:bookmarkStart w:id="17" w:name="data-preprocessing-details"/>
    <w:p>
      <w:pPr>
        <w:pStyle w:val="Heading4"/>
        <w:keepNext/>
        <w:keepLines/>
        <w:widowControl w:val="1"/>
      </w:pPr>
      <w:r>
        <w:t xml:space="preserve">1.2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5" name="Picture"/>
            <a:graphic>
              <a:graphicData uri="http://schemas.openxmlformats.org/drawingml/2006/picture">
                <pic:pic>
                  <pic:nvPicPr>
                    <pic:cNvPr descr="figs/fig_eda_atom_counts.png" id="16" name="Picture"/>
                    <pic:cNvPicPr>
                      <a:picLocks noChangeArrowheads="1" noChangeAspect="1"/>
                    </pic:cNvPicPr>
                  </pic:nvPicPr>
                  <pic:blipFill>
                    <a:blip r:embed="rId14"/>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7"/>
    <w:bookmarkEnd w:id="18"/>
    <w:bookmarkStart w:id="26" w:name="si-note-2"/>
    <w:p>
      <w:pPr>
        <w:pStyle w:val="Heading3"/>
        <w:keepNext/>
        <w:keepLines/>
        <w:widowControl w:val="1"/>
      </w:pPr>
      <w:r>
        <w:t xml:space="preserve">Supplementary Note 2: Model architecture and hyperparameter values</w:t>
      </w:r>
    </w:p>
    <w:bookmarkStart w:id="19" w:name="architecture-summary"/>
    <w:p>
      <w:pPr>
        <w:pStyle w:val="Heading4"/>
        <w:keepNext/>
        <w:keepLines/>
        <w:widowControl w:val="1"/>
      </w:pPr>
      <w:r>
        <w:t xml:space="preserve">2.0 Architecture summary</w:t>
      </w:r>
    </w:p>
    <w:p>
      <w:pPr>
        <w:pStyle w:val="FirstParagraph"/>
        <w:jc w:val="both"/>
        <w:keepNext w:val="0"/>
        <w:keepLines w:val="0"/>
        <w:widowControl w:val="1"/>
      </w:pPr>
      <w:r>
        <w:t xml:space="preserve">DGLD instantiates four neural networks plus two non-neural label sources. (1) The</w:t>
      </w:r>
      <w:r>
        <w:t xml:space="preserve"> </w:t>
      </w:r>
      <w:r>
        <w:rPr>
          <w:b/>
          <w:bCs/>
        </w:rPr>
        <w:t xml:space="preserve">LIMO SELFIES-VAE</w:t>
      </w:r>
      <w:r>
        <w:t xml:space="preserve"> </w:t>
      </w:r>
      <w:r>
        <w:t xml:space="preserve">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is a 44.6 M-parameter FiLM-ResNet that reverses a 1000-step cosine DDPM in latent space; the production sampler runs two such denoisers in parallel (DGLD-H + DGLD-P, Results (main paper)). (3) The</w:t>
      </w:r>
      <w:r>
        <w:t xml:space="preserve"> </w:t>
      </w:r>
      <w:r>
        <w:rPr>
          <w:b/>
          <w:bCs/>
        </w:rPr>
        <w:t xml:space="preserve">multi-task score model</w:t>
      </w:r>
      <w:r>
        <w:t xml:space="preserve"> </w:t>
      </w:r>
      <w:r>
        <w:t xml:space="preserve">is a 4-block FiLM-MLP with a shared 1024-d trunk over (z, σ) with three active steering heads (Viability, Sensitivity, Hazard) and three auxiliary multi-task heads (Performance, SA, SC; Supplementary Note 2.4);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2.1a (LIMO VAE), 2.1b (denoiser + score model), and 2.1c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Methods (main paper) / Discussion (main paper))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bCs/>
        </w:rPr>
        <w:t xml:space="preserve">Table 2.1a.</w:t>
      </w:r>
      <w:r>
        <w:t xml:space="preserve"> </w:t>
      </w:r>
      <w:r>
        <w:t xml:space="preserve">LIMO SELFIES-VAE hyperparameters. Source of truth for all LIMO-related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a. LIMO SELFIES-VAE hyperparameters. Source of truth for all LIMO-related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dgld/limo_model.py</w:t>
            </w:r>
            <w:r>
              <w:rPr>
                <w:rFonts w:ascii="Times New Roman" w:hAnsi="Times New Roman"/>
                <w:sz w:val="20"/>
              </w:rPr>
              <w:t xml:space="preserve"> </w:t>
            </w:r>
            <w:r>
              <w:rPr>
                <w:rFonts w:ascii="Times New Roman" w:hAnsi="Times New Roman"/>
                <w:sz w:val="20"/>
              </w:rPr>
              <w:t xml:space="preserve">(LIMOVAE class)</w:t>
            </w:r>
          </w:p>
        </w:tc>
      </w:tr>
    </w:tbl>
    <w:p/>
    <w:p>
      <w:pPr>
        <w:pStyle w:val="ImageCaption"/>
        <w:spacing w:before="80" w:after="120" w:line="240" w:lineRule="auto"/>
        <w:jc w:val="center"/>
        <w:keepNext w:val="0"/>
        <w:keepLines/>
        <w:widowControl w:val="1"/>
      </w:pPr>
      <w:r>
        <w:rPr>
          <w:b/>
          <w:bCs/>
        </w:rPr>
        <w:t xml:space="preserve">Table 2.1b.</w:t>
      </w:r>
      <w:r>
        <w:t xml:space="preserve"> </w:t>
      </w:r>
      <w:r>
        <w:t xml:space="preserve">Denoiser and multi-task score-model hyperparameters. Source of truth for all denoiser and score-model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b. Denoiser and multi-task score-model hyperparameters. Source of truth for all denoiser and score-model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Methods “Dataset and four-tier label hierarchy” (main paper))</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Discussion (main paper))</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(Discussion (main paper))</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ImageCaption"/>
        <w:spacing w:before="80" w:after="120" w:line="240" w:lineRule="auto"/>
        <w:jc w:val="center"/>
        <w:keepNext w:val="0"/>
        <w:keepLines/>
        <w:widowControl w:val="1"/>
      </w:pPr>
      <w:r>
        <w:rPr>
          <w:b/>
          <w:bCs/>
        </w:rPr>
        <w:t xml:space="preserve">Table 2.1c.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2.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(Supplementary Note 2.1)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bookmarkEnd w:id="19"/>
    <w:bookmarkStart w:id="20" w:name="X25cc60c06ad122548489808636cad2394d6c66c"/>
    <w:p>
      <w:pPr>
        <w:pStyle w:val="Heading4"/>
        <w:keepNext/>
        <w:keepLines/>
        <w:widowControl w:val="1"/>
      </w:pPr>
      <w:r>
        <w:t xml:space="preserve">2.1 Hard-negative augmentation (self-distillation)</w:t>
      </w:r>
    </w:p>
    <w:p>
      <w:pPr>
        <w:pStyle w:val="FirstParagraph"/>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Results (main paper)).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(Extended Data Fig. 5, main paper):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Note 6.1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Results (main paper)). The score model after round 2 (corpus + 918 hard negatives) is the production checkpoint used in Results (main paper).</w:t>
      </w:r>
    </w:p>
    <w:p>
      <w:pPr>
        <w:pStyle w:val="BodyText"/>
        <w:jc w:val="both"/>
        <w:keepNext w:val="0"/>
        <w:keepLines w:val="0"/>
        <w:widowControl w:val="1"/>
      </w:pPr>
      <w:r>
        <w:rPr>
          <w:b/>
          <w:bCs/>
        </w:rPr>
        <w:t xml:space="preserve">Procedure summary.</w:t>
      </w:r>
      <w:r>
        <w:t xml:space="preserve"> </w:t>
      </w:r>
      <w:r>
        <w:t xml:space="preserve">The five-step mine-then-retrain loop is given in Methods (main paper, “Multi-task score model and self-distillation”) and is not re-stated here; the held-out 7-anchor / 5-cheat probe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the stopping criterion, satisfied at round 2 (918 cumulative hard negatives).</w:t>
      </w:r>
    </w:p>
    <w:p>
      <w:pPr>
        <w:pStyle w:val="BodyText"/>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Discussion (main paper))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bookmarkEnd w:id="20"/>
    <w:bookmarkStart w:id="21" w:name="X7c2290b4df59b7da00f571a75197efcf4ba4a55"/>
    <w:p>
      <w:pPr>
        <w:pStyle w:val="Heading4"/>
        <w:keepNext/>
        <w:keepLines/>
        <w:widowControl w:val="1"/>
      </w:pPr>
      <w:r>
        <w:t xml:space="preserve">2.2 Sensitivity head: heuristic vs literature-grounded variants</w:t>
      </w:r>
    </w:p>
    <w:p>
      <w:pPr>
        <w:pStyle w:val="FirstParagraph"/>
        <w:jc w:val="both"/>
        <w:keepNext w:val="0"/>
        <w:keepLines w:val="0"/>
        <w:widowControl w:val="1"/>
      </w:pPr>
      <w:r>
        <w:t xml:space="preserve">The default 5-head score model trains the sensitivity head against the hand-coded heuristic of Supplementary Note 2.2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[10]</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bookmarkEnd w:id="21"/>
    <w:bookmarkStart w:id="22" w:name="X0b452f71cfea51ab8b80f10afc9ebbd055a5e58"/>
    <w:p>
      <w:pPr>
        <w:pStyle w:val="Heading4"/>
        <w:keepNext/>
        <w:keepLines/>
        <w:widowControl w:val="1"/>
      </w:pPr>
      <w:r>
        <w:t xml:space="preserve">2.3 Per-head gradient-norm rebalancing (optional)</w:t>
      </w:r>
    </w:p>
    <w:p>
      <w:pPr>
        <w:pStyle w:val="FirstParagraph"/>
        <w:jc w:val="both"/>
        <w:keepNext w:val="0"/>
        <w:keepLines w:val="0"/>
        <w:widowControl w:val="1"/>
      </w:pP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bookmarkEnd w:id="22"/>
    <w:bookmarkStart w:id="23" w:name="drug-domain-transfer-heads-sa-sc"/>
    <w:p>
      <w:pPr>
        <w:pStyle w:val="Heading4"/>
        <w:keepNext/>
        <w:keepLines/>
        <w:widowControl w:val="1"/>
      </w:pPr>
      <w:r>
        <w:t xml:space="preserve">2.4 Drug-domain transfer heads (SA, SC)</w:t>
      </w:r>
    </w:p>
    <w:p>
      <w:pPr>
        <w:pStyle w:val="FirstParagraph"/>
        <w:jc w:val="both"/>
        <w:keepNext w:val="0"/>
        <w:keepLines w:val="0"/>
        <w:widowControl w:val="1"/>
      </w:pPr>
      <w:r>
        <w:t xml:space="preserve">The score model architected in Discussion (main paper)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Discussion (main paper);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Note 6.4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Note 2.1)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2.1b)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Note 2.1). The cost of retaining is low; the cost of dropping (re-training the score model, re-running Supplementary Note 6.4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Discussion (main paper) Architecture (drug-domain transfer paragraph); Discussion (main paper)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Note 6.4 Multi-seed pattern (the SA-C3-vs-SA-C2 numerical result). This Supplementary Note consolidates them.</w:t>
      </w:r>
    </w:p>
    <w:bookmarkEnd w:id="23"/>
    <w:bookmarkStart w:id="25" w:name="production-recipe-table-2.5"/>
    <w:p>
      <w:pPr>
        <w:pStyle w:val="Heading4"/>
        <w:keepNext/>
        <w:keepLines/>
        <w:widowControl w:val="1"/>
      </w:pPr>
      <w:r>
        <w:t xml:space="preserve">2.5 Production recipe (Table 2.5)</w:t>
      </w:r>
    </w:p>
    <w:p>
      <w:pPr>
        <w:pStyle w:val="FirstParagraph"/>
        <w:jc w:val="both"/>
        <w:keepNext w:val="0"/>
        <w:keepLines w:val="0"/>
        <w:widowControl w:val="1"/>
      </w:pPr>
      <w:r>
        <w:t xml:space="preserve">Complete configuration used throughout Results (main paper). Each knob traces to the Results “Component contributions” (main paper) ablation (or Methods; see also Methods (main paper) hyperparameter sweep) that selected it.</w:t>
      </w:r>
    </w:p>
    <w:bookmarkStart w:id="24" w:name="table-c5"/>
    <w:p>
      <w:pPr>
        <w:pStyle w:val="ImageCaption"/>
        <w:spacing w:before="80" w:after="120" w:line="240" w:lineRule="auto"/>
        <w:jc w:val="center"/>
        <w:keepNext w:val="0"/>
        <w:keepLines/>
        <w:widowControl w:val="1"/>
      </w:pPr>
      <w:r>
        <w:rPr>
          <w:b/>
          <w:bCs/>
        </w:rPr>
        <w:t xml:space="preserve">Table 2.5.</w:t>
      </w:r>
      <w:r>
        <w:t xml:space="preserve"> </w:t>
      </w:r>
      <w:r>
        <w:t xml:space="preserve">Production recipe for the Results (main paper)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2.5. Production recipe for the Results (main paper)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Extended Data Fig. 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6.5; Extended Data Fig. 2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Discussion (main paper); Supplementary Note 6.1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6.3,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Supplementary Note 4.5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Supplementary Note 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bl>
    <w:bookmarkEnd w:id="24"/>
    <w:bookmarkEnd w:id="25"/>
    <w:bookmarkEnd w:id="26"/>
    <w:bookmarkStart w:id="42" w:name="si-note-3"/>
    <w:p>
      <w:pPr>
        <w:pStyle w:val="Heading3"/>
        <w:keepNext/>
        <w:keepLines/>
        <w:widowControl w:val="1"/>
      </w:pPr>
      <w:r>
        <w:t xml:space="preserve">Supplementary Note 3: First-principles audit (DFT) methodology and uncertainty bounds</w:t>
      </w:r>
    </w:p>
    <w:p>
      <w:pPr>
        <w:pStyle w:val="FirstParagraph"/>
        <w:jc w:val="both"/>
        <w:keepNext w:val="0"/>
        <w:keepLines w:val="0"/>
        <w:widowControl w:val="1"/>
      </w:pPr>
      <w:r>
        <w:t xml:space="preserve">This Supplementary Note collects the DFT-methodology details that support Results (main paper) (per-lead validation and anchor calibration). Results (main paper) reports only the result table; readers who want to assess the methodology choices, the systematic-bias bands, and the calibration-extension recommendations should refer to this Supplementary Note.</w:t>
      </w:r>
    </w:p>
    <w:bookmarkStart w:id="27" w:name="functional-and-basis-set-choice"/>
    <w:p>
      <w:pPr>
        <w:pStyle w:val="Heading4"/>
        <w:keepNext/>
        <w:keepLines/>
        <w:widowControl w:val="1"/>
      </w:pPr>
      <w:r>
        <w:t xml:space="preserve">3.1 Functional and basis-set choice</w:t>
      </w:r>
    </w:p>
    <w:p>
      <w:pPr>
        <w:pStyle w:val="FirstParagraph"/>
        <w:jc w:val="both"/>
        <w:keepNext w:val="0"/>
        <w:keepLines w:val="0"/>
        <w:widowControl w:val="1"/>
      </w:pP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[2]</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bookmarkEnd w:id="27"/>
    <w:bookmarkStart w:id="28" w:name="thermal-correction-to-298-k"/>
    <w:p>
      <w:pPr>
        <w:pStyle w:val="Heading4"/>
        <w:keepNext/>
        <w:keepLines/>
        <w:widowControl w:val="1"/>
      </w:pPr>
      <w:r>
        <w:t xml:space="preserve">3.2 Thermal correction to 298 K</w:t>
      </w:r>
    </w:p>
    <w:p>
      <w:pPr>
        <w:pStyle w:val="FirstParagraph"/>
        <w:jc w:val="both"/>
        <w:keepNext w:val="0"/>
        <w:keepLines w:val="0"/>
        <w:widowControl w:val="1"/>
      </w:pPr>
      <w:r>
        <w:t xml:space="preserve">All HOFs in Results (main paper)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(3.4). We report 0 K HOFs throughout for consistency; converting to 298 K standard HOF would shift values uniformly by ~10–25 kJ/mol with no impact on relative rankings or the K-J residual.</w:t>
      </w:r>
    </w:p>
    <w:bookmarkEnd w:id="28"/>
    <w:bookmarkStart w:id="29" w:name="X747346594104d40384828f524dcb003e76bf02a"/>
    <w:p>
      <w:pPr>
        <w:pStyle w:val="Heading4"/>
        <w:keepNext/>
        <w:keepLines/>
        <w:widowControl w:val="1"/>
      </w:pPr>
      <w:r>
        <w:t xml:space="preserve">3.3 Calibration uncertainty: literature bias bands</w:t>
      </w:r>
    </w:p>
    <w:p>
      <w:pPr>
        <w:pStyle w:val="FirstParagraph"/>
        <w:jc w:val="both"/>
        <w:keepNext w:val="0"/>
        <w:keepLines w:val="0"/>
        <w:widowControl w:val="1"/>
      </w:pPr>
      <w:r>
        <w:t xml:space="preserve">The 6-anchor LOO RMS quoted in Results (main paper)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[11]</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[2]</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Results (main paper). For density, the Bondi van-der-Waals volume estimator</w:t>
      </w:r>
      <w:r>
        <w:t xml:space="preserve"> </w:t>
      </w:r>
      <w:hyperlink w:anchor="ref-bondi1964vdw">
        <w:r>
          <w:rPr>
            <w:rStyle w:val="Hyperlink"/>
          </w:rPr>
          <w:t xml:space="preserve">[12]</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bookmarkEnd w:id="29"/>
    <w:bookmarkStart w:id="30" w:name="anchor-calibration"/>
    <w:p>
      <w:pPr>
        <w:pStyle w:val="Heading4"/>
        <w:keepNext/>
        <w:keepLines/>
        <w:widowControl w:val="1"/>
      </w:pPr>
      <w:r>
        <w:t xml:space="preserve">3.4 6-anchor calibration</w:t>
      </w:r>
    </w:p>
    <w:p>
      <w:pPr>
        <w:pStyle w:val="FirstParagraph"/>
        <w:jc w:val="both"/>
        <w:keepNext w:val="0"/>
        <w:keepLines w:val="0"/>
        <w:widowControl w:val="1"/>
      </w:pP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Results (main paper); per-anchor fit residuals are tabulated in Supplementary Note 3.4. The calibrated DFT numbers in Results (main paper)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bookmarkEnd w:id="30"/>
    <w:bookmarkStart w:id="31" w:name="per-lead-dft-recomputed-property-table"/>
    <w:p>
      <w:pPr>
        <w:pStyle w:val="Heading4"/>
        <w:keepNext/>
        <w:keepLines/>
        <w:widowControl w:val="1"/>
      </w:pPr>
      <w:r>
        <w:t xml:space="preserve">3.5 Per-lead DFT-recomputed property table</w:t>
      </w:r>
    </w:p>
    <w:p>
      <w:pPr>
        <w:pStyle w:val="FirstParagraph"/>
        <w:jc w:val="both"/>
        <w:keepNext w:val="0"/>
        <w:keepLines w:val="0"/>
        <w:widowControl w:val="1"/>
      </w:pP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bCs/>
        </w:rPr>
        <w:t xml:space="preserve">Table 3.1.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3.1c.</w:t>
      </w:r>
    </w:p>
    <w:tbl>
      <w:tblPr>
        <w:tblStyle w:val="Table"/>
        <w:tblW w:type="pct" w:w="5000"/>
        <w:jc w:val="center"/>
        <w:tblLook w:firstRow="1" w:lastRow="0" w:firstColumn="0" w:lastColumn="0" w:noHBand="0" w:noVBand="0" w:val="0020"/>
        <w:tblCaption w:val="Table 3.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3.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bCs/>
        </w:rPr>
        <w:t xml:space="preserve">Table 3.1c.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[10]</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3.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10]);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Results “Novelty and synthesisability” (main paper) were optimised with the same protocol; they are</w:t>
      </w:r>
      <w:r>
        <w:t xml:space="preserve"> </w:t>
      </w:r>
      <w:r>
        <w:rPr>
          <w:i/>
          <w:iCs/>
        </w:rPr>
        <w:t xml:space="preserve">not</w:t>
      </w:r>
      <w:r>
        <w:t xml:space="preserve"> </w:t>
      </w:r>
      <w:r>
        <w:t xml:space="preserve">chem-pass leads and are reported here for completeness:</w:t>
      </w:r>
    </w:p>
    <w:p>
      <w:pPr>
        <w:pStyle w:val="ImageCaption"/>
        <w:spacing w:before="80" w:after="120" w:line="240" w:lineRule="auto"/>
        <w:jc w:val="center"/>
        <w:keepNext w:val="0"/>
        <w:keepLines/>
        <w:widowControl w:val="1"/>
      </w:pPr>
      <w:r>
        <w:rPr>
          <w:b/>
          <w:bCs/>
        </w:rPr>
        <w:t xml:space="preserve">Table 3.1b.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3.1d.</w:t>
      </w:r>
    </w:p>
    <w:tbl>
      <w:tblPr>
        <w:tblStyle w:val="Table"/>
        <w:tblW w:type="pct" w:w="5000"/>
        <w:jc w:val="center"/>
        <w:tblLook w:firstRow="1" w:lastRow="0" w:firstColumn="0" w:lastColumn="0" w:noHBand="0" w:noVBand="0" w:val="0020"/>
        <w:tblCaption w:val="Table 3.1b. Reference-class (chem-rejected) scaffolds optimised with the same B3LYP/6-31G(d) + ωB97X-D3BJ/def2-TZVP protocol. R2 is an N-nitroimine, R3 a polyazene chain, R14 an azo-amino-nitrate. DFT-derived properties for these compounds are in Table 3.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ImageCaption"/>
        <w:spacing w:before="80" w:after="120" w:line="240" w:lineRule="auto"/>
        <w:jc w:val="center"/>
        <w:keepNext w:val="0"/>
        <w:keepLines/>
        <w:widowControl w:val="1"/>
      </w:pPr>
      <w:r>
        <w:rPr>
          <w:b/>
          <w:bCs/>
        </w:rPr>
        <w:t xml:space="preserve">Table 3.1d.</w:t>
      </w:r>
      <w:r>
        <w:t xml:space="preserve"> </w:t>
      </w:r>
      <w:r>
        <w:t xml:space="preserve">DFT-derived properties for the three reference-class scaffolds. Calibration as Table 3.1c.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3.1d. DFT-derived properties for the three reference-class scaffolds. Calibration as Table 3.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3.1c.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Supplementary Note 3.4).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ImageCaption"/>
        <w:spacing w:before="80" w:after="120" w:line="240" w:lineRule="auto"/>
        <w:jc w:val="center"/>
        <w:keepNext w:val="0"/>
        <w:keepLines/>
        <w:widowControl w:val="1"/>
      </w:pPr>
      <w:r>
        <w:rPr>
          <w:b/>
          <w:bCs/>
        </w:rPr>
        <w:t xml:space="preserve">Table 3.2.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3.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3.2.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bookmarkEnd w:id="31"/>
    <w:bookmarkStart w:id="32" w:name="Xe5634de1881f7c2a99c8329b75ac8ab36462947"/>
    <w:p>
      <w:pPr>
        <w:pStyle w:val="Heading4"/>
        <w:keepNext/>
        <w:keepLines/>
        <w:widowControl w:val="1"/>
      </w:pPr>
      <w:r>
        <w:t xml:space="preserve">3.5b caveat block: 1,2,3,5-oxatriazole stability literature (E1)</w:t>
      </w:r>
    </w:p>
    <w:p>
      <w:pPr>
        <w:pStyle w:val="FirstParagraph"/>
        <w:jc w:val="both"/>
        <w:keepNext w:val="0"/>
        <w:keepLines w:val="0"/>
        <w:widowControl w:val="1"/>
      </w:pP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Note 3.10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bookmarkEnd w:id="32"/>
    <w:bookmarkStart w:id="33" w:name="X4f25814ef8760bac9b00da35f085c96644d1ad0"/>
    <w:p>
      <w:pPr>
        <w:pStyle w:val="Heading4"/>
        <w:keepNext/>
        <w:keepLines/>
        <w:widowControl w:val="1"/>
      </w:pPr>
      <w:r>
        <w:t xml:space="preserve">3.6 K-J residual decomposition by ρ/HOF sensitivity</w:t>
      </w:r>
    </w:p>
    <w:p>
      <w:pPr>
        <w:pStyle w:val="FirstParagraph"/>
        <w:jc w:val="both"/>
        <w:keepNext w:val="0"/>
        <w:keepLines w:val="0"/>
        <w:widowControl w:val="1"/>
      </w:pP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3.2).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w:r>
        <w:rPr>
          <w:b/>
          <w:bCs/>
        </w:rPr>
        <w:t xml:space="preserve">Table 3.3.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3.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bookmarkEnd w:id="33"/>
    <w:bookmarkStart w:id="34" w:name="Xb8d02889d1e9ad7ebd27c17191d0bb8418eb4b9"/>
    <w:p>
      <w:pPr>
        <w:pStyle w:val="Heading4"/>
        <w:keepNext/>
        <w:keepLines/>
        <w:widowControl w:val="1"/>
      </w:pPr>
      <w:r>
        <w:t xml:space="preserve">3.7 Population-level N-fraction stratification</w:t>
      </w:r>
    </w:p>
    <w:p>
      <w:pPr>
        <w:pStyle w:val="FirstParagraph"/>
        <w:jc w:val="both"/>
        <w:keepNext w:val="0"/>
        <w:keepLines w:val="0"/>
        <w:widowControl w:val="1"/>
      </w:pP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w:r>
        <w:rPr>
          <w:b/>
          <w:bCs/>
        </w:rPr>
        <w:t xml:space="preserve">Table 3.4.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3.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Results (main paper) attribution is consistent with the population-level monotone N-fraction trend. Note: the mean K-J residual in the [0.55–1.00] N-fraction bin of Table 3.4 is positive (+0.54 km/s), indicating apparent K-J over-prediction at this extreme N-fraction; this sign flip is an artifact of the open-form Q approximation (Q ≈ ΔHf/MW without product-side subtraction) and does not apply to the closed-form K-J used per-lead in Table 3.2.</w:t>
      </w:r>
    </w:p>
    <w:bookmarkEnd w:id="34"/>
    <w:bookmarkStart w:id="35" w:name="scaffold-similarity-to-labelled-master"/>
    <w:p>
      <w:pPr>
        <w:pStyle w:val="Heading4"/>
        <w:keepNext/>
        <w:keepLines/>
        <w:widowControl w:val="1"/>
      </w:pPr>
      <w:r>
        <w:t xml:space="preserve">3.8 Scaffold-similarity to labelled master</w:t>
      </w:r>
    </w:p>
    <w:p>
      <w:pPr>
        <w:pStyle w:val="FirstParagraph"/>
        <w:jc w:val="both"/>
        <w:keepNext w:val="0"/>
        <w:keepLines w:val="0"/>
        <w:widowControl w:val="1"/>
      </w:pPr>
      <w:r>
        <w:t xml:space="preserve">Beyond Tanimoto on full-molecule fingerprints (Results “Novelty and synthesisability” (main paper)),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bCs/>
        </w:rPr>
        <w:t xml:space="preserve">Table 3.5.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3.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Results “Novelty and synthesisability” (main paper)). The max=1.00 reflects sanity-check rediscoveries (e.g., 1,2-isoxazole, 1,2,4-tetrazole, oxadiazole, 1,2,3,4-tetrazine). C2 (viab+sens+hazard) has the lowest scaffold-NN mean (0.372); C3 (hazard-only) has the highest scaffold count (503).</w:t>
      </w:r>
    </w:p>
    <w:bookmarkEnd w:id="35"/>
    <w:bookmarkStart w:id="36" w:name="X6c153f4b1b99e3c2dbbbee9ec940808188aad67"/>
    <w:p>
      <w:pPr>
        <w:pStyle w:val="Heading4"/>
        <w:keepNext/>
        <w:keepLines/>
        <w:widowControl w:val="1"/>
      </w:pPr>
      <w:r>
        <w:t xml:space="preserve">3.9 Bondi-vdW packing-factor bracket on L1 and E1 (T2 cross-check)</w:t>
      </w:r>
    </w:p>
    <w:p>
      <w:pPr>
        <w:pStyle w:val="FirstParagraph"/>
        <w:jc w:val="both"/>
        <w:keepNext w:val="0"/>
        <w:keepLines w:val="0"/>
        <w:widowControl w:val="1"/>
      </w:pP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Results (main paper)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experiments/t2_density/</w:t>
      </w:r>
      <w:r>
        <w:t xml:space="preserve">.</w:t>
      </w:r>
    </w:p>
    <w:bookmarkEnd w:id="36"/>
    <w:bookmarkStart w:id="37" w:name="X897b672514ce268477bf3965f2ad182be5c793b"/>
    <w:p>
      <w:pPr>
        <w:pStyle w:val="Heading4"/>
        <w:keepNext/>
        <w:keepLines/>
        <w:widowControl w:val="1"/>
      </w:pPr>
      <w:r>
        <w:t xml:space="preserve">3.10 GFN2-xTB weakest-bond BDE on L1 and E1 (T1 cross-check)</w:t>
      </w:r>
    </w:p>
    <w:p>
      <w:pPr>
        <w:pStyle w:val="FirstParagraph"/>
        <w:jc w:val="both"/>
        <w:keepNext w:val="0"/>
        <w:keepLines w:val="0"/>
        <w:widowControl w:val="1"/>
      </w:pP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experiments/t1_bde/</w:t>
      </w:r>
      <w:r>
        <w:t xml:space="preserve">.</w:t>
      </w:r>
    </w:p>
    <w:bookmarkEnd w:id="37"/>
    <w:bookmarkStart w:id="38" w:name="dntf-7th-anchor-extension-attempt"/>
    <w:p>
      <w:pPr>
        <w:pStyle w:val="Heading4"/>
        <w:keepNext/>
        <w:keepLines/>
        <w:widowControl w:val="1"/>
      </w:pPr>
      <w:r>
        <w:t xml:space="preserve">3.11 DNTF 7th-anchor extension attempt</w:t>
      </w:r>
    </w:p>
    <w:p>
      <w:pPr>
        <w:pStyle w:val="FirstParagraph"/>
        <w:jc w:val="both"/>
        <w:keepNext w:val="0"/>
        <w:keepLines w:val="0"/>
        <w:widowControl w:val="1"/>
      </w:pP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bookmarkEnd w:id="38"/>
    <w:bookmarkStart w:id="40" w:name="stage-3-xtb-triage-recipe"/>
    <w:p>
      <w:pPr>
        <w:pStyle w:val="Heading4"/>
        <w:keepNext/>
        <w:keepLines/>
        <w:widowControl w:val="1"/>
      </w:pPr>
      <w:r>
        <w:t xml:space="preserve">3.12 Stage-3 xTB triage recipe</w:t>
      </w:r>
    </w:p>
    <w:p>
      <w:pPr>
        <w:pStyle w:val="FirstParagraph"/>
        <w:jc w:val="both"/>
        <w:keepNext w:val="0"/>
        <w:keepLines w:val="0"/>
        <w:widowControl w:val="1"/>
      </w:pPr>
      <w:r>
        <w:t xml:space="preserve">The Stage-3 xTB triage referenced in Results (main paper) follows the standard pre-experimental screening recipe for computational energetic-materials chemistry: starting from canonical SMILES we run an RDKit ETKDGv3 conformer search, MMFF94 minimisation, and then xTB</w:t>
      </w:r>
      <w:r>
        <w:t xml:space="preserve"> </w:t>
      </w:r>
      <w:hyperlink r:id="rId3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[13]</w:t>
        </w:r>
      </w:hyperlink>
      <w:r>
        <w:t xml:space="preserve">, so we treat the gap as a triage signal rather than a final verdict; molecules clearing the 1.5 eV gate are promoted to Stage 4 DFT, and motif-level shock and friction risks are caught by the parallel SMARTS gate (Stage 1, Methods; see also Methods (main paper)).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3.1–3.4 above).</w:t>
      </w:r>
    </w:p>
    <w:bookmarkEnd w:id="40"/>
    <w:bookmarkStart w:id="41" w:name="independent-cj-cross-check"/>
    <w:p>
      <w:pPr>
        <w:pStyle w:val="Heading4"/>
        <w:keepNext/>
        <w:keepLines/>
        <w:widowControl w:val="1"/>
      </w:pPr>
      <w:r>
        <w:t xml:space="preserve">3.13 Independent CJ cross-check</w:t>
      </w:r>
    </w:p>
    <w:p>
      <w:pPr>
        <w:pStyle w:val="FirstParagraph"/>
        <w:jc w:val="both"/>
        <w:keepNext w:val="0"/>
        <w:keepLines w:val="0"/>
        <w:widowControl w:val="1"/>
      </w:pPr>
      <w:r>
        <w:t xml:space="preserve">A thermochemical-equilibrium Cantera ideal-gas Chapman–Jouguet recompute is provided as an independent relative-ranking sanity check on the Results (main paper)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Discussion (main paper)).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41"/>
    <w:bookmarkEnd w:id="42"/>
    <w:bookmarkStart w:id="55" w:name="si-note-4"/>
    <w:p>
      <w:pPr>
        <w:pStyle w:val="Heading3"/>
        <w:keepNext/>
        <w:keepLines/>
        <w:widowControl w:val="1"/>
      </w:pPr>
      <w:r>
        <w:t xml:space="preserve">Supplementary Note 4: Reproducibility details and superseded ablations</w:t>
      </w:r>
    </w:p>
    <w:p>
      <w:pPr>
        <w:pStyle w:val="FirstParagraph"/>
        <w:jc w:val="both"/>
        <w:keepNext w:val="0"/>
        <w:keepLines w:val="0"/>
        <w:widowControl w:val="1"/>
      </w:pPr>
      <w:r>
        <w:t xml:space="preserve">This Supplementary Note collects implementation-specific names, version codes, hardware configurations, hyperparameter ablations, and superseded results that are not required for the body claims but are needed for full reproducibility.</w:t>
      </w:r>
    </w:p>
    <w:bookmarkStart w:id="43" w:name="score-model-variants"/>
    <w:p>
      <w:pPr>
        <w:pStyle w:val="Heading4"/>
        <w:keepNext/>
        <w:keepLines/>
        <w:widowControl w:val="1"/>
      </w:pPr>
      <w:r>
        <w:t xml:space="preserve">4.1 Score-model variants</w:t>
      </w:r>
    </w:p>
    <w:p>
      <w:pPr>
        <w:pStyle w:val="FirstParagraph"/>
        <w:jc w:val="both"/>
        <w:keepNext w:val="0"/>
        <w:keepLines w:val="0"/>
        <w:widowControl w:val="1"/>
      </w:pPr>
      <w:r>
        <w:t xml:space="preserve">Two score-model checkpoints are released on Zenodo: the production 6-head hazard-aware model (</w:t>
      </w:r>
      <w:r>
        <w:rPr>
          <w:rStyle w:val="VerbatimChar"/>
        </w:rPr>
        <w:t xml:space="preserve">score_model_v3f</w:t>
      </w:r>
      <w:r>
        <w:t xml:space="preserve"> </w:t>
      </w:r>
      <w:r>
        <w:t xml:space="preserve">in the archive; matches Discussion (main paper) + Table 2.5)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bookmarkEnd w:id="43"/>
    <w:bookmarkStart w:id="44" w:name="compute-budget"/>
    <w:p>
      <w:pPr>
        <w:pStyle w:val="Heading4"/>
        <w:keepNext/>
        <w:keepLines/>
        <w:widowControl w:val="1"/>
      </w:pPr>
      <w:r>
        <w:t xml:space="preserve">4.2 Compute budget</w:t>
      </w:r>
    </w:p>
    <w:p>
      <w:pPr>
        <w:pStyle w:val="FirstParagraph"/>
        <w:jc w:val="both"/>
        <w:keepNext w:val="0"/>
        <w:keepLines w:val="0"/>
        <w:widowControl w:val="1"/>
      </w:pPr>
      <w:r>
        <w:t xml:space="preserve">Single-seed pool=40 000 head-to-head: ~8 min on a single consumer GPU; 4-condition × 3-seed pool=10 000: ~25 min. Full DFT audit (15–25-atom CHNO molecules): ~1 GPU-hour per molecule. Full DGLD pipeline (corpus to merged top-100): ~2 GPU-hours.</w:t>
      </w:r>
    </w:p>
    <w:bookmarkEnd w:id="44"/>
    <w:bookmarkStart w:id="45" w:name="hyperparameter-values"/>
    <w:p>
      <w:pPr>
        <w:pStyle w:val="Heading4"/>
        <w:keepNext/>
        <w:keepLines/>
        <w:widowControl w:val="1"/>
      </w:pPr>
      <w:r>
        <w:t xml:space="preserve">4.3 Hyperparameter values</w:t>
      </w:r>
    </w:p>
    <w:p>
      <w:pPr>
        <w:pStyle w:val="FirstParagraph"/>
        <w:jc w:val="both"/>
        <w:keepNext w:val="0"/>
        <w:keepLines w:val="0"/>
        <w:widowControl w:val="1"/>
      </w:pPr>
      <w:r>
        <w:t xml:space="preserve">All training, sampling, and reranker hyperparameters are tabulated in Supplementary Note 2 (Tables 2.1a–c and the production recipe Table 2.5).</w:t>
      </w:r>
    </w:p>
    <w:bookmarkEnd w:id="45"/>
    <w:bookmarkStart w:id="46" w:name="high-tail-oversampling-ablation"/>
    <w:p>
      <w:pPr>
        <w:pStyle w:val="Heading4"/>
        <w:keepNext/>
        <w:keepLines/>
        <w:widowControl w:val="1"/>
      </w:pPr>
      <w:r>
        <w:t xml:space="preserve">4.4 High-tail oversampling ablation</w:t>
      </w:r>
    </w:p>
    <w:p>
      <w:pPr>
        <w:pStyle w:val="FirstParagraph"/>
        <w:jc w:val="both"/>
        <w:keepNext w:val="0"/>
        <w:keepLines w:val="0"/>
        <w:widowControl w:val="1"/>
      </w:pPr>
      <w:r>
        <w:t xml:space="preserve">Reverting the asymmetric oversampling of Methods “Dataset and four-tier label hierarchy” (main paper) produces leads with a 0.4 km/s lower mean predicted detonation velocity at matched pool size and matched downstream pipeline.</w:t>
      </w:r>
    </w:p>
    <w:bookmarkEnd w:id="46"/>
    <w:bookmarkStart w:id="47" w:name="diagnostic-protocol"/>
    <w:p>
      <w:pPr>
        <w:pStyle w:val="Heading4"/>
        <w:keepNext/>
        <w:keepLines/>
        <w:widowControl w:val="1"/>
      </w:pPr>
      <w:r>
        <w:t xml:space="preserve">4.5 Diagnostic protocol</w:t>
      </w:r>
    </w:p>
    <w:p>
      <w:pPr>
        <w:pStyle w:val="FirstParagraph"/>
        <w:jc w:val="both"/>
        <w:keepNext w:val="0"/>
        <w:keepLines w:val="0"/>
        <w:widowControl w:val="1"/>
      </w:pPr>
      <w:r>
        <w:t xml:space="preserve">The guidance patching of Methods (main paper)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bookmarkEnd w:id="47"/>
    <w:bookmarkStart w:id="48" w:name="X1804c68d55729c01ed098e9359466414bb8c735"/>
    <w:p>
      <w:pPr>
        <w:pStyle w:val="Heading4"/>
        <w:keepNext/>
        <w:keepLines/>
        <w:widowControl w:val="1"/>
      </w:pPr>
      <w:r>
        <w:t xml:space="preserve">4.6 Strengthened SMARTS catalog: per-class breakdown</w:t>
      </w:r>
    </w:p>
    <w:p>
      <w:pPr>
        <w:pStyle w:val="FirstParagraph"/>
        <w:jc w:val="both"/>
        <w:keepNext w:val="0"/>
        <w:keepLines w:val="0"/>
        <w:widowControl w:val="1"/>
      </w:pPr>
      <w:r>
        <w:t xml:space="preserve">Two motif classes well-known to the energetic-materials community as shock-sensitive or thermally unstable were added to the SMARTS catalog (Results “Novelty and synthesisability” (main paper)):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bCs/>
        </w:rPr>
        <w:t xml:space="preserve">Table 4.3.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4.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End w:id="48"/>
    <w:bookmarkStart w:id="49" w:name="cfg-scale-ablation"/>
    <w:p>
      <w:pPr>
        <w:pStyle w:val="Heading4"/>
        <w:keepNext/>
        <w:keepLines/>
        <w:widowControl w:val="1"/>
      </w:pPr>
      <w:r>
        <w:t xml:space="preserve">4.7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(Extended Data Fig. 3 (main paper)).</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49"/>
    <w:bookmarkStart w:id="53" w:name="reproducibility-across-pool-sizes"/>
    <w:p>
      <w:pPr>
        <w:pStyle w:val="Heading4"/>
        <w:keepNext/>
        <w:keepLines/>
        <w:widowControl w:val="1"/>
      </w:pPr>
      <w:r>
        <w:t xml:space="preserve">4.8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Methods; see also Methods (main paper). The composite-score distribution over the top-200 of an unguided pool=40 000 run is shown in Figure 4.8.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Methods; see also Methods (main paper).</w:t>
      </w:r>
    </w:p>
    <w:p>
      <w:pPr>
        <w:pStyle w:val="BodyText"/>
        <w:jc w:val="center"/>
        <w:keepNext/>
        <w:keepLines/>
        <w:widowControl w:val="1"/>
      </w:pPr>
      <w:r>
        <w:drawing>
          <wp:inline>
            <wp:extent cx="5943600" cy="3146886"/>
            <wp:effectExtent b="0" l="0" r="0" t="0"/>
            <wp:docPr descr="Score distribution" title="" id="51" name="Picture"/>
            <a:graphic>
              <a:graphicData uri="http://schemas.openxmlformats.org/drawingml/2006/picture">
                <pic:pic>
                  <pic:nvPicPr>
                    <pic:cNvPr descr="figs/fig5_score_dist.png" id="52" name="Picture"/>
                    <pic:cNvPicPr>
                      <a:picLocks noChangeArrowheads="1" noChangeAspect="1"/>
                    </pic:cNvPicPr>
                  </pic:nvPicPr>
                  <pic:blipFill>
                    <a:blip r:embed="rId50"/>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Methods; see also Methods (main paper)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(visualised as Extended Data Fig. 8 in the main paper). The Pareto reranker (scaffold-aware composite) is the dominant ranker; the largest contributor is the smallest unguided pool, while classifier-guided runs supply scaffold diversity at the top end. The trinitro-isoxazole rank-1 itself comes from a guided run.</w:t>
      </w:r>
    </w:p>
    <w:bookmarkEnd w:id="53"/>
    <w:bookmarkStart w:id="54" w:name="e2-filter-scope-note"/>
    <w:p>
      <w:pPr>
        <w:pStyle w:val="Heading4"/>
        <w:keepNext/>
        <w:keepLines/>
        <w:widowControl w:val="1"/>
      </w:pPr>
      <w:r>
        <w:t xml:space="preserve">4.9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Methods; see also Methods (main paper)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is an upper-bound estimate only.</w:t>
      </w:r>
    </w:p>
    <w:bookmarkEnd w:id="54"/>
    <w:bookmarkEnd w:id="55"/>
    <w:bookmarkStart w:id="56" w:name="si-note-5"/>
    <w:p>
      <w:pPr>
        <w:pStyle w:val="Heading3"/>
        <w:keepNext/>
        <w:keepLines/>
        <w:widowControl w:val="1"/>
      </w:pPr>
      <w:r>
        <w:t xml:space="preserve">Supplementary Note 5: Baseline-method example outputs</w:t>
      </w:r>
    </w:p>
    <w:p>
      <w:pPr>
        <w:pStyle w:val="FirstParagraph"/>
        <w:jc w:val="both"/>
        <w:keepNext w:val="0"/>
        <w:keepLines w:val="0"/>
        <w:widowControl w:val="1"/>
      </w:pPr>
      <w:r>
        <w:t xml:space="preserve">Tables 5.1 and 5.2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bCs/>
        </w:rPr>
        <w:t xml:space="preserve">Table 5.1.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5.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ImageCaption"/>
        <w:spacing w:before="80" w:after="120" w:line="240" w:lineRule="auto"/>
        <w:jc w:val="center"/>
        <w:keepNext w:val="0"/>
        <w:keepLines/>
        <w:widowControl w:val="1"/>
      </w:pPr>
      <w:r>
        <w:rPr>
          <w:b/>
          <w:bCs/>
        </w:rPr>
        <w:t xml:space="preserve">Table 5.2.</w:t>
      </w:r>
      <w:r>
        <w:t xml:space="preserve"> </w:t>
      </w:r>
      <w:r>
        <w:t xml:space="preserve">Ten most-novel CHNO-neutral candidates from the SMILES-LSTM pool. Columns as Table 5.1.</w:t>
      </w:r>
    </w:p>
    <w:tbl>
      <w:tblPr>
        <w:tblStyle w:val="Table"/>
        <w:tblW w:type="pct" w:w="5000"/>
        <w:jc w:val="center"/>
        <w:tblLook w:firstRow="1" w:lastRow="0" w:firstColumn="0" w:lastColumn="0" w:noHBand="0" w:noVBand="0" w:val="0020"/>
        <w:tblCaption w:val="Table 5.2. Ten most-novel CHNO-neutral candidates from the SMILES-LSTM pool. Columns as Table 5.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56"/>
    <w:bookmarkStart w:id="66" w:name="si-note-6"/>
    <w:p>
      <w:pPr>
        <w:pStyle w:val="Heading3"/>
        <w:keepNext/>
        <w:keepLines/>
        <w:widowControl w:val="1"/>
      </w:pPr>
      <w:r>
        <w:t xml:space="preserve">Supplementary Note 6: Detailed ablations</w:t>
      </w:r>
    </w:p>
    <w:p>
      <w:pPr>
        <w:pStyle w:val="FirstParagraph"/>
        <w:jc w:val="both"/>
        <w:keepNext w:val="0"/>
        <w:keepLines w:val="0"/>
        <w:widowControl w:val="1"/>
      </w:pPr>
      <w:r>
        <w:t xml:space="preserve">This Note collects the full prose, sub-tables, and figures for each of the seven ablations whose headline numbers are summarised in main Fig. 5 (Results, “Component contributions”, main paper).</w:t>
      </w:r>
    </w:p>
    <w:bookmarkStart w:id="57" w:name="Xca9e88c1d5dfa5ede0931bcbc9239a74ff9a73b"/>
    <w:p>
      <w:pPr>
        <w:pStyle w:val="Heading4"/>
        <w:keepNext/>
        <w:keepLines/>
        <w:widowControl w:val="1"/>
      </w:pPr>
      <w:r>
        <w:t xml:space="preserve">6.1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Methods (main paper)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The SC-gradient sweep and the heuristic-vs-literature sensitivity-head ablation (Supplementary Note 2.2) are detailed in Supplementary Note 6.4 below.</w:t>
      </w:r>
    </w:p>
    <w:p>
      <w:pPr>
        <w:pStyle w:val="ImageCaption"/>
        <w:spacing w:before="80" w:after="120" w:line="240" w:lineRule="auto"/>
        <w:jc w:val="center"/>
        <w:keepNext w:val="0"/>
        <w:keepLines/>
        <w:widowControl w:val="1"/>
      </w:pPr>
      <w:r>
        <w:rPr>
          <w:b/>
          <w:bCs/>
        </w:rPr>
        <w:t xml:space="preserve">Table 6.1.</w:t>
      </w:r>
      <w:r>
        <w:t xml:space="preserve"> </w:t>
      </w:r>
      <w:r>
        <w:t xml:space="preserve">Hard-negative budget effect on the held-out 7-anchor / 5-cheat probe.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6.1. Hard-negative budget effect on the held-out 7-anchor / 5-cheat probe.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p>
      <w:pPr>
        <w:pStyle w:val="BodyText"/>
        <w:spacing w:before="160"/>
        <w:jc w:val="both"/>
        <w:keepNext w:val="0"/>
        <w:keepLines w:val="0"/>
        <w:widowControl w:val="1"/>
      </w:pPr>
      <w:r>
        <w:rPr>
          <w:b/>
          <w:bCs/>
        </w:rPr>
        <w:t xml:space="preserve">Full per-anchor and per-cheat ranges.</w:t>
      </w:r>
      <w:r>
        <w:t xml:space="preserve"> </w:t>
      </w:r>
      <w:r>
        <w:t xml:space="preserve">We trained two variants of the multi-head model on identical noised-latent inputs to compare hard-negative-augmentation budgets.</w:t>
      </w:r>
      <w:r>
        <w:t xml:space="preserve"> </w:t>
      </w:r>
      <w:r>
        <w:rPr>
          <w:b/>
          <w:bCs/>
        </w:rPr>
        <w:t xml:space="preserve">Budget-137:</w:t>
      </w:r>
      <w:r>
        <w:t xml:space="preserve"> </w:t>
      </w:r>
      <w:r>
        <w:t xml:space="preserve">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r>
        <w:t xml:space="preserve"> </w:t>
      </w:r>
      <w:r>
        <w:rPr>
          <w:b/>
          <w:bCs/>
        </w:rPr>
        <w:t xml:space="preserve">Budget-918 (production):</w:t>
      </w:r>
      <w:r>
        <w:t xml:space="preserve"> </w:t>
      </w:r>
      <w:r>
        <w:t xml:space="preserve">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 On the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57"/>
    <w:bookmarkStart w:id="58" w:name="Xb599e8e4968d4a712cca5d2d19f490c570fcb5e"/>
    <w:p>
      <w:pPr>
        <w:pStyle w:val="Heading4"/>
        <w:keepNext/>
        <w:keepLines/>
        <w:widowControl w:val="1"/>
      </w:pPr>
      <w:r>
        <w:t xml:space="preserve">6.2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6.2)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bCs/>
        </w:rPr>
        <w:t xml:space="preserve">Table 6.2.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6.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8"/>
    <w:bookmarkStart w:id="62" w:name="X720856acb7516bf9327621f2060497439c8316d"/>
    <w:p>
      <w:pPr>
        <w:pStyle w:val="Heading4"/>
        <w:keepNext/>
        <w:keepLines/>
        <w:widowControl w:val="1"/>
      </w:pPr>
      <w:r>
        <w:t xml:space="preserve">6.3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6.1).</w:t>
      </w:r>
    </w:p>
    <w:p>
      <w:pPr>
        <w:pStyle w:val="BodyText"/>
        <w:jc w:val="center"/>
        <w:keepNext/>
        <w:keepLines/>
        <w:widowControl w:val="1"/>
      </w:pPr>
      <w:r>
        <w:drawing>
          <wp:inline>
            <wp:extent cx="5943600" cy="3021192"/>
            <wp:effectExtent b="0" l="0" r="0" t="0"/>
            <wp:docPr descr="Guided vs unguided composite distribution" title="" id="60" name="Picture"/>
            <a:graphic>
              <a:graphicData uri="http://schemas.openxmlformats.org/drawingml/2006/picture">
                <pic:pic>
                  <pic:nvPicPr>
                    <pic:cNvPr descr="figs/fig7_guided_vs_unguided.png" id="61" name="Picture"/>
                    <pic:cNvPicPr>
                      <a:picLocks noChangeArrowheads="1" noChangeAspect="1"/>
                    </pic:cNvPicPr>
                  </pic:nvPicPr>
                  <pic:blipFill>
                    <a:blip r:embed="rId59"/>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bCs/>
        </w:rPr>
        <w:t xml:space="preserve">Table 6.3a.</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6.3a.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BodyText"/>
        <w:jc w:val="both"/>
        <w:keepNext w:val="0"/>
        <w:keepLines w:val="0"/>
        <w:widowControl w:val="1"/>
      </w:pPr>
      <w:r>
        <w:rPr>
          <w:b/>
          <w:bCs/>
        </w:rPr>
        <w:t xml:space="preserve">Distribution-learning metrics (MOSES + FCD).</w:t>
      </w:r>
      <w:r>
        <w:t xml:space="preserve"> </w:t>
      </w:r>
      <w:r>
        <w:t xml:space="preserve">To address standard distribution-learning benchmarks expected by NMI reviewers, we report MOSES-style metrics</w:t>
      </w:r>
      <w:r>
        <w:t xml:space="preserve"> </w:t>
      </w:r>
      <w:hyperlink w:anchor="ref-polykovskiy2020moses">
        <w:r>
          <w:rPr>
            <w:rStyle w:val="Hyperlink"/>
          </w:rPr>
          <w:t xml:space="preserve">[14]</w:t>
        </w:r>
      </w:hyperlink>
      <w:r>
        <w:t xml:space="preserve"> </w:t>
      </w:r>
      <w:r>
        <w:t xml:space="preserve">on the four guidance conditions above at pool=10 000 each (10k SMILES per condition):</w:t>
      </w:r>
    </w:p>
    <w:p>
      <w:pPr>
        <w:pStyle w:val="ImageCaption"/>
        <w:spacing w:before="80" w:after="120" w:line="240" w:lineRule="auto"/>
        <w:jc w:val="center"/>
        <w:keepNext w:val="0"/>
        <w:keepLines/>
        <w:widowControl w:val="1"/>
      </w:pPr>
      <w:r>
        <w:rPr>
          <w:b/>
          <w:bCs/>
        </w:rPr>
        <w:t xml:space="preserve">Table 6.3b.</w:t>
      </w:r>
      <w:r>
        <w:t xml:space="preserve"> </w:t>
      </w:r>
      <w:r>
        <w:t xml:space="preserve">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6.3b. 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is included in the main paper as Extended Data Fig. 9.</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6.3c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6.3b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ImageCaption"/>
        <w:spacing w:before="80" w:after="120" w:line="240" w:lineRule="auto"/>
        <w:jc w:val="center"/>
        <w:keepNext w:val="0"/>
        <w:keepLines/>
        <w:widowControl w:val="1"/>
      </w:pPr>
      <w:r>
        <w:rPr>
          <w:b/>
          <w:bCs/>
        </w:rPr>
        <w:t xml:space="preserve">Table 6.3c.</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6.3c.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Table 6.3b:</w:t>
      </w:r>
    </w:p>
    <w:p>
      <w:pPr>
        <w:pStyle w:val="Compact"/>
        <w:numPr>
          <w:ilvl w:val="0"/>
          <w:numId w:val="1001"/>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Tables 6.3b and 6.3c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1"/>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Results (main paper) Tanimoto-stratified novelty result (median NN-Tanimoto 0.32–0.36) and confirms that the diffusion sampler is not memorising training rows.</w:t>
      </w:r>
    </w:p>
    <w:p>
      <w:pPr>
        <w:pStyle w:val="Compact"/>
        <w:numPr>
          <w:ilvl w:val="0"/>
          <w:numId w:val="1001"/>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1"/>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1"/>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(Methods; see also Methods (main paper)),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[15]</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w:r>
        <w:rPr>
          <w:b/>
          <w:bCs/>
        </w:rPr>
        <w:t xml:space="preserve">Table 6.3d.</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6.3d.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Supplementary Note 6.4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Note 6.4);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Note 6.4).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Note 6.4 composite.</w:t>
      </w:r>
    </w:p>
    <w:bookmarkEnd w:id="62"/>
    <w:bookmarkStart w:id="63" w:name="X4e0ce8fa8ed350a22b226e0abcb39b4d088393f"/>
    <w:p>
      <w:pPr>
        <w:pStyle w:val="Heading4"/>
        <w:keepNext/>
        <w:keepLines/>
        <w:widowControl w:val="1"/>
      </w:pPr>
      <w:r>
        <w:t xml:space="preserve">6.4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Discussion (main paper)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Note 2.4 for the full SA / SC drug-domain transfer-head story.)</w:t>
      </w:r>
    </w:p>
    <w:p>
      <w:pPr>
        <w:pStyle w:val="BodyText"/>
        <w:jc w:val="both"/>
        <w:keepNext w:val="0"/>
        <w:keepLines w:val="0"/>
        <w:widowControl w:val="1"/>
      </w:pPr>
      <w:r>
        <w:t xml:space="preserve">To put the Supplementary Note 6.3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bCs/>
        </w:rPr>
        <w:t xml:space="preserve">Table 6.4a.</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6.4a.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Note 6.3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(Methods (main paper)).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full md5 cluster table.</w:t>
      </w:r>
      <w:r>
        <w:t xml:space="preserve"> </w:t>
      </w:r>
      <w:r>
        <w:t xml:space="preserve">A 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clusters into exactly four distinct outputs by 2×2 head-on/off; within-cluster scale magnitude does not alter the output because the per-row clamp saturates as soon as a head is active. Cluster D (viab + hazard) is the production default.</w:t>
      </w:r>
    </w:p>
    <w:p>
      <w:pPr>
        <w:pStyle w:val="ImageCaption"/>
        <w:spacing w:before="80" w:after="120" w:line="240" w:lineRule="auto"/>
        <w:jc w:val="center"/>
        <w:keepNext w:val="0"/>
        <w:keepLines/>
        <w:widowControl w:val="1"/>
      </w:pPr>
      <w:r>
        <w:rPr>
          <w:b/>
          <w:bCs/>
        </w:rPr>
        <w:t xml:space="preserve">Table 6.4b.</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6.4b.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Note 2.3).</w:t>
      </w:r>
    </w:p>
    <w:p>
      <w:pPr>
        <w:pStyle w:val="BodyText"/>
        <w:jc w:val="both"/>
        <w:keepNext w:val="0"/>
        <w:keepLines w:val="0"/>
        <w:widowControl w:val="1"/>
      </w:pPr>
      <w:r>
        <w:rPr>
          <w:b/>
          <w:bCs/>
        </w:rPr>
        <w:t xml:space="preserve">Heuristic vs literature-grounded sensitivity head.</w:t>
      </w:r>
      <w:r>
        <w:t xml:space="preserve"> </w:t>
      </w:r>
      <w:r>
        <w:t xml:space="preserve">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Note 2.2):</w:t>
      </w:r>
    </w:p>
    <w:p>
      <w:pPr>
        <w:pStyle w:val="ImageCaption"/>
        <w:spacing w:before="80" w:after="120" w:line="240" w:lineRule="auto"/>
        <w:jc w:val="center"/>
        <w:keepNext w:val="0"/>
        <w:keepLines/>
        <w:widowControl w:val="1"/>
      </w:pPr>
      <w:r>
        <w:rPr>
          <w:b/>
          <w:bCs/>
        </w:rPr>
        <w:t xml:space="preserve">Table 6.4c.</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6.4c.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w:t>
      </w:r>
      <w:r>
        <w:t xml:space="preserve"> </w:t>
      </w:r>
      <m:oMath>
        <m:r>
          <m:rPr>
            <m:sty m:val="p"/>
          </m:rPr>
          <m:t>∼</m:t>
        </m:r>
      </m:oMath>
      <w:r>
        <w:t xml:space="preserve">8× at the cost of</w:t>
      </w:r>
      <w:r>
        <w:t xml:space="preserve"> </w:t>
      </w:r>
      <m:oMath>
        <m:r>
          <m:rPr>
            <m:sty m:val="p"/>
          </m:rPr>
          <m:t>∼</m:t>
        </m:r>
      </m:oMath>
      <w:r>
        <w:t xml:space="preserve">0.4 km/s on top-1</w:t>
      </w:r>
      <w:r>
        <w:t xml:space="preserve"> </w:t>
      </w:r>
      <m:oMath>
        <m:r>
          <m:t>D</m:t>
        </m:r>
      </m:oMath>
      <w:r>
        <w:t xml:space="preserve">; preferred when candidate stability is the priority over peak performance.</w:t>
      </w:r>
    </w:p>
    <w:p>
      <w:pPr>
        <w:pStyle w:val="BodyText"/>
        <w:jc w:val="both"/>
        <w:keepNext w:val="0"/>
        <w:keepLines w:val="0"/>
        <w:widowControl w:val="1"/>
      </w:pPr>
      <w:r>
        <w:rPr>
          <w:b/>
          <w:bCs/>
        </w:rPr>
        <w:t xml:space="preserve">Hazard-head post-hoc filtering on the merged top-100.</w:t>
      </w:r>
      <w:r>
        <w:t xml:space="preserve"> </w:t>
      </w:r>
      <w:r>
        <w:t xml:space="preserve">Applying the Discussion (main paper)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w:r>
        <w:rPr>
          <w:b/>
          <w:bCs/>
        </w:rPr>
        <w:t xml:space="preserve">Table 6.4d.</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6.4d.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63"/>
    <w:bookmarkStart w:id="64" w:name="m7-five-lane-100k-pool-run"/>
    <w:p>
      <w:pPr>
        <w:pStyle w:val="Heading4"/>
        <w:keepNext/>
        <w:keepLines/>
        <w:widowControl w:val="1"/>
      </w:pPr>
      <w:r>
        <w:t xml:space="preserve">6.5 M7 five-lane 100k-pool run</w:t>
      </w:r>
    </w:p>
    <w:p>
      <w:pPr>
        <w:pStyle w:val="FirstParagraph"/>
        <w:jc w:val="both"/>
        <w:keepNext w:val="0"/>
        <w:keepLines w:val="0"/>
        <w:widowControl w:val="1"/>
      </w:pPr>
      <w:r>
        <w:t xml:space="preserve">The Supplementary Note 6.3/Supplementary Note 6.4 ablations each use pool = 10 000 per condition; Supplementary Note 6.3 at pool = 40k uses a single lane per denoiser. To verify that pool-fusion continues to pay off beyond 40k, a 100k-pool M7 experiment ran five sampling lanes with seeds 3–4; the top-200 candidates were re-ranked by the Methods; see also Methods (main paper) composite.</w:t>
      </w:r>
    </w:p>
    <w:p>
      <w:pPr>
        <w:pStyle w:val="ImageCaption"/>
        <w:spacing w:before="80" w:after="120" w:line="240" w:lineRule="auto"/>
        <w:jc w:val="center"/>
        <w:keepNext w:val="0"/>
        <w:keepLines/>
        <w:widowControl w:val="1"/>
      </w:pPr>
      <w:r>
        <w:rPr>
          <w:b/>
          <w:bCs/>
        </w:rPr>
        <w:t xml:space="preserve">Table 6.5.</w:t>
      </w:r>
      <w:r>
        <w:t xml:space="preserve"> </w:t>
      </w:r>
      <w:r>
        <w:t xml:space="preserve">M7 five-lane 100k pool-fusion results vs the Supplementary Note 6.3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6.5. M7 five-lane 100k pool-fusion results vs the Supplementary Note 6.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(Supplementary Note 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64"/>
    <w:bookmarkStart w:id="65" w:name="X02ef97b9a9757b41af9330c1c34bb90ae4bcafe"/>
    <w:p>
      <w:pPr>
        <w:pStyle w:val="Heading4"/>
        <w:keepNext/>
        <w:keepLines/>
        <w:widowControl w:val="1"/>
      </w:pPr>
      <w:r>
        <w:t xml:space="preserve">6.6 Tier-gate ablation (perf head trained without label-trust masking)</w:t>
      </w:r>
    </w:p>
    <w:p>
      <w:pPr>
        <w:pStyle w:val="FirstParagraph"/>
        <w:jc w:val="both"/>
        <w:keepNext w:val="0"/>
        <w:keepLines w:val="0"/>
        <w:widowControl w:val="1"/>
      </w:pPr>
      <w:r>
        <w:t xml:space="preserve">The tier-gated training recipe (Methods (main paper), Discussion (main paper))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bCs/>
        </w:rPr>
        <w:t xml:space="preserve">Table 6.6.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6.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Methods (main paper))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Supplementary Note 6.3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65"/>
    <w:bookmarkEnd w:id="66"/>
    <w:bookmarkStart w:id="67" w:name="si-note-7"/>
    <w:p>
      <w:pPr>
        <w:pStyle w:val="Heading3"/>
        <w:keepNext/>
        <w:keepLines/>
        <w:widowControl w:val="1"/>
      </w:pPr>
      <w:r>
        <w:t xml:space="preserve">Supplementary Note 7: AiZynthFinder retrosynthesis audit (L1 and extension leads)</w:t>
      </w:r>
    </w:p>
    <w:p>
      <w:pPr>
        <w:pStyle w:val="FirstParagraph"/>
        <w:jc w:val="both"/>
        <w:keepNext w:val="0"/>
        <w:keepLines w:val="0"/>
        <w:widowControl w:val="1"/>
      </w:pPr>
      <w:r>
        <w:t xml:space="preserve">This Supplementary Note gives the full disconnection narrative for the Results “Novelty and synthesisability” (main paper) AiZynthFinder retrosynthesis audit on L1 (3,4,5-trinitro-1,2-isoxazole), the negative-result discussion for L4, L5, and the nine extension leads, and the drug-domain template-bias argument. The headline is reported in Results “Novelty and synthesisability” (main paper)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konnov2025nitroisoxazole">
        <w:r>
          <w:rPr>
            <w:rStyle w:val="Hyperlink"/>
          </w:rPr>
          <w:t xml:space="preserve">[16]</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67"/>
    <w:bookmarkEnd w:id="68"/>
    <w:bookmarkStart w:id="86" w:name="sec-refs"/>
    <w:p>
      <w:pPr>
        <w:pStyle w:val="Heading2"/>
        <w:keepNext/>
        <w:keepLines/>
        <w:widowControl w:val="1"/>
      </w:pPr>
      <w:r>
        <w:t xml:space="preserve">Supplementary references</w:t>
      </w:r>
    </w:p>
    <w:p>
      <w:pPr>
        <w:pStyle w:val="FirstParagraph"/>
        <w:jc w:val="both"/>
        <w:keepNext w:val="0"/>
        <w:keepLines w:val="0"/>
        <w:widowControl w:val="1"/>
      </w:pPr>
      <w:r>
        <w:t xml:space="preserve">This list contains only references cited within this Supplementary Information. References</w:t>
      </w:r>
      <w:r>
        <w:t xml:space="preserve"> </w:t>
      </w:r>
      <w:r>
        <w:t xml:space="preserve">cited from the main article (LIMO, RDKit, the diffusion-model and FiLM building blocks,</w:t>
      </w:r>
      <w:r>
        <w:t xml:space="preserve"> </w:t>
      </w:r>
      <w:r>
        <w:t xml:space="preserve">baseline methods, etc.) appear in the main paper’s reference list and are not duplicated</w:t>
      </w:r>
      <w:r>
        <w:t xml:space="preserve"> </w:t>
      </w:r>
      <w:r>
        <w:t xml:space="preserve">here. Numbering is local to this document.</w:t>
      </w:r>
    </w:p>
    <w:p>
      <w:pPr>
        <w:pStyle w:val="Compact"/>
        <w:numPr>
          <w:ilvl w:val="0"/>
          <w:numId w:val="1002"/>
        </w:numPr>
        <w:jc w:val="both"/>
        <w:keepNext w:val="0"/>
        <w:keepLines w:val="0"/>
        <w:widowControl w:val="1"/>
      </w:pPr>
      <w:bookmarkStart w:id="6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Note 1.1.</w:t>
      </w:r>
      <w:bookmarkEnd w:id="69"/>
    </w:p>
    <w:p>
      <w:pPr>
        <w:pStyle w:val="Compact"/>
        <w:numPr>
          <w:ilvl w:val="0"/>
          <w:numId w:val="1002"/>
        </w:numPr>
        <w:jc w:val="both"/>
        <w:keepNext w:val="0"/>
        <w:keepLines w:val="0"/>
        <w:widowControl w:val="1"/>
      </w:pPr>
      <w:bookmarkStart w:id="70"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70"/>
    </w:p>
    <w:p>
      <w:pPr>
        <w:pStyle w:val="Compact"/>
        <w:numPr>
          <w:ilvl w:val="0"/>
          <w:numId w:val="1002"/>
        </w:numPr>
        <w:jc w:val="both"/>
        <w:keepNext w:val="0"/>
        <w:keepLines w:val="0"/>
        <w:widowControl w:val="1"/>
      </w:pPr>
      <w:bookmarkStart w:id="7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71"/>
    </w:p>
    <w:p>
      <w:pPr>
        <w:pStyle w:val="Compact"/>
        <w:numPr>
          <w:ilvl w:val="0"/>
          <w:numId w:val="1002"/>
        </w:numPr>
        <w:jc w:val="both"/>
        <w:keepNext w:val="0"/>
        <w:keepLines w:val="0"/>
        <w:widowControl w:val="1"/>
      </w:pPr>
      <w:bookmarkStart w:id="72" w:name="ref-sterling2015zinc"/>
      <w:r>
        <w:t xml:space="preserve">Sterling, T., &amp; Irwin, J. J. (2015). ZINC 15: Ligand Discovery for Everyone.</w:t>
      </w:r>
      <w:r>
        <w:t xml:space="preserve"> </w:t>
      </w:r>
      <w:r>
        <w:rPr>
          <w:i/>
          <w:iCs/>
        </w:rPr>
        <w:t xml:space="preserve">J. Chem. Inf. Model. 55(11)</w:t>
      </w:r>
      <w:r>
        <w:t xml:space="preserve">:2324–2337.</w:t>
      </w:r>
      <w:bookmarkEnd w:id="72"/>
    </w:p>
    <w:p>
      <w:pPr>
        <w:pStyle w:val="Compact"/>
        <w:numPr>
          <w:ilvl w:val="0"/>
          <w:numId w:val="1002"/>
        </w:numPr>
        <w:jc w:val="both"/>
        <w:keepNext w:val="0"/>
        <w:keepLines w:val="0"/>
        <w:widowControl w:val="1"/>
      </w:pPr>
      <w:bookmarkStart w:id="74" w:name="ref-cameo"/>
      <w:r>
        <w:t xml:space="preserve">NIST CAMEO Chemicals: Database of Hazardous Materials and Reactivity.</w:t>
      </w:r>
      <w:r>
        <w:t xml:space="preserve"> </w:t>
      </w:r>
      <w:hyperlink r:id="rId73">
        <w:r>
          <w:rPr>
            <w:rStyle w:val="Hyperlink"/>
          </w:rPr>
          <w:t xml:space="preserve">cameochemicals.noaa.gov</w:t>
        </w:r>
      </w:hyperlink>
      <w:r>
        <w:t xml:space="preserve">.</w:t>
      </w:r>
      <w:bookmarkEnd w:id="74"/>
    </w:p>
    <w:p>
      <w:pPr>
        <w:pStyle w:val="Compact"/>
        <w:numPr>
          <w:ilvl w:val="0"/>
          <w:numId w:val="1002"/>
        </w:numPr>
        <w:jc w:val="both"/>
        <w:keepNext w:val="0"/>
        <w:keepLines w:val="0"/>
        <w:widowControl w:val="1"/>
      </w:pPr>
      <w:bookmarkStart w:id="75" w:name="ref-bruns2020watson"/>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 used here as a SMARTS-based reactivity-demerit source.</w:t>
      </w:r>
      <w:bookmarkEnd w:id="75"/>
    </w:p>
    <w:p>
      <w:pPr>
        <w:pStyle w:val="Compact"/>
        <w:numPr>
          <w:ilvl w:val="0"/>
          <w:numId w:val="1002"/>
        </w:numPr>
        <w:jc w:val="both"/>
        <w:keepNext w:val="0"/>
        <w:keepLines w:val="0"/>
        <w:widowControl w:val="1"/>
      </w:pPr>
      <w:bookmarkStart w:id="76" w:name="ref-klapotke2017nitrogen"/>
      <w:r>
        <w:t xml:space="preserve">Klapötke, T. M.</w:t>
      </w:r>
      <w:r>
        <w:t xml:space="preserve"> </w:t>
      </w:r>
      <w:r>
        <w:rPr>
          <w:i/>
          <w:iCs/>
        </w:rPr>
        <w:t xml:space="preserve">Chemistry of High-Energy Materials</w:t>
      </w:r>
      <w:r>
        <w:t xml:space="preserve">, 5th ed. (de Gruyter, 2019). doi:10.1515/9783110624571.</w:t>
      </w:r>
      <w:bookmarkEnd w:id="76"/>
    </w:p>
    <w:p>
      <w:pPr>
        <w:pStyle w:val="Compact"/>
        <w:numPr>
          <w:ilvl w:val="0"/>
          <w:numId w:val="1002"/>
        </w:numPr>
        <w:jc w:val="both"/>
        <w:keepNext w:val="0"/>
        <w:keepLines w:val="0"/>
        <w:widowControl w:val="1"/>
      </w:pPr>
      <w:bookmarkStart w:id="77" w:name="ref-kim2023pubchem"/>
      <w:r>
        <w:t xml:space="preserve">Kim, S. et al. (2023). PubChem 2023 Update.</w:t>
      </w:r>
      <w:r>
        <w:t xml:space="preserve"> </w:t>
      </w:r>
      <w:r>
        <w:rPr>
          <w:i/>
          <w:iCs/>
        </w:rPr>
        <w:t xml:space="preserve">Nucleic Acids Res. 51(D1)</w:t>
      </w:r>
      <w:r>
        <w:t xml:space="preserve">:D1373–D1380.</w:t>
      </w:r>
      <w:bookmarkEnd w:id="77"/>
    </w:p>
    <w:p>
      <w:pPr>
        <w:pStyle w:val="Compact"/>
        <w:numPr>
          <w:ilvl w:val="0"/>
          <w:numId w:val="1002"/>
        </w:numPr>
        <w:jc w:val="both"/>
        <w:keepNext w:val="0"/>
        <w:keepLines w:val="0"/>
        <w:widowControl w:val="1"/>
      </w:pPr>
      <w:bookmarkStart w:id="7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78"/>
    </w:p>
    <w:p>
      <w:pPr>
        <w:pStyle w:val="Compact"/>
        <w:numPr>
          <w:ilvl w:val="0"/>
          <w:numId w:val="1002"/>
        </w:numPr>
        <w:jc w:val="both"/>
        <w:keepNext w:val="0"/>
        <w:keepLines w:val="0"/>
        <w:widowControl w:val="1"/>
      </w:pPr>
      <w:bookmarkStart w:id="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79"/>
    </w:p>
    <w:p>
      <w:pPr>
        <w:pStyle w:val="Compact"/>
        <w:numPr>
          <w:ilvl w:val="0"/>
          <w:numId w:val="1002"/>
        </w:numPr>
        <w:jc w:val="both"/>
        <w:keepNext w:val="0"/>
        <w:keepLines w:val="0"/>
        <w:widowControl w:val="1"/>
      </w:pPr>
      <w:bookmarkStart w:id="8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80"/>
    </w:p>
    <w:p>
      <w:pPr>
        <w:pStyle w:val="Compact"/>
        <w:numPr>
          <w:ilvl w:val="0"/>
          <w:numId w:val="1002"/>
        </w:numPr>
        <w:jc w:val="both"/>
        <w:keepNext w:val="0"/>
        <w:keepLines w:val="0"/>
        <w:widowControl w:val="1"/>
      </w:pPr>
      <w:bookmarkStart w:id="81" w:name="ref-bondi1964vdw"/>
      <w:r>
        <w:t xml:space="preserve">Bondi, A. (1964). van der Waals Volumes and Radii.</w:t>
      </w:r>
      <w:r>
        <w:t xml:space="preserve"> </w:t>
      </w:r>
      <w:r>
        <w:rPr>
          <w:i/>
          <w:iCs/>
        </w:rPr>
        <w:t xml:space="preserve">J. Phys. Chem. 68(3)</w:t>
      </w:r>
      <w:r>
        <w:t xml:space="preserve">:441–451. doi:10.1021/j100785a001.</w:t>
      </w:r>
      <w:bookmarkEnd w:id="81"/>
    </w:p>
    <w:p>
      <w:pPr>
        <w:pStyle w:val="Compact"/>
        <w:numPr>
          <w:ilvl w:val="0"/>
          <w:numId w:val="1002"/>
        </w:numPr>
        <w:jc w:val="both"/>
        <w:keepNext w:val="0"/>
        <w:keepLines w:val="0"/>
        <w:widowControl w:val="1"/>
      </w:pPr>
      <w:bookmarkStart w:id="8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2"/>
    </w:p>
    <w:p>
      <w:pPr>
        <w:pStyle w:val="Compact"/>
        <w:numPr>
          <w:ilvl w:val="0"/>
          <w:numId w:val="1002"/>
        </w:numPr>
        <w:jc w:val="both"/>
        <w:keepNext w:val="0"/>
        <w:keepLines w:val="0"/>
        <w:widowControl w:val="1"/>
      </w:pPr>
      <w:bookmarkStart w:id="8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83"/>
    </w:p>
    <w:p>
      <w:pPr>
        <w:pStyle w:val="Compact"/>
        <w:numPr>
          <w:ilvl w:val="0"/>
          <w:numId w:val="1002"/>
        </w:numPr>
        <w:jc w:val="both"/>
        <w:keepNext w:val="0"/>
        <w:keepLines w:val="0"/>
        <w:widowControl w:val="1"/>
      </w:pPr>
      <w:bookmarkStart w:id="8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84"/>
    </w:p>
    <w:p>
      <w:pPr>
        <w:pStyle w:val="Compact"/>
        <w:numPr>
          <w:ilvl w:val="0"/>
          <w:numId w:val="1002"/>
        </w:numPr>
        <w:jc w:val="both"/>
        <w:keepNext w:val="0"/>
        <w:keepLines w:val="0"/>
        <w:widowControl w:val="1"/>
      </w:pPr>
      <w:bookmarkStart w:id="85" w:name="ref-konnov2025nitroisoxazole"/>
      <w:r>
        <w:t xml:space="preserve">Konnov, A. A.</w:t>
      </w:r>
      <w:r>
        <w:t xml:space="preserve"> </w:t>
      </w:r>
      <w:r>
        <w:rPr>
          <w:i/>
          <w:iCs/>
        </w:rPr>
        <w:t xml:space="preserve">et al.</w:t>
      </w:r>
      <w:r>
        <w:t xml:space="preserve"> </w:t>
      </w:r>
      <w:r>
        <w:t xml:space="preserve">Synthesis of 4-nitroisoxazole-based energetic materials.</w:t>
      </w:r>
      <w:r>
        <w:t xml:space="preserve"> </w:t>
      </w:r>
      <w:r>
        <w:rPr>
          <w:i/>
          <w:iCs/>
        </w:rPr>
        <w:t xml:space="preserve">Org. Lett.</w:t>
      </w:r>
      <w:r>
        <w:t xml:space="preserve"> </w:t>
      </w:r>
      <w:r>
        <w:rPr>
          <w:b/>
          <w:bCs/>
        </w:rPr>
        <w:t xml:space="preserve">27</w:t>
      </w:r>
      <w:r>
        <w:t xml:space="preserve">, 3795–3799 (2025). doi:10.1021/acs.orglett.5c01074.</w:t>
      </w:r>
      <w:bookmarkEnd w:id="85"/>
    </w:p>
    <w:bookmarkEnd w:id="8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59" Type="http://schemas.openxmlformats.org/officeDocument/2006/relationships/image" Target="media/rId59.png"/><Relationship Id="rId14" Type="http://schemas.openxmlformats.org/officeDocument/2006/relationships/image" Target="media/rId14.png"/><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2026-05-25T14:27:41Z</dcterms:created>
  <dcterms:modified xsi:type="dcterms:W3CDTF">2026-05-25T14:27:41Z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