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28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from these</w:t>
      </w:r>
      <w:r>
        <w:t xml:space="preserve"> </w:t>
      </w:r>
      <w:r>
        <w:t xml:space="preserve">logs, but frequency does not imply predictiveness. Many of the</w:t>
      </w:r>
      <w:r>
        <w:t xml:space="preserve"> </w:t>
      </w:r>
      <w:r>
        <w:t xml:space="preserve">mined patterns are common cascades that occur equally often before</w:t>
      </w:r>
      <w:r>
        <w:t xml:space="preserve"> </w:t>
      </w:r>
      <w:r>
        <w:t xml:space="preserve">failures and in normal operation. This paper’s central claim: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a specific minority of frequent event patterns carries elevated</w:t>
      </w:r>
      <w:r>
        <w:rPr>
          <w:b/>
          <w:bCs/>
        </w:rPr>
        <w:t xml:space="preserve"> </w:t>
      </w:r>
      <w:r>
        <w:rPr>
          <w:b/>
          <w:bCs/>
        </w:rPr>
        <w:t xml:space="preserve">hazard for future failure, and a matched-control + statistical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 methodology cleanly separates the predictive subset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frequent-but-uninformative noise</w:t>
      </w:r>
      <w:r>
        <w:t xml:space="preserve">. We demonstrate the</w:t>
      </w:r>
      <w:r>
        <w:t xml:space="preserve"> </w:t>
      </w:r>
      <w:r>
        <w:t xml:space="preserve">separation on four traces spanning three domains: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v2018), real HPC per-rack (LLNL Blue Gene/L syslogs), and real</w:t>
      </w:r>
      <w:r>
        <w:t xml:space="preserve"> </w:t>
      </w:r>
      <w:r>
        <w:t xml:space="preserve">automotive per-vehicle (SCANIA Component X). On the two rich-discrete-</w:t>
      </w:r>
      <w:r>
        <w:t xml:space="preserve"> </w:t>
      </w:r>
      <w:r>
        <w:t xml:space="preserve">vocabulary traces, 60-100% of mined frequent patterns at each</w:t>
      </w:r>
      <w:r>
        <w:t xml:space="preserve"> </w:t>
      </w:r>
      <w:r>
        <w:t xml:space="preserve">horizon pass BH q&lt;0.05, and concrete predictive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Adding these</w:t>
      </w:r>
      <w:r>
        <w:t xml:space="preserve"> </w:t>
      </w:r>
      <w:r>
        <w:t xml:space="preserve">predictive patterns to a temporally-held-out logistic regression as</w:t>
      </w:r>
      <w:r>
        <w:t xml:space="preserve"> </w:t>
      </w:r>
      <w:r>
        <w:t xml:space="preserve">binary features improves failure prediction by +5.6 AUROC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+6.2 AUROC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over itemset-only features.</w:t>
      </w:r>
      <w:r>
        <w:t xml:space="preserve"> </w:t>
      </w:r>
      <w:r>
        <w:t xml:space="preserve">On the two boundary traces, 0-11% of mined patterns pass</w:t>
      </w:r>
      <w:r>
        <w:t xml:space="preserve"> </w:t>
      </w:r>
      <w:r>
        <w:t xml:space="preserve">significance: BGL syslogs (0 patterns; self-triggering alert</w:t>
      </w:r>
      <w:r>
        <w:t xml:space="preserve"> </w:t>
      </w:r>
      <w:r>
        <w:t xml:space="preserve">cascades leave no discriminable non-alert precursors) and Component</w:t>
      </w:r>
      <w:r>
        <w:t xml:space="preserve"> </w:t>
      </w:r>
      <w:r>
        <w:t xml:space="preserve">X (of 42,453 candidate itemsets mined at min-support 0.05, 2,560</w:t>
      </w:r>
      <w:r>
        <w:t xml:space="preserve"> </w:t>
      </w:r>
      <w:r>
        <w:t xml:space="preserve">pass a risk-set matched hazard-ratio test at Benjamini-Yekutieli</w:t>
      </w:r>
      <w:r>
        <w:t xml:space="preserve"> </w:t>
      </w:r>
      <w:r>
        <w:t xml:space="preserve">q &lt; 0.05 that is valid under arbitrary dependence between patterns;</w:t>
      </w:r>
      <w:r>
        <w:t xml:space="preserve"> </w:t>
      </w:r>
      <w:r>
        <w:t xml:space="preserve">top MH-OR 2.72 [2.10, 3.51]. The strongest per-pattern signals</w:t>
      </w:r>
      <w:r>
        <w:t xml:space="preserve"> </w:t>
      </w:r>
      <w:r>
        <w:t xml:space="preserve">cannot lift a temporally-held-out classifier beyond AUROC 0.60</w:t>
      </w:r>
      <w:r>
        <w:t xml:space="preserve"> </w:t>
      </w:r>
      <w:r>
        <w:t xml:space="preserve">because the underlying signal is a static per-truck usage profile</w:t>
      </w:r>
      <w:r>
        <w:t xml:space="preserve"> </w:t>
      </w:r>
      <w:r>
        <w:t xml:space="preserve">rather than a temporal degradation trajectory). We</w:t>
      </w:r>
      <w:r>
        <w:t xml:space="preserve"> </w:t>
      </w:r>
      <w:r>
        <w:t xml:space="preserve">generalise the matched-control pipeline to right-censored survival-</w:t>
      </w:r>
      <w:r>
        <w:t xml:space="preserve"> </w:t>
      </w:r>
      <w:r>
        <w:t xml:space="preserve">style data via incidence-density (risk-set) sampling with</w:t>
      </w:r>
      <w:r>
        <w:t xml:space="preserve"> </w:t>
      </w:r>
      <w:r>
        <w:t xml:space="preserve">Mantel-Haenszel odds-ratio scoring, which estimates per-pattern</w:t>
      </w:r>
      <w:r>
        <w:t xml:space="preserve"> </w:t>
      </w:r>
      <w:r>
        <w:t xml:space="preserve">hazard ratios and applies without modifying the mining stage. Mined</w:t>
      </w:r>
      <w:r>
        <w:t xml:space="preserve"> </w:t>
      </w:r>
      <w:r>
        <w:t xml:space="preserve">patterns, matched-control windows, and hazard-ratio-scored risk-set</w:t>
      </w:r>
      <w:r>
        <w:t xml:space="preserve"> </w:t>
      </w:r>
      <w:r>
        <w:t xml:space="preserve">patterns are released 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§7.4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40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8"/>
    <w:bookmarkStart w:id="39" w:name="statistical-significance-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9"/>
    <w:bookmarkEnd w:id="40"/>
    <w:bookmarkStart w:id="45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2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1">
        <w:r>
          <w:rPr>
            <w:rStyle w:val="Hyperlink"/>
          </w:rPr>
          <w:t xml:space="preserve">azure_window_horizon_vs_events.png</w:t>
        </w:r>
      </w:hyperlink>
    </w:p>
    <w:bookmarkEnd w:id="42"/>
    <w:bookmarkStart w:id="44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3">
        <w:r>
          <w:rPr>
            <w:rStyle w:val="Hyperlink"/>
          </w:rPr>
          <w:t xml:space="preserve">azure_sensitivity_min_support.png</w:t>
        </w:r>
      </w:hyperlink>
    </w:p>
    <w:bookmarkEnd w:id="44"/>
    <w:bookmarkEnd w:id="45"/>
    <w:bookmarkStart w:id="56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7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azure_itemset_vs_sequence_lift.png</w:t>
        </w:r>
      </w:hyperlink>
    </w:p>
    <w:bookmarkEnd w:id="47"/>
    <w:bookmarkStart w:id="49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four_dataset_predictive_comparison.png</w:t>
        </w:r>
      </w:hyperlink>
    </w:p>
    <w:bookmarkEnd w:id="49"/>
    <w:bookmarkStart w:id="50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50"/>
    <w:bookmarkStart w:id="51" w:name="X44aeb5833a19b6d32b8998867e975190f65e5f8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Predictive vs frequent-noise separation across traces</w:t>
      </w:r>
    </w:p>
    <w:p>
      <w:pPr>
        <w:pStyle w:val="FirstParagraph"/>
      </w:pPr>
      <w:r>
        <w:t xml:space="preserve">The paper’s central object is not the AUROC number but the fraction</w:t>
      </w:r>
      <w:r>
        <w:t xml:space="preserve"> </w:t>
      </w:r>
      <w:r>
        <w:t xml:space="preserve">of mined frequent patterns that pass the per-pattern statistical</w:t>
      </w:r>
      <w:r>
        <w:t xml:space="preserve"> </w:t>
      </w:r>
      <w:r>
        <w:t xml:space="preserve">significance test. Frequency alone is a weak proxy for</w:t>
      </w:r>
      <w:r>
        <w:t xml:space="preserve"> </w:t>
      </w:r>
      <w:r>
        <w:t xml:space="preserve">predictiveness; the significance test tells us which mined patterns</w:t>
      </w:r>
      <w:r>
        <w:t xml:space="preserve"> </w:t>
      </w:r>
      <w:r>
        <w:t xml:space="preserve">carry elevated failure hazard against matched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1149"/>
        <w:gridCol w:w="1660"/>
        <w:gridCol w:w="2682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 / 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/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 / 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/ 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 / 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/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itemsets+seq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 / 2-13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+ MH-OR raw 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4,829 / 42,453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+ hypergeom +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3,516 / 42,453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risk-set + hypergeom + BY q&lt;0.05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2,560 / 42,453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6.0%</w:t>
            </w:r>
          </w:p>
        </w:tc>
      </w:tr>
    </w:tbl>
    <w:p>
      <w:pPr>
        <w:pStyle w:val="BodyText"/>
      </w:pPr>
      <w:r>
        <w:t xml:space="preserve">Significance is BH-corrected q&lt;0.05 for Azure / Alibaba (Fisher-exact</w:t>
      </w:r>
      <w:r>
        <w:t xml:space="preserve"> </w:t>
      </w:r>
      <w:r>
        <w:t xml:space="preserve">p-values). SCANIA carries three rows to show how the fraction shifts</w:t>
      </w:r>
      <w:r>
        <w:t xml:space="preserve"> </w:t>
      </w:r>
      <w:r>
        <w:t xml:space="preserve">with increasingly conservative multi-testing correction: raw 95% CI</w:t>
      </w:r>
      <w:r>
        <w:t xml:space="preserve"> </w:t>
      </w:r>
      <w:r>
        <w:t xml:space="preserve">(11.4%), BH (8.3%), and the arbitrary-dependence-valid BY (6.0%).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1"/>
    <w:bookmarkStart w:id="52" w:name="formal-significance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2"/>
    <w:bookmarkStart w:id="53" w:name="X9089ac7c4740497ca2f8946257a25d0f4921163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×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  <w:r>
        <w:t xml:space="preserve"> </w:t>
      </w:r>
      <w:r>
        <w:t xml:space="preserve">A closed-itemset post-filter losslessly deduplicates any patterns</w:t>
      </w:r>
      <w:r>
        <w:t xml:space="preserve"> </w:t>
      </w:r>
      <w:r>
        <w:t xml:space="preserve">that share exact support with a strict superset; on this trace only</w:t>
      </w:r>
      <w:r>
        <w:t xml:space="preserve"> </w:t>
      </w:r>
      <w:r>
        <w:t xml:space="preserve">281 patterns collapse (99.3% of the frequent set is already closed</w:t>
      </w:r>
      <w:r>
        <w:t xml:space="preserve"> </w:t>
      </w:r>
      <w:r>
        <w:t xml:space="preserve">because histogram-bin supersets typically differ in support from any</w:t>
      </w:r>
      <w:r>
        <w:t xml:space="preserve"> </w:t>
      </w:r>
      <w:r>
        <w:t xml:space="preserve">proper subset by at least one truck). Applying exact one-sided</w:t>
      </w:r>
      <w:r>
        <w:t xml:space="preserve"> </w:t>
      </w:r>
      <w:r>
        <w:t xml:space="preserve">hypergeometric p-values on the risk-set-matched 2 x 2 tables, then</w:t>
      </w:r>
      <w:r>
        <w:t xml:space="preserve"> </w:t>
      </w:r>
      <w:r>
        <w:t xml:space="preserve">Benjamini-Hochberg FDR correction:</w:t>
      </w:r>
      <w:r>
        <w:t xml:space="preserve"> </w:t>
      </w:r>
      <w:r>
        <w:rPr>
          <w:b/>
          <w:bCs/>
        </w:rPr>
        <w:t xml:space="preserve">3,516 patterns pass q_BH &lt; 0.05</w:t>
      </w:r>
      <w:r>
        <w:t xml:space="preserve"> </w:t>
      </w:r>
      <w:r>
        <w:t xml:space="preserve">(8.3%). Under the more conservative Benjamini-Yekutieli correction</w:t>
      </w:r>
      <w:r>
        <w:t xml:space="preserve"> </w:t>
      </w:r>
      <w:r>
        <w:t xml:space="preserve">that is valid under arbitrary dependence between patterns (justified</w:t>
      </w:r>
      <w:r>
        <w:t xml:space="preserve"> </w:t>
      </w:r>
      <w:r>
        <w:t xml:space="preserve">here because nearby itemsets share items):</w:t>
      </w:r>
      <w:r>
        <w:t xml:space="preserve"> </w:t>
      </w:r>
      <w:r>
        <w:rPr>
          <w:b/>
          <w:bCs/>
        </w:rPr>
        <w:t xml:space="preserve">2,560 patterns pass</w:t>
      </w:r>
      <w:r>
        <w:rPr>
          <w:b/>
          <w:bCs/>
        </w:rPr>
        <w:t xml:space="preserve"> </w:t>
      </w:r>
      <w:r>
        <w:rPr>
          <w:b/>
          <w:bCs/>
        </w:rPr>
        <w:t xml:space="preserve">q_BY &lt; 0.05</w:t>
      </w:r>
      <w:r>
        <w:t xml:space="preserve"> </w:t>
      </w:r>
      <w:r>
        <w:t xml:space="preserve">(6.0%). The naive per-pattern 95% Woolf-Haldane CI</w:t>
      </w:r>
      <w:r>
        <w:t xml:space="preserve"> </w:t>
      </w:r>
      <w:r>
        <w:t xml:space="preserve">without multi-testing correction flags 4,829 (11.4%); the honest</w:t>
      </w:r>
      <w:r>
        <w:t xml:space="preserve"> </w:t>
      </w:r>
      <w:r>
        <w:t xml:space="preserve">predictive fraction after FDR is therefore 6-8%.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3"/>
    <w:bookmarkStart w:id="55" w:name="lead-time-on-true-positives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4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5"/>
    <w:bookmarkEnd w:id="56"/>
    <w:bookmarkStart w:id="60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7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57"/>
    <w:bookmarkStart w:id="58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8"/>
    <w:bookmarkStart w:id="59" w:name="regime-of-validity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9"/>
    <w:bookmarkEnd w:id="60"/>
    <w:bookmarkStart w:id="61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7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7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7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7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7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1"/>
    <w:bookmarkStart w:id="62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2"/>
    <w:bookmarkStart w:id="63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8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8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8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3"/>
    <w:bookmarkStart w:id="127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9"/>
        </w:numPr>
      </w:pPr>
      <w:r>
        <w:t xml:space="preserve">Bibliography:</w:t>
      </w:r>
      <w:r>
        <w:t xml:space="preserve"> </w:t>
      </w:r>
      <w:hyperlink r:id="rId64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9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6" w:name="refs"/>
    <w:bookmarkStart w:id="65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5"/>
    <w:bookmarkStart w:id="67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6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7"/>
    <w:bookmarkStart w:id="69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8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9"/>
    <w:bookmarkStart w:id="71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70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71"/>
    <w:bookmarkStart w:id="73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73"/>
    <w:bookmarkStart w:id="75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4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5"/>
    <w:bookmarkStart w:id="77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7"/>
    <w:bookmarkStart w:id="79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9"/>
    <w:bookmarkStart w:id="81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80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81"/>
    <w:bookmarkStart w:id="83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83"/>
    <w:bookmarkStart w:id="85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5"/>
    <w:bookmarkStart w:id="87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6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7"/>
    <w:bookmarkStart w:id="89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8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9"/>
    <w:bookmarkStart w:id="91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91"/>
    <w:bookmarkStart w:id="93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92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93"/>
    <w:bookmarkStart w:id="95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4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5"/>
    <w:bookmarkStart w:id="97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6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7"/>
    <w:bookmarkStart w:id="99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8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9"/>
    <w:bookmarkStart w:id="101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00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01"/>
    <w:bookmarkStart w:id="103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02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03"/>
    <w:bookmarkStart w:id="105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4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5"/>
    <w:bookmarkStart w:id="107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6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7"/>
    <w:bookmarkStart w:id="109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9"/>
    <w:bookmarkStart w:id="111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11"/>
    <w:bookmarkStart w:id="113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12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13"/>
    <w:bookmarkStart w:id="115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5"/>
    <w:bookmarkStart w:id="117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6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7"/>
    <w:bookmarkStart w:id="119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8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9"/>
    <w:bookmarkStart w:id="121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20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21"/>
    <w:bookmarkStart w:id="123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23"/>
    <w:bookmarkStart w:id="125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4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5"/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70" Target="https://arxiv.org/abs/1808.02919" TargetMode="External" /><Relationship Type="http://schemas.openxmlformats.org/officeDocument/2006/relationships/hyperlink" Id="rId86" Target="https://arxiv.org/abs/2401.04749" TargetMode="External" /><Relationship Type="http://schemas.openxmlformats.org/officeDocument/2006/relationships/hyperlink" Id="rId76" Target="https://doi.org/10.1007/978-3-031-11217-1_3" TargetMode="External" /><Relationship Type="http://schemas.openxmlformats.org/officeDocument/2006/relationships/hyperlink" Id="rId82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0" Target="https://doi.org/10.1007/978-3-319-46131-1_8" TargetMode="External" /><Relationship Type="http://schemas.openxmlformats.org/officeDocument/2006/relationships/hyperlink" Id="rId72" Target="https://doi.org/10.1007/978-3-319-46349-0_33" TargetMode="External" /><Relationship Type="http://schemas.openxmlformats.org/officeDocument/2006/relationships/hyperlink" Id="rId108" Target="https://doi.org/10.1007/978-981-16-1160-5_13" TargetMode="External" /><Relationship Type="http://schemas.openxmlformats.org/officeDocument/2006/relationships/hyperlink" Id="rId114" Target="https://doi.org/10.1007/BFb0014140" TargetMode="External" /><Relationship Type="http://schemas.openxmlformats.org/officeDocument/2006/relationships/hyperlink" Id="rId112" Target="https://doi.org/10.1007/s10489-021-03004-y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118" Target="https://doi.org/10.1023/A:1007652502315" TargetMode="External" /><Relationship Type="http://schemas.openxmlformats.org/officeDocument/2006/relationships/hyperlink" Id="rId92" Target="https://doi.org/10.1038/s41597-025-04802-6" TargetMode="External" /><Relationship Type="http://schemas.openxmlformats.org/officeDocument/2006/relationships/hyperlink" Id="rId94" Target="https://doi.org/10.1109/BigData.2017.8258257" TargetMode="External" /><Relationship Type="http://schemas.openxmlformats.org/officeDocument/2006/relationships/hyperlink" Id="rId102" Target="https://doi.org/10.1109/DSN.2007.103" TargetMode="External" /><Relationship Type="http://schemas.openxmlformats.org/officeDocument/2006/relationships/hyperlink" Id="rId104" Target="https://doi.org/10.1109/ICDE.2001.914830" TargetMode="External" /><Relationship Type="http://schemas.openxmlformats.org/officeDocument/2006/relationships/hyperlink" Id="rId124" Target="https://doi.org/10.1109/ICSE-SEIP.2019.00021" TargetMode="External" /><Relationship Type="http://schemas.openxmlformats.org/officeDocument/2006/relationships/hyperlink" Id="rId116" Target="https://doi.org/10.1109/ICSE43902.2021.00130" TargetMode="External" /><Relationship Type="http://schemas.openxmlformats.org/officeDocument/2006/relationships/hyperlink" Id="rId84" Target="https://doi.org/10.1109/IJCNN52387.2021.9534113" TargetMode="External" /><Relationship Type="http://schemas.openxmlformats.org/officeDocument/2006/relationships/hyperlink" Id="rId122" Target="https://doi.org/10.1109/ISSRE59848.2023.00071" TargetMode="External" /><Relationship Type="http://schemas.openxmlformats.org/officeDocument/2006/relationships/hyperlink" Id="rId110" Target="https://doi.org/10.1109/PHM.2008.4711414" TargetMode="External" /><Relationship Type="http://schemas.openxmlformats.org/officeDocument/2006/relationships/hyperlink" Id="rId68" Target="https://doi.org/10.1111/j.2517-6161.1995.tb02031.x" TargetMode="External" /><Relationship Type="http://schemas.openxmlformats.org/officeDocument/2006/relationships/hyperlink" Id="rId74" Target="https://doi.org/10.1145/3133956.3134015" TargetMode="External" /><Relationship Type="http://schemas.openxmlformats.org/officeDocument/2006/relationships/hyperlink" Id="rId120" Target="https://doi.org/10.1145/3338906.3338931" TargetMode="External" /><Relationship Type="http://schemas.openxmlformats.org/officeDocument/2006/relationships/hyperlink" Id="rId88" Target="https://doi.org/10.1145/342009.335372" TargetMode="External" /><Relationship Type="http://schemas.openxmlformats.org/officeDocument/2006/relationships/hyperlink" Id="rId96" Target="https://doi.org/10.1145/3472883.3487003" TargetMode="External" /><Relationship Type="http://schemas.openxmlformats.org/officeDocument/2006/relationships/hyperlink" Id="rId106" Target="https://doi.org/10.21105/joss.00638" TargetMode="External" /><Relationship Type="http://schemas.openxmlformats.org/officeDocument/2006/relationships/hyperlink" Id="rId98" Target="https://doi.org/10.24963/ijcai.2019/658" TargetMode="External" /><Relationship Type="http://schemas.openxmlformats.org/officeDocument/2006/relationships/hyperlink" Id="rId66" Target="https://github.com/alibaba/clusterdata" TargetMode="External" /><Relationship Type="http://schemas.openxmlformats.org/officeDocument/2006/relationships/hyperlink" Id="rId100" Target="https://www.kaggle.com/datasets/arnabbiswas1/microsoft-azure-predictive-maintenance" TargetMode="External" /><Relationship Type="http://schemas.openxmlformats.org/officeDocument/2006/relationships/hyperlink" Id="rId64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70" Target="https://arxiv.org/abs/1808.02919" TargetMode="External" /><Relationship Type="http://schemas.openxmlformats.org/officeDocument/2006/relationships/hyperlink" Id="rId86" Target="https://arxiv.org/abs/2401.04749" TargetMode="External" /><Relationship Type="http://schemas.openxmlformats.org/officeDocument/2006/relationships/hyperlink" Id="rId76" Target="https://doi.org/10.1007/978-3-031-11217-1_3" TargetMode="External" /><Relationship Type="http://schemas.openxmlformats.org/officeDocument/2006/relationships/hyperlink" Id="rId82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0" Target="https://doi.org/10.1007/978-3-319-46131-1_8" TargetMode="External" /><Relationship Type="http://schemas.openxmlformats.org/officeDocument/2006/relationships/hyperlink" Id="rId72" Target="https://doi.org/10.1007/978-3-319-46349-0_33" TargetMode="External" /><Relationship Type="http://schemas.openxmlformats.org/officeDocument/2006/relationships/hyperlink" Id="rId108" Target="https://doi.org/10.1007/978-981-16-1160-5_13" TargetMode="External" /><Relationship Type="http://schemas.openxmlformats.org/officeDocument/2006/relationships/hyperlink" Id="rId114" Target="https://doi.org/10.1007/BFb0014140" TargetMode="External" /><Relationship Type="http://schemas.openxmlformats.org/officeDocument/2006/relationships/hyperlink" Id="rId112" Target="https://doi.org/10.1007/s10489-021-03004-y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118" Target="https://doi.org/10.1023/A:1007652502315" TargetMode="External" /><Relationship Type="http://schemas.openxmlformats.org/officeDocument/2006/relationships/hyperlink" Id="rId92" Target="https://doi.org/10.1038/s41597-025-04802-6" TargetMode="External" /><Relationship Type="http://schemas.openxmlformats.org/officeDocument/2006/relationships/hyperlink" Id="rId94" Target="https://doi.org/10.1109/BigData.2017.8258257" TargetMode="External" /><Relationship Type="http://schemas.openxmlformats.org/officeDocument/2006/relationships/hyperlink" Id="rId102" Target="https://doi.org/10.1109/DSN.2007.103" TargetMode="External" /><Relationship Type="http://schemas.openxmlformats.org/officeDocument/2006/relationships/hyperlink" Id="rId104" Target="https://doi.org/10.1109/ICDE.2001.914830" TargetMode="External" /><Relationship Type="http://schemas.openxmlformats.org/officeDocument/2006/relationships/hyperlink" Id="rId124" Target="https://doi.org/10.1109/ICSE-SEIP.2019.00021" TargetMode="External" /><Relationship Type="http://schemas.openxmlformats.org/officeDocument/2006/relationships/hyperlink" Id="rId116" Target="https://doi.org/10.1109/ICSE43902.2021.00130" TargetMode="External" /><Relationship Type="http://schemas.openxmlformats.org/officeDocument/2006/relationships/hyperlink" Id="rId84" Target="https://doi.org/10.1109/IJCNN52387.2021.9534113" TargetMode="External" /><Relationship Type="http://schemas.openxmlformats.org/officeDocument/2006/relationships/hyperlink" Id="rId122" Target="https://doi.org/10.1109/ISSRE59848.2023.00071" TargetMode="External" /><Relationship Type="http://schemas.openxmlformats.org/officeDocument/2006/relationships/hyperlink" Id="rId110" Target="https://doi.org/10.1109/PHM.2008.4711414" TargetMode="External" /><Relationship Type="http://schemas.openxmlformats.org/officeDocument/2006/relationships/hyperlink" Id="rId68" Target="https://doi.org/10.1111/j.2517-6161.1995.tb02031.x" TargetMode="External" /><Relationship Type="http://schemas.openxmlformats.org/officeDocument/2006/relationships/hyperlink" Id="rId74" Target="https://doi.org/10.1145/3133956.3134015" TargetMode="External" /><Relationship Type="http://schemas.openxmlformats.org/officeDocument/2006/relationships/hyperlink" Id="rId120" Target="https://doi.org/10.1145/3338906.3338931" TargetMode="External" /><Relationship Type="http://schemas.openxmlformats.org/officeDocument/2006/relationships/hyperlink" Id="rId88" Target="https://doi.org/10.1145/342009.335372" TargetMode="External" /><Relationship Type="http://schemas.openxmlformats.org/officeDocument/2006/relationships/hyperlink" Id="rId96" Target="https://doi.org/10.1145/3472883.3487003" TargetMode="External" /><Relationship Type="http://schemas.openxmlformats.org/officeDocument/2006/relationships/hyperlink" Id="rId106" Target="https://doi.org/10.21105/joss.00638" TargetMode="External" /><Relationship Type="http://schemas.openxmlformats.org/officeDocument/2006/relationships/hyperlink" Id="rId98" Target="https://doi.org/10.24963/ijcai.2019/658" TargetMode="External" /><Relationship Type="http://schemas.openxmlformats.org/officeDocument/2006/relationships/hyperlink" Id="rId66" Target="https://github.com/alibaba/clusterdata" TargetMode="External" /><Relationship Type="http://schemas.openxmlformats.org/officeDocument/2006/relationships/hyperlink" Id="rId100" Target="https://www.kaggle.com/datasets/arnabbiswas1/microsoft-azure-predictive-maintenance" TargetMode="External" /><Relationship Type="http://schemas.openxmlformats.org/officeDocument/2006/relationships/hyperlink" Id="rId64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2026-08-29T02:45:52Z</dcterms:created>
  <dcterms:modified xsi:type="dcterms:W3CDTF">2026-08-29T02:45:52Z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