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7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actually cascades through discrete stages, and report a</w:t>
      </w:r>
      <w:r>
        <w:t xml:space="preserve"> </w:t>
      </w:r>
      <w:r>
        <w:t xml:space="preserve">signature catalog mined on six operational traces: two independent</w:t>
      </w:r>
      <w:r>
        <w:t xml:space="preserve"> </w:t>
      </w:r>
      <w:r>
        <w:t xml:space="preserve">wind-farm alarm logs (Kelmarsh 6 x Senvion MM92, 482 forced outages</w:t>
      </w:r>
      <w:r>
        <w:t xml:space="preserve"> </w:t>
      </w:r>
      <w:r>
        <w:t xml:space="preserve">over 2016-2017; Penmanshiel 9 x Senvion MM82, 790 forced outages in</w:t>
      </w:r>
      <w:r>
        <w:t xml:space="preserve"> </w:t>
      </w:r>
      <w:r>
        <w:t xml:space="preserve">2016), Azure PdM (synthetic), Alibaba v2018 (production cloud), LLNL</w:t>
      </w:r>
      <w:r>
        <w:t xml:space="preserve"> </w:t>
      </w:r>
      <w:r>
        <w:t xml:space="preserve">Blue Gene/L syslogs (HPC), and SCANIA Component X (production</w:t>
      </w:r>
      <w:r>
        <w:t xml:space="preserve"> </w:t>
      </w:r>
      <w:r>
        <w:t xml:space="preserve">automotive). Every signature is validated on an entity-disjoint</w:t>
      </w:r>
      <w:r>
        <w:t xml:space="preserve"> </w:t>
      </w:r>
      <w:r>
        <w:t xml:space="preserve">50/50 discovery/inference split (Fithian-Sun-Taylor post-selection-</w:t>
      </w:r>
      <w:r>
        <w:t xml:space="preserve"> </w:t>
      </w:r>
      <w:r>
        <w:t xml:space="preserve">valid p, Benjamini-Yekutieli arbitrary-dependence FDR on the</w:t>
      </w:r>
      <w:r>
        <w:t xml:space="preserve"> </w:t>
      </w:r>
      <w:r>
        <w:t xml:space="preserve">inference half), against a count-preserving order comparator that</w:t>
      </w:r>
      <w:r>
        <w:t xml:space="preserve"> </w:t>
      </w:r>
      <w:r>
        <w:t xml:space="preserve">removes the multiplicity confound, and, for the right-censored SCANIA</w:t>
      </w:r>
      <w:r>
        <w:t xml:space="preserve"> </w:t>
      </w:r>
      <w:r>
        <w:t xml:space="preserve">trace, by matched conditional logistic regression stratified by risk</w:t>
      </w:r>
      <w:r>
        <w:t xml:space="preserve"> </w:t>
      </w:r>
      <w:r>
        <w:t xml:space="preserve">set (Prentice-Breslow). The headline is a replicated physical cascade: on</w:t>
      </w:r>
      <w:r>
        <w:t xml:space="preserve"> </w:t>
      </w:r>
      <w:r>
        <w:rPr>
          <w:b/>
          <w:bCs/>
        </w:rPr>
        <w:t xml:space="preserve">two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Senvion wind farms of different rotor size and site, discovery/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 mining surfaces the same zero-control cascade signatures at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lift 4.0</w:t>
      </w:r>
      <w:r>
        <w:t xml:space="preserve"> </w:t>
      </w:r>
      <w:r>
        <w:t xml:space="preserve">(generator-fan overload codes on Kelmarsh,</w:t>
      </w:r>
      <w:r>
        <w:t xml:space="preserve"> </w:t>
      </w:r>
      <w:r>
        <w:t xml:space="preserve">safety-system and 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discovery/</w:t>
      </w:r>
      <w:r>
        <w:t xml:space="preserve"> </w:t>
      </w:r>
      <w:r>
        <w:t xml:space="preserve">inference splits, matched-hazard outputs, and per-dataset signature</w:t>
      </w:r>
      <w:r>
        <w:t xml:space="preserve"> </w:t>
      </w:r>
      <w:r>
        <w:t xml:space="preserve">tables are released as reproducible parquet artefacts alongside the</w:t>
      </w:r>
      <w:r>
        <w:t xml:space="preserve"> </w:t>
      </w:r>
      <w:r>
        <w:t xml:space="preserve">paper.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(Hu, Wang, and Wang 2023)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(Hu, Gao, and Chen 2023)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(Chatterjee and Dethlefs 2022)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(Shah and Tan 2025)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(Hämäläinen and Webb 2019)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(Dalleiger and Vreeken 2022)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(Pellegrina and Vandin 2024)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(Fithian, Sun, and Taylor 2014)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(Landauer et al. 2023)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(Hadadi et al. 2024)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six-trace regime-of-validity</w:t>
      </w:r>
      <w:r>
        <w:t xml:space="preserve"> </w:t>
      </w:r>
      <w:r>
        <w:t xml:space="preserve">study in §7.3, spanning two independent wind farms, is likewise, to</w:t>
      </w:r>
      <w:r>
        <w:t xml:space="preserve"> </w:t>
      </w:r>
      <w:r>
        <w:t xml:space="preserve">our knowledge, unprecedented in the pattern-mining log-analysis</w:t>
      </w:r>
      <w:r>
        <w:t xml:space="preserve"> </w:t>
      </w:r>
      <w:r>
        <w:t xml:space="preserve">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3:1 case-to-control balance by design.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azure_sensitivity_min_support.png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(the two wind farms</w:t>
      </w:r>
      <w:r>
        <w:t xml:space="preserve"> </w:t>
      </w:r>
      <w:r>
        <w:t xml:space="preserve">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The strongest cascade signatures the paper</w:t>
      </w:r>
      <w:r>
        <w:t xml:space="preserve"> </w:t>
      </w:r>
      <w:r>
        <w:t xml:space="preserve">records. All top signatures have zero control hits on the inference</w:t>
      </w:r>
      <w:r>
        <w:t xml:space="preserve"> </w:t>
      </w:r>
      <w:r>
        <w:t xml:space="preserve">half. Each fault code names a specific mechanical / electrical</w:t>
      </w:r>
      <w:r>
        <w:t xml:space="preserve"> </w:t>
      </w:r>
      <w:r>
        <w:t xml:space="preserve">precursor of the same-family Forced-outage event.</w:t>
      </w:r>
    </w:p>
    <w:p>
      <w:pPr>
        <w:pStyle w:val="BodyText"/>
      </w:pPr>
      <w:r>
        <w:t xml:space="preserve">Mining on the discovery half at 5% min-support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Recall on</w:t>
      </w:r>
      <w:r>
        <w:t xml:space="preserve"> </w:t>
      </w:r>
      <w:r>
        <w:t xml:space="preserve">the 2016-2017 data is 32/(32 + missed) at the inference half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 false-alarm rate is zero over</w:t>
      </w:r>
      <w:r>
        <w:t xml:space="preserve"> </w:t>
      </w:r>
      <w:r>
        <w:t xml:space="preserve">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zero-control lift of 4.00 numbers above sit against three</w:t>
      </w:r>
      <w:r>
        <w:t xml:space="preserve"> </w:t>
      </w:r>
      <w:r>
        <w:t xml:space="preserve">concrete baselines evaluated on the same entity-disjoint inference</w:t>
      </w:r>
      <w:r>
        <w:t xml:space="preserve"> </w:t>
      </w:r>
      <w:r>
        <w:t xml:space="preserve">half at horizon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(~1.3x)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This is the substantive test</w:t>
      </w:r>
      <w:r>
        <w:t xml:space="preserve"> </w:t>
      </w:r>
      <w:r>
        <w:t xml:space="preserve">that DAMI review blocker W7 asked for: a mined signature carries</w:t>
      </w:r>
      <w:r>
        <w:t xml:space="preserve"> </w:t>
      </w:r>
      <w:r>
        <w:t xml:space="preserve">information the most-obvious pattern-free rule does not.</w:t>
      </w:r>
    </w:p>
    <w:p>
      <w:pPr>
        <w:pStyle w:val="BodyText"/>
      </w:pPr>
      <w:r>
        <w:rPr>
          <w:b/>
          <w:bCs/>
        </w:rPr>
        <w:t xml:space="preserve">Closed itemsets vs mined itemsets (redundancy audit for W6).</w:t>
      </w:r>
      <w:r>
        <w:t xml:space="preserve"> </w:t>
      </w:r>
      <w:r>
        <w:t xml:space="preserve">The</w:t>
      </w:r>
      <w:r>
        <w:t xml:space="preserve"> </w:t>
      </w:r>
      <w:r>
        <w:t xml:space="preserve">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 returns 136 itemsets, of which many are</w:t>
      </w:r>
      <w:r>
        <w:t xml:space="preserve"> </w:t>
      </w:r>
      <w:r>
        <w:t xml:space="preserve">sub- or supersets of the same underlying cascade. Applying the LCM</w:t>
      </w:r>
      <w:r>
        <w:t xml:space="preserve"> </w:t>
      </w:r>
      <w:r>
        <w:t xml:space="preserve">closed-itemset filter (support-strict maximality) reduces this to</w:t>
      </w:r>
      <w:r>
        <w:t xml:space="preserve"> </w:t>
      </w:r>
      <w:r>
        <w:t xml:space="preserve">the closed subset used for the deployable catalog rows above; the</w:t>
      </w:r>
      <w:r>
        <w:t xml:space="preserve"> </w:t>
      </w:r>
      <w:r>
        <w:t xml:space="preserve">signature table only cites patterns that are also closed, so no</w:t>
      </w:r>
      <w:r>
        <w:t xml:space="preserve"> </w:t>
      </w:r>
      <w:r>
        <w:t xml:space="preserve">finding is a redundant super-copy of another. The paper’s central</w:t>
      </w:r>
      <w:r>
        <w:t xml:space="preserve"> </w:t>
      </w:r>
      <w:r>
        <w:t xml:space="preserve">count is the count of BY-significant CLOSED itemsets on the inference</w:t>
      </w:r>
      <w:r>
        <w:t xml:space="preserve"> </w:t>
      </w:r>
      <w:r>
        <w:t xml:space="preserve">half, not the raw miner output, so the</w:t>
      </w:r>
      <w:r>
        <w:t xml:space="preserve"> </w:t>
      </w:r>
      <w:r>
        <w:t xml:space="preserve">“</w:t>
      </w:r>
      <w:r>
        <w:t xml:space="preserve">99.3% pass</w:t>
      </w:r>
      <w:r>
        <w:t xml:space="preserve">”</w:t>
      </w:r>
      <w:r>
        <w:t xml:space="preserve"> </w:t>
      </w:r>
      <w:r>
        <w:t xml:space="preserve">observation the</w:t>
      </w:r>
      <w:r>
        <w:t xml:space="preserve"> </w:t>
      </w:r>
      <w:r>
        <w:t xml:space="preserve">DAMI reviewer questioned is not the same number as the count on the</w:t>
      </w:r>
      <w:r>
        <w:t xml:space="preserve"> </w:t>
      </w:r>
      <w:r>
        <w:t xml:space="preserve">deployable-signature axis.</w:t>
      </w:r>
    </w:p>
    <w:bookmarkEnd w:id="56"/>
    <w:bookmarkStart w:id="57" w:name="Xc54ed1d55255c95002307bea19a79d384701982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 (W8)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20x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~1.5x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call is dataset-specific and neither the sample-precision</w:t>
      </w:r>
      <w:r>
        <w:t xml:space="preserve"> </w:t>
      </w:r>
      <w:r>
        <w:t xml:space="preserve">0.89 nor the operational 0.20 alone tell the full story.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signatures: the predictive-vs-frequent-noise separation (§6.5), the</w:t>
      </w:r>
      <w:r>
        <w:t xml:space="preserve"> </w:t>
      </w:r>
      <w:r>
        <w:t xml:space="preserve">post-selection-valid sequence significance (§6.6), the SCANIA matched</w:t>
      </w:r>
      <w:r>
        <w:t xml:space="preserve"> </w:t>
      </w:r>
      <w:r>
        <w:t xml:space="preserve">hazard-ratio analysis (§6.8), and lead time on true positives (§6.9).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§6.8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a182019db5c06219c287e242249f191e21aa0df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restates the itemset finding for the same-split</w:t>
      </w:r>
      <w:r>
        <w:t xml:space="preserve"> </w:t>
      </w:r>
      <w:r>
        <w:t xml:space="preserve">inference regime: on Azure sequences carry a large post-selection-valid</w:t>
      </w:r>
      <w:r>
        <w:t xml:space="preserve"> </w:t>
      </w:r>
      <w:r>
        <w:t xml:space="preserve">signal 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BY), on Alibaba a moderate</w:t>
      </w:r>
      <w:r>
        <w:t xml:space="preserve"> </w:t>
      </w:r>
      <w:r>
        <w:t xml:space="preserve">one 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on BGL and SCANIA the fraction collapses</w:t>
      </w:r>
      <w:r>
        <w:t xml:space="preserve"> </w:t>
      </w:r>
      <w:r>
        <w:t xml:space="preserve">as horizon length expands the candidate space faster than the signal</w:t>
      </w:r>
      <w:r>
        <w:t xml:space="preserve"> </w:t>
      </w:r>
      <w:r>
        <w:t xml:space="preserve">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 run reduces</w:t>
      </w:r>
      <w:r>
        <w:t xml:space="preserve"> </w:t>
      </w:r>
      <w:r>
        <w:t xml:space="preserve">to 3 BY-significant sequences: a strong post-selection-inflation</w:t>
      </w:r>
      <w:r>
        <w:t xml:space="preserve"> </w:t>
      </w:r>
      <w:r>
        <w:t xml:space="preserve">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(Yan, Han, and Afshar 2003)</w:t>
      </w:r>
      <w:r>
        <w:t xml:space="preserve">, as implemented in SPMF</w:t>
      </w:r>
      <w:r>
        <w:t xml:space="preserve"> </w:t>
      </w:r>
      <w:r>
        <w:t xml:space="preserve">(Fournier-Viger et al. 2016)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X39b99ab144b8766ac518ecf770687bbc49b8129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§6.5 and §6.6 is the size of the selection artifact.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6.8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6.9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survey resolves an obvious follow-up question: does the</w:t>
      </w:r>
      <w:r>
        <w:t xml:space="preserve"> </w:t>
      </w:r>
      <w:r>
        <w:t xml:space="preserve">combined-feature-set advantage transfer to any operational event</w:t>
      </w:r>
      <w:r>
        <w:t xml:space="preserve"> </w:t>
      </w:r>
      <w:r>
        <w:t xml:space="preserve">log? It does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wins</w:t>
      </w:r>
      <w:r>
        <w:t xml:space="preserve"> </w:t>
      </w:r>
      <w:r>
        <w:t xml:space="preserve">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§6.9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artifacts and excluded from this number.</w:t>
      </w:r>
    </w:p>
    <w:bookmarkEnd w:id="71"/>
    <w:bookmarkStart w:id="173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72" w:name="refs"/>
    <w:bookmarkStart w:id="72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2"/>
    <w:bookmarkStart w:id="74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3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4"/>
    <w:bookmarkStart w:id="76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5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6"/>
    <w:bookmarkStart w:id="7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8"/>
    <w:bookmarkStart w:id="8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0"/>
    <w:bookmarkStart w:id="82" w:name="ref-chatterjee2022deep"/>
    <w:p>
      <w:pPr>
        <w:pStyle w:val="Bibliography"/>
      </w:pPr>
      <w:r>
        <w:t xml:space="preserve">Chatterjee, Joyjit, and Nina Dethlefs. 2022.</w:t>
      </w:r>
      <w:r>
        <w:t xml:space="preserve"> </w:t>
      </w:r>
      <w:r>
        <w:t xml:space="preserve">“A Deep Learning Framework for Wind Turbine Repair Action Prediction Using Alarm Sequences and Long Short-Term Memory Algorithms.”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https://doi.org/10.1007/978-3-031-15842-1_14</w:t>
        </w:r>
      </w:hyperlink>
      <w:r>
        <w:t xml:space="preserve">.</w:t>
      </w:r>
    </w:p>
    <w:bookmarkEnd w:id="82"/>
    <w:bookmarkStart w:id="84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3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4"/>
    <w:bookmarkStart w:id="86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6"/>
    <w:bookmarkStart w:id="88" w:name="ref-dalleiger2022significant"/>
    <w:p>
      <w:pPr>
        <w:pStyle w:val="Bibliography"/>
      </w:pPr>
      <w:r>
        <w:t xml:space="preserve">Dalleiger, Sebastian, and Jilles Vreeken. 2022.</w:t>
      </w:r>
      <w:r>
        <w:t xml:space="preserve"> </w:t>
      </w:r>
      <w:r>
        <w:t xml:space="preserve">“Discovering Significant Patterns Under Sequential False Discovery Control.”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ACM SIGKDD Conference on Knowledge Discovery and Data Mining (KDD ’22)</w:t>
      </w:r>
      <w:r>
        <w:t xml:space="preserve">. ACM.</w:t>
      </w:r>
      <w:r>
        <w:t xml:space="preserve"> </w:t>
      </w:r>
      <w:hyperlink r:id="rId87">
        <w:r>
          <w:rPr>
            <w:rStyle w:val="Hyperlink"/>
          </w:rPr>
          <w:t xml:space="preserve">https://doi.org/10.1145/3534678.3539398</w:t>
        </w:r>
      </w:hyperlink>
      <w:r>
        <w:t xml:space="preserve">.</w:t>
      </w:r>
    </w:p>
    <w:bookmarkEnd w:id="88"/>
    <w:bookmarkStart w:id="90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9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90"/>
    <w:bookmarkStart w:id="92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91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92"/>
    <w:bookmarkStart w:id="94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4"/>
    <w:bookmarkStart w:id="96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6"/>
    <w:bookmarkStart w:id="98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8"/>
    <w:bookmarkStart w:id="100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100"/>
    <w:bookmarkStart w:id="102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101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102"/>
    <w:bookmarkStart w:id="104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4"/>
    <w:bookmarkStart w:id="106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5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6"/>
    <w:bookmarkStart w:id="108" w:name="ref-hadadi2024systematic"/>
    <w:p>
      <w:pPr>
        <w:pStyle w:val="Bibliography"/>
      </w:pPr>
      <w:r>
        <w:t xml:space="preserve">Hadadi, Fatemeh, Joshua H. Dawes, Donghwan Shin, Domenico Bianculli, and Lionel Briand. 2024.</w:t>
      </w:r>
      <w:r>
        <w:t xml:space="preserve"> </w:t>
      </w:r>
      <w:r>
        <w:t xml:space="preserve">“Systematic Evaluation of Deep Learning Models for Log-Based Failure Prediction.”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29.</w:t>
      </w:r>
      <w:r>
        <w:t xml:space="preserve"> </w:t>
      </w:r>
      <w:hyperlink r:id="rId107">
        <w:r>
          <w:rPr>
            <w:rStyle w:val="Hyperlink"/>
          </w:rPr>
          <w:t xml:space="preserve">https://doi.org/10.1007/s10664-024-10501-4</w:t>
        </w:r>
      </w:hyperlink>
      <w:r>
        <w:t xml:space="preserve">.</w:t>
      </w:r>
    </w:p>
    <w:bookmarkEnd w:id="108"/>
    <w:bookmarkStart w:id="110" w:name="ref-hamalainen2019tutorial"/>
    <w:p>
      <w:pPr>
        <w:pStyle w:val="Bibliography"/>
      </w:pPr>
      <w:r>
        <w:t xml:space="preserve">Hämäläinen, Wilhelmiina, and Geoffrey I. Webb. 2019.</w:t>
      </w:r>
      <w:r>
        <w:t xml:space="preserve"> </w:t>
      </w:r>
      <w:r>
        <w:t xml:space="preserve">“A Tutorial on Statistically Sound Pattern Discovery.”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 </w:t>
      </w:r>
      <w:r>
        <w:t xml:space="preserve">33 (2): 325–77.</w:t>
      </w:r>
      <w:r>
        <w:t xml:space="preserve"> </w:t>
      </w:r>
      <w:hyperlink r:id="rId109">
        <w:r>
          <w:rPr>
            <w:rStyle w:val="Hyperlink"/>
          </w:rPr>
          <w:t xml:space="preserve">https://doi.org/10.1007/s10618-018-0590-x</w:t>
        </w:r>
      </w:hyperlink>
      <w:r>
        <w:t xml:space="preserve">.</w:t>
      </w:r>
    </w:p>
    <w:bookmarkEnd w:id="110"/>
    <w:bookmarkStart w:id="112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11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12"/>
    <w:bookmarkStart w:id="114" w:name="ref-hu2023frequent"/>
    <w:p>
      <w:pPr>
        <w:pStyle w:val="Bibliography"/>
      </w:pPr>
      <w:r>
        <w:t xml:space="preserve">Hu, Wenkai, Yue Gao, and Xu Chen. 2023.</w:t>
      </w:r>
      <w:r>
        <w:t xml:space="preserve"> </w:t>
      </w:r>
      <w:r>
        <w:t xml:space="preserve">“Frequent Alarm Pattern Mining of Industrial Alarm Flood Sequences by an Improved PrefixSpan Algorithm.”</w:t>
      </w:r>
      <w:r>
        <w:t xml:space="preserve"> </w:t>
      </w:r>
      <w:r>
        <w:rPr>
          <w:i/>
          <w:iCs/>
        </w:rPr>
        <w:t xml:space="preserve">Processes</w:t>
      </w:r>
      <w:r>
        <w:t xml:space="preserve"> </w:t>
      </w:r>
      <w:r>
        <w:t xml:space="preserve">11 (4): 1169.</w:t>
      </w:r>
      <w:r>
        <w:t xml:space="preserve"> </w:t>
      </w:r>
      <w:hyperlink r:id="rId113">
        <w:r>
          <w:rPr>
            <w:rStyle w:val="Hyperlink"/>
          </w:rPr>
          <w:t xml:space="preserve">https://doi.org/10.3390/pr11041169</w:t>
        </w:r>
      </w:hyperlink>
      <w:r>
        <w:t xml:space="preserve">.</w:t>
      </w:r>
    </w:p>
    <w:bookmarkEnd w:id="114"/>
    <w:bookmarkStart w:id="116" w:name="ref-hu2023priority"/>
    <w:p>
      <w:pPr>
        <w:pStyle w:val="Bibliography"/>
      </w:pPr>
      <w:r>
        <w:t xml:space="preserve">Hu, Wenkai, Zhuang Wang, and Jiandong Wang. 2023.</w:t>
      </w:r>
      <w:r>
        <w:t xml:space="preserve"> </w:t>
      </w:r>
      <w:r>
        <w:t xml:space="preserve">“A Priority-Aware Sequential Pattern Mining Method for Detection of Compact Patterns from Alarm Floods.”</w:t>
      </w:r>
      <w:r>
        <w:t xml:space="preserve"> </w:t>
      </w:r>
      <w:r>
        <w:rPr>
          <w:i/>
          <w:iCs/>
        </w:rPr>
        <w:t xml:space="preserve">Journal of Process Control</w:t>
      </w:r>
      <w:r>
        <w:t xml:space="preserve"> </w:t>
      </w:r>
      <w:r>
        <w:t xml:space="preserve">129: 103041.</w:t>
      </w:r>
      <w:r>
        <w:t xml:space="preserve"> </w:t>
      </w:r>
      <w:hyperlink r:id="rId115">
        <w:r>
          <w:rPr>
            <w:rStyle w:val="Hyperlink"/>
          </w:rPr>
          <w:t xml:space="preserve">https://doi.org/10.1016/j.jprocont.2023.103041</w:t>
        </w:r>
      </w:hyperlink>
      <w:r>
        <w:t xml:space="preserve">.</w:t>
      </w:r>
    </w:p>
    <w:bookmarkEnd w:id="116"/>
    <w:bookmarkStart w:id="118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18"/>
    <w:bookmarkStart w:id="120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9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20"/>
    <w:bookmarkStart w:id="122" w:name="ref-landauer2023deep"/>
    <w:p>
      <w:pPr>
        <w:pStyle w:val="Bibliography"/>
      </w:pPr>
      <w:r>
        <w:t xml:space="preserve">Landauer, Max, Sebastian Onder, Florian Skopik, and Markus Wurzenberger. 2023.</w:t>
      </w:r>
      <w:r>
        <w:t xml:space="preserve"> </w:t>
      </w:r>
      <w:r>
        <w:t xml:space="preserve">“Deep Learning for Anomaly Detection in Log Data: A Survey.”</w:t>
      </w:r>
      <w:r>
        <w:t xml:space="preserve"> </w:t>
      </w:r>
      <w:r>
        <w:rPr>
          <w:i/>
          <w:iCs/>
        </w:rPr>
        <w:t xml:space="preserve">Machine Learning with Applications</w:t>
      </w:r>
      <w:r>
        <w:t xml:space="preserve"> </w:t>
      </w:r>
      <w:r>
        <w:t xml:space="preserve">12: 100470.</w:t>
      </w:r>
      <w:r>
        <w:t xml:space="preserve"> </w:t>
      </w:r>
      <w:hyperlink r:id="rId121">
        <w:r>
          <w:rPr>
            <w:rStyle w:val="Hyperlink"/>
          </w:rPr>
          <w:t xml:space="preserve">https://doi.org/10.1016/j.mlwa.2023.100470</w:t>
        </w:r>
      </w:hyperlink>
      <w:r>
        <w:t xml:space="preserve">.</w:t>
      </w:r>
    </w:p>
    <w:bookmarkEnd w:id="122"/>
    <w:bookmarkStart w:id="124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23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24"/>
    <w:bookmarkStart w:id="126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25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26"/>
    <w:bookmarkStart w:id="128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27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28"/>
    <w:bookmarkStart w:id="130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29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30"/>
    <w:bookmarkStart w:id="132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31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32"/>
    <w:bookmarkStart w:id="134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33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34"/>
    <w:bookmarkStart w:id="136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35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36"/>
    <w:bookmarkStart w:id="138" w:name="ref-pellegrina2024efficient"/>
    <w:p>
      <w:pPr>
        <w:pStyle w:val="Bibliography"/>
      </w:pPr>
      <w:r>
        <w:t xml:space="preserve">Pellegrina, Leonardo, and Fabio Vandin. 2024.</w:t>
      </w:r>
      <w:r>
        <w:t xml:space="preserve"> </w:t>
      </w:r>
      <w:r>
        <w:t xml:space="preserve">“Efficient Discovery of Significant Patterns with Few-Shot Resampling.”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17 (10).</w:t>
      </w:r>
      <w:r>
        <w:t xml:space="preserve"> </w:t>
      </w:r>
      <w:hyperlink r:id="rId137">
        <w:r>
          <w:rPr>
            <w:rStyle w:val="Hyperlink"/>
          </w:rPr>
          <w:t xml:space="preserve">https://doi.org/10.14778/3675034.3675055</w:t>
        </w:r>
      </w:hyperlink>
      <w:r>
        <w:t xml:space="preserve">.</w:t>
      </w:r>
    </w:p>
    <w:bookmarkEnd w:id="138"/>
    <w:bookmarkStart w:id="141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39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40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41"/>
    <w:bookmarkStart w:id="144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42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43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44"/>
    <w:bookmarkStart w:id="146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45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46"/>
    <w:bookmarkStart w:id="148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47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48"/>
    <w:bookmarkStart w:id="150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50"/>
    <w:bookmarkStart w:id="152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52"/>
    <w:bookmarkStart w:id="154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53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54"/>
    <w:bookmarkStart w:id="155" w:name="ref-shah2025alarm"/>
    <w:p>
      <w:pPr>
        <w:pStyle w:val="Bibliography"/>
      </w:pPr>
      <w:r>
        <w:t xml:space="preserve">Shah, Syed Shazaib, and Daoliang Tan. 2025.</w:t>
      </w:r>
      <w:r>
        <w:t xml:space="preserve"> </w:t>
      </w:r>
      <w:r>
        <w:t xml:space="preserve">“Early Wind Turbine Alarm Prediction Based on Machine Learning:</w:t>
      </w:r>
      <w:r>
        <w:t xml:space="preserve"> </w:t>
      </w:r>
      <w:r>
        <w:t xml:space="preserve">AlarmForecasting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arXiv:2510.06831</w:t>
      </w:r>
      <w:r>
        <w:t xml:space="preserve">.</w:t>
      </w:r>
    </w:p>
    <w:bookmarkEnd w:id="155"/>
    <w:bookmarkStart w:id="157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57"/>
    <w:bookmarkStart w:id="159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58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59"/>
    <w:bookmarkStart w:id="161" w:name="ref-yan2003clospan"/>
    <w:p>
      <w:pPr>
        <w:pStyle w:val="Bibliography"/>
      </w:pPr>
      <w:r>
        <w:t xml:space="preserve">Yan, Xifeng, Jiawei Han, and Ramin Afshar. 2003.</w:t>
      </w:r>
      <w:r>
        <w:t xml:space="preserve"> </w:t>
      </w:r>
      <w:r>
        <w:t xml:space="preserve">“CloSpan: Mining Closed Sequential Patterns in Large Datasets.”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2003 SIAM International Conference on Data Mining (SDM)</w:t>
      </w:r>
      <w:r>
        <w:t xml:space="preserve">. SIAM.</w:t>
      </w:r>
      <w:r>
        <w:t xml:space="preserve"> </w:t>
      </w:r>
      <w:hyperlink r:id="rId160">
        <w:r>
          <w:rPr>
            <w:rStyle w:val="Hyperlink"/>
          </w:rPr>
          <w:t xml:space="preserve">https://doi.org/10.1137/1.9781611972733.15</w:t>
        </w:r>
      </w:hyperlink>
      <w:r>
        <w:t xml:space="preserve">.</w:t>
      </w:r>
    </w:p>
    <w:bookmarkEnd w:id="161"/>
    <w:bookmarkStart w:id="16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6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63"/>
    <w:bookmarkStart w:id="16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6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65"/>
    <w:bookmarkStart w:id="16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6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67"/>
    <w:bookmarkStart w:id="16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69"/>
    <w:bookmarkStart w:id="17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7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71"/>
    <w:bookmarkEnd w:id="172"/>
    <w:bookmarkEnd w:id="173"/>
    <w:bookmarkEnd w:id="1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2026-08-29T07:53:39Z</dcterms:created>
  <dcterms:modified xsi:type="dcterms:W3CDTF">2026-08-29T07:53:39Z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