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</w:p>
    <w:p>
      <w:pPr>
        <w:pStyle w:val="Date"/>
      </w:pPr>
      <w:r>
        <w:t xml:space="preserve">2026-08-29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cascades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× Senvion MM92, 482 forced outages over</w:t>
      </w:r>
      <w:r>
        <w:t xml:space="preserve"> </w:t>
      </w:r>
      <w:r>
        <w:t xml:space="preserve">2016-2017; Penmanshiel 9 ×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fraction varies from ~85% (Azure last5</w:t>
      </w:r>
      <w:r>
        <w:t xml:space="preserve"> </w:t>
      </w:r>
      <w:r>
        <w:t xml:space="preserve">sequences) to 0% (BGL) to 6% (SCANIA risk-set matched,</w:t>
      </w:r>
      <w:r>
        <w:t xml:space="preserve"> </w:t>
      </w:r>
      <w:r>
        <w:t xml:space="preserve">BY-corrected).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regions,</w:t>
      </w:r>
      <w:r>
        <w:t xml:space="preserve"> </w:t>
      </w:r>
      <w:r>
        <w:t xml:space="preserve">giving 233 failure and 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</w:t>
      </w:r>
      <w:r>
        <w:t xml:space="preserve"> </w:t>
      </w:r>
      <w:r>
        <w:t xml:space="preserve">Kelmarsh (6 turbines) and 448 failure and 1,344 control windows on</w:t>
      </w:r>
      <w:r>
        <w:t xml:space="preserve"> </w:t>
      </w:r>
      <w:r>
        <w:t xml:space="preserve">Penmanshiel (9 turbines). The entity-disjoint discovery/inference</w:t>
      </w:r>
      <w:r>
        <w:t xml:space="preserve"> </w:t>
      </w:r>
      <w:r>
        <w:t xml:space="preserve">split (§4.5) partitions turbines 3-and-3 on Kelmarsh and 4-and-5 on</w:t>
      </w:r>
      <w:r>
        <w:t xml:space="preserve"> </w:t>
      </w:r>
      <w:r>
        <w:t xml:space="preserve">Penmanshiel, so no turbine contributes to both mining and inference.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The pooled 2×2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 by</w:t>
      </w:r>
      <w:r>
        <w:t xml:space="preserve"> </w:t>
      </w:r>
      <w:r>
        <w:t xml:space="preserve">at least +4 AUROC points at last5 and at least +5 at last10 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threshold, by at least 4 AUROC points at</w:t>
            </w:r>
            <w:r>
              <w:t xml:space="preserve"> </w:t>
            </w:r>
            <w:r>
              <w:rPr>
                <w:rStyle w:val="VerbatimChar"/>
              </w:rPr>
              <w:t xml:space="preserve">last5</w:t>
            </w:r>
            <w:r>
              <w:t xml:space="preserve"> </w:t>
            </w:r>
            <w:r>
              <w:t xml:space="preserve">and at least 5 at</w:t>
            </w:r>
            <w:r>
              <w:t xml:space="preserve"> </w:t>
            </w:r>
            <w:r>
              <w:rPr>
                <w:rStyle w:val="VerbatimChar"/>
              </w:rPr>
              <w:t xml:space="preserve">last10</w:t>
            </w:r>
            <w:r>
              <w:t xml:space="preserve">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threshold, by at least 4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at least 5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 (Figure 4).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order-effect-under-count-preserving-null"/>
    <w:p>
      <w:pPr>
        <w:pStyle w:val="Heading3"/>
      </w:pP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horizon: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6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6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p>
      <w:pPr>
        <w:pStyle w:val="BodyText"/>
      </w:pPr>
      <w:r>
        <w:rPr>
          <w:b/>
          <w:bCs/>
        </w:rPr>
        <w:t xml:space="preserve">Azure PdM.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SCANIA Component X signatures by matched hazard ratio.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SCANIA Component X signatures by matched hazard rat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Start w:id="55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5"/>
    <w:bookmarkStart w:id="56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6"/>
    <w:bookmarkStart w:id="57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7"/>
    <w:bookmarkStart w:id="58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Top five SCANIA Component X signatures with matched hazard ratios and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Top five SCANIA Component X signatures with matched hazard ratios and 95% confidence intervals.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2×2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1.6×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Pooled 2x2 odds ratios for the same SCANIA signatures, superseded by the matched estimates in Table 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Pooled 2x2 odds ratios for the same SCANIA signatures, superseded by the matched estimates in Table 13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histogram-encoded</w:t>
      </w:r>
      <w:r>
        <w:t xml:space="preserve"> </w:t>
      </w:r>
      <w:r>
        <w:t xml:space="preserve">feature set described in §3.6.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8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9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minimum 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4.0 under 1:3 case-to-control matching, so a</w:t>
      </w:r>
      <w:r>
        <w:t xml:space="preserve"> </w:t>
      </w:r>
      <w:r>
        <w:t xml:space="preserve">lift of 4.00 denotes a pattern that is present in failure windows and</w:t>
      </w:r>
      <w:r>
        <w:t xml:space="preserve"> </w:t>
      </w:r>
      <w:r>
        <w:t xml:space="preserve">absent from every matched control, not an unbounded 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../results/tables/" TargetMode="Externa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results/tables/" TargetMode="Externa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2026-08-29T11:09:04Z</dcterms:created>
  <dcterms:modified xsi:type="dcterms:W3CDTF">2026-08-29T11:09:04Z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2026-08-29</vt:lpwstr>
  </property>
  <property fmtid="{D5CDD505-2E9C-101B-9397-08002B2CF9AE}" pid="5" name="link-citations">
    <vt:lpwstr>True</vt:lpwstr>
  </property>
</Properties>
</file>