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 Frequent Failure Sequences in Operational Event Logs</w:t>
      </w:r>
    </w:p>
    <w:p>
      <w:pPr>
        <w:pStyle w:val="Date"/>
      </w:pPr>
      <w:r>
        <w:t xml:space="preserve">2026-08-28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ce1c4f30b6249f262e85315bbd79ad996dfa10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Mining Frequent Failure Sequences in Operational Event Logs</w:t>
      </w:r>
    </w:p>
    <w:p>
      <w:pPr>
        <w:pStyle w:val="FirstParagraph"/>
      </w:pPr>
      <w:r>
        <w:rPr>
          <w:i/>
          <w:iCs/>
        </w:rPr>
        <w:t xml:space="preserve">First-draft paper skeleton. Numbers are current best estimates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pipeline as of 2026-08-28. TODO markers name what is still missing.</w: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Predictive maintenance systems mine continuous sensor telemetry, but a</w:t>
      </w:r>
      <w:r>
        <w:t xml:space="preserve"> </w:t>
      </w:r>
      <w:r>
        <w:t xml:space="preserve">parallel signal lives in the discrete operational events every large</w:t>
      </w:r>
      <w:r>
        <w:t xml:space="preserve"> </w:t>
      </w:r>
      <w:r>
        <w:t xml:space="preserve">system already logs: errors, retries, task failures, maintenance</w:t>
      </w:r>
      <w:r>
        <w:t xml:space="preserve"> </w:t>
      </w:r>
      <w:r>
        <w:t xml:space="preserve">actions. We ask whether frequent ordered sequences of these events</w:t>
      </w:r>
      <w:r>
        <w:t xml:space="preserve"> </w:t>
      </w:r>
      <w:r>
        <w:t xml:space="preserve">carry information beyond unordered co-occurrence, and whether that</w:t>
      </w:r>
      <w:r>
        <w:t xml:space="preserve"> </w:t>
      </w:r>
      <w:r>
        <w:t xml:space="preserve">information transfers to real production traces. On the synthetic</w:t>
      </w:r>
      <w:r>
        <w:t xml:space="preserve"> </w:t>
      </w:r>
      <w:r>
        <w:t xml:space="preserve">Azure Predictive Maintenance dataset (100 machines, one year) and on</w:t>
      </w:r>
      <w:r>
        <w:t xml:space="preserve"> </w:t>
      </w:r>
      <w:r>
        <w:t xml:space="preserve">the Alibaba cluster-trace-v2018 production trace (4.2 M jobs, eight</w:t>
      </w:r>
      <w:r>
        <w:t xml:space="preserve"> </w:t>
      </w:r>
      <w:r>
        <w:t xml:space="preserve">days), we mine pre-failure event windows with FP-Growth (itemsets) and</w:t>
      </w:r>
      <w:r>
        <w:t xml:space="preserve"> </w:t>
      </w:r>
      <w:r>
        <w:t xml:space="preserve">PrefixSpan (sequences), score each pattern against matched controls,</w:t>
      </w:r>
      <w:r>
        <w:t xml:space="preserve"> </w:t>
      </w:r>
      <w:r>
        <w:t xml:space="preserve">and predict failure on a temporally-held-out split. Combining ordered</w:t>
      </w:r>
      <w:r>
        <w:t xml:space="preserve"> </w:t>
      </w:r>
      <w:r>
        <w:t xml:space="preserve">sequences with unordered itemsets improves failure prediction by +5.6</w:t>
      </w:r>
      <w:r>
        <w:t xml:space="preserve"> </w:t>
      </w:r>
      <w:r>
        <w:t xml:space="preserve">AUROC on Azure (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horizon) and +6.2 AUROC on Alibaba (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horizon) over itemsets alone; sequences alone are rare but</w:t>
      </w:r>
      <w:r>
        <w:t xml:space="preserve"> </w:t>
      </w:r>
      <w:r>
        <w:t xml:space="preserve">high-precision (0.72-0.98 at threshold 0.5, recall 0.02-0.36).</w:t>
      </w:r>
      <w:r>
        <w:t xml:space="preserve"> </w:t>
      </w:r>
      <w:r>
        <w:t xml:space="preserve">Concrete pre-failure signatures include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on Azure (sequence</w:t>
      </w:r>
      <w:r>
        <w:t xml:space="preserve"> </w:t>
      </w:r>
      <w:r>
        <w:t xml:space="preserve">lift 3.73 vs itemset lift 2.22) and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on Alibaba (sequence lift 2.43 vs itemset lift 0.94). Temporal order</w:t>
      </w:r>
      <w:r>
        <w:t xml:space="preserve"> </w:t>
      </w:r>
      <w:r>
        <w:t xml:space="preserve">in operational event logs is a transferable early-warning signal;</w:t>
      </w:r>
      <w:r>
        <w:t xml:space="preserve"> </w:t>
      </w:r>
      <w:r>
        <w:t xml:space="preserve">mined patterns and matched-control windows are released as</w:t>
      </w:r>
      <w:r>
        <w:t xml:space="preserve"> </w:t>
      </w:r>
      <w:r>
        <w:t xml:space="preserve">reproducible parquet artifacts.</w:t>
      </w:r>
    </w:p>
    <w:bookmarkEnd w:id="20"/>
    <w:bookmarkStart w:id="21" w:name="introductio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 RECURRENT ORDERED SEQUENCES 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The paper’s central question is</w:t>
      </w:r>
      <w:r>
        <w:t xml:space="preserve"> </w:t>
      </w:r>
      <w:r>
        <w:t xml:space="preserve">whether the second family finds anything the first does not.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 dataset-agnostic mining pipeline for pre-failure event windows</w:t>
      </w:r>
      <w:r>
        <w:t xml:space="preserve"> </w:t>
      </w:r>
      <w:r>
        <w:t xml:space="preserve">with matched controls, sanity invariants at every phase (random</w:t>
      </w:r>
      <w:r>
        <w:t xml:space="preserve"> </w:t>
      </w:r>
      <w:r>
        <w:t xml:space="preserve">label permutation for itemsets, within-window order shuffle for</w:t>
      </w:r>
      <w:r>
        <w:t xml:space="preserve"> </w:t>
      </w:r>
      <w:r>
        <w:t xml:space="preserve">sequences), and per-pattern lift / relative-risk scoring.</w:t>
      </w:r>
    </w:p>
    <w:p>
      <w:pPr>
        <w:pStyle w:val="Compact"/>
        <w:numPr>
          <w:ilvl w:val="0"/>
          <w:numId w:val="1001"/>
        </w:numPr>
      </w:pPr>
      <w:r>
        <w:t xml:space="preserve">A head-to-head predictive comparison of four feature sets</w:t>
      </w:r>
      <w:r>
        <w:t xml:space="preserve"> </w:t>
      </w:r>
      <w:r>
        <w:t xml:space="preserve">(event count baseline, itemsets, sequences, combined) on a</w:t>
      </w:r>
      <w:r>
        <w:t xml:space="preserve"> </w:t>
      </w:r>
      <w:r>
        <w:t xml:space="preserve">temporally-held-out split with mining restricted to training data.</w:t>
      </w:r>
    </w:p>
    <w:p>
      <w:pPr>
        <w:pStyle w:val="Compact"/>
        <w:numPr>
          <w:ilvl w:val="0"/>
          <w:numId w:val="1001"/>
        </w:numPr>
      </w:pPr>
      <w:r>
        <w:t xml:space="preserve">Cross-dataset replication on both a small clean synthetic corpus</w:t>
      </w:r>
      <w:r>
        <w:t xml:space="preserve"> </w:t>
      </w:r>
      <w:r>
        <w:t xml:space="preserve">(Microsoft Azure Predictive Maintenance, 100 machines, one year)</w:t>
      </w:r>
      <w:r>
        <w:t xml:space="preserve"> </w:t>
      </w:r>
      <w:r>
        <w:t xml:space="preserve">and a production cluster trace (Alibaba cluster-trace-v2018,</w:t>
      </w:r>
      <w:r>
        <w:t xml:space="preserve"> </w:t>
      </w:r>
      <w:r>
        <w:t xml:space="preserve">4.2 M jobs, 8 days). The same finding holds on both.</w:t>
      </w:r>
    </w:p>
    <w:bookmarkEnd w:id="21"/>
    <w:bookmarkStart w:id="22" w:name="related-work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 Related work</w:t>
      </w:r>
    </w:p>
    <w:p>
      <w:pPr>
        <w:pStyle w:val="FirstParagraph"/>
      </w:pPr>
      <w:r>
        <w:rPr>
          <w:b/>
          <w:bCs/>
        </w:rPr>
        <w:t xml:space="preserve">Frequent-pattern mining on system logs.</w:t>
      </w:r>
      <w:r>
        <w:t xml:space="preserve"> </w:t>
      </w:r>
      <w:r>
        <w:t xml:space="preserve">The two mining families</w:t>
      </w:r>
      <w:r>
        <w:t xml:space="preserve"> </w:t>
      </w:r>
      <w:r>
        <w:t xml:space="preserve">this paper compares are well-established: association-rule mining and</w:t>
      </w:r>
      <w:r>
        <w:t xml:space="preserve"> </w:t>
      </w:r>
      <w:r>
        <w:t xml:space="preserve">FP-Growth over unordered transactions</w:t>
      </w:r>
      <w:r>
        <w:t xml:space="preserve"> </w:t>
      </w:r>
      <w:r>
        <w:t xml:space="preserve">(Agrawal and Srikant 1994; Han, Pei, and Yin 2000)</w:t>
      </w:r>
      <w:r>
        <w:t xml:space="preserve">, and PrefixSpan for sequential patterns</w:t>
      </w:r>
      <w:r>
        <w:t xml:space="preserve"> </w:t>
      </w:r>
      <w:r>
        <w:t xml:space="preserve">(Pei et al. 2001)</w:t>
      </w:r>
      <w:r>
        <w:t xml:space="preserve">. Ren et al.</w:t>
      </w:r>
      <w:r>
        <w:t xml:space="preserve"> </w:t>
      </w:r>
      <w:r>
        <w:t xml:space="preserve">(Ren et al. 2021)</w:t>
      </w:r>
      <w:r>
        <w:t xml:space="preserve"> </w:t>
      </w:r>
      <w:r>
        <w:t xml:space="preserve">apply Spark</w:t>
      </w:r>
      <w:r>
        <w:t xml:space="preserve"> </w:t>
      </w:r>
      <w:r>
        <w:t xml:space="preserve">FP-Growth to failure prediction on the BlueGene/L, LANL-HPC, and</w:t>
      </w:r>
      <w:r>
        <w:t xml:space="preserve"> </w:t>
      </w:r>
      <w:r>
        <w:t xml:space="preserve">CMRI-Hadoop logs, using event-density-based sliding windows over</w:t>
      </w:r>
      <w:r>
        <w:t xml:space="preserve"> </w:t>
      </w:r>
      <w:r>
        <w:t xml:space="preserve">long-tail event vocabularies. İfraz and Ersöz</w:t>
      </w:r>
      <w:r>
        <w:t xml:space="preserve"> </w:t>
      </w:r>
      <w:r>
        <w:t xml:space="preserve">(İfraz and Ersöz 2024)</w:t>
      </w:r>
      <w:r>
        <w:t xml:space="preserve"> </w:t>
      </w:r>
      <w:r>
        <w:t xml:space="preserve">run PrefixSpan and Apriori side-by-side on a bus-fleet maintenance</w:t>
      </w:r>
      <w:r>
        <w:t xml:space="preserve"> </w:t>
      </w:r>
      <w:r>
        <w:t xml:space="preserve">log, showing that sequence 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 mining misses. Both studies stop short of</w:t>
      </w:r>
      <w:r>
        <w:t xml:space="preserve"> </w:t>
      </w:r>
      <w:r>
        <w:t xml:space="preserve">the head-to-head</w:t>
      </w:r>
      <w:r>
        <w:t xml:space="preserve"> </w:t>
      </w:r>
      <w:r>
        <w:t xml:space="preserve">“</w:t>
      </w:r>
      <w:r>
        <w:t xml:space="preserve">matched-control lift + BH q + predictive utility</w:t>
      </w:r>
      <w:r>
        <w:t xml:space="preserve">”</w:t>
      </w:r>
      <w:r>
        <w:t xml:space="preserve"> </w:t>
      </w:r>
      <w:r>
        <w:t xml:space="preserve">comparison used here, and neither touches Alibaba or Azure PdM.</w:t>
      </w:r>
    </w:p>
    <w:p>
      <w:pPr>
        <w:pStyle w:val="BodyText"/>
      </w:pPr>
      <w:r>
        <w:rPr>
          <w:b/>
          <w:bCs/>
        </w:rPr>
        <w:t xml:space="preserve">Failure characterisation on Alibaba.</w:t>
      </w:r>
      <w:r>
        <w:t xml:space="preserve"> </w:t>
      </w:r>
      <w:r>
        <w:t xml:space="preserve">Cheng et al.</w:t>
      </w:r>
      <w:r>
        <w:t xml:space="preserve"> </w:t>
      </w:r>
      <w:r>
        <w:t xml:space="preserve">(Cheng, Chai, and Anwar 2018)</w:t>
      </w:r>
      <w:r>
        <w:t xml:space="preserve"> </w:t>
      </w:r>
      <w:r>
        <w:t xml:space="preserve">provide the standard characterisation of</w:t>
      </w:r>
      <w:r>
        <w:t xml:space="preserve"> </w:t>
      </w:r>
      <w:r>
        <w:t xml:space="preserve">the Alibaba 2018 trace, reporting failure statistics and co-location</w:t>
      </w:r>
      <w:r>
        <w:t xml:space="preserve"> </w:t>
      </w:r>
      <w:r>
        <w:t xml:space="preserve">effects but not extracting sequential patterns. Downstream work uses</w:t>
      </w:r>
      <w:r>
        <w:t xml:space="preserve"> </w:t>
      </w:r>
      <w:r>
        <w:t xml:space="preserve">supervised classifiers on the same trace for task-failure prediction</w:t>
      </w:r>
      <w:r>
        <w:t xml:space="preserve"> </w:t>
      </w:r>
      <w:r>
        <w:t xml:space="preserve">without pattern mining as an intermediate representation.</w:t>
      </w:r>
    </w:p>
    <w:p>
      <w:pPr>
        <w:pStyle w:val="BodyText"/>
      </w:pPr>
      <w:r>
        <w:rPr>
          <w:b/>
          <w:bCs/>
        </w:rPr>
        <w:t xml:space="preserve">Statistical significance for pattern mining.</w:t>
      </w:r>
      <w:r>
        <w:t xml:space="preserve"> </w:t>
      </w:r>
      <w:r>
        <w:t xml:space="preserve">We apply</w:t>
      </w:r>
      <w:r>
        <w:t xml:space="preserve"> </w:t>
      </w:r>
      <w:r>
        <w:t xml:space="preserve">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to the</w:t>
      </w:r>
      <w:r>
        <w:t xml:space="preserve"> </w:t>
      </w:r>
      <w:r>
        <w:t xml:space="preserve">one-sided hypergeometric p-values induced by label permutation on</w:t>
      </w:r>
      <w:r>
        <w:t xml:space="preserve"> </w:t>
      </w:r>
      <w:r>
        <w:t xml:space="preserve">mined patterns. The correction step is standard but its application</w:t>
      </w:r>
      <w:r>
        <w:t xml:space="preserve"> </w:t>
      </w:r>
      <w:r>
        <w:t xml:space="preserve">per (horizon × pattern class) here is what lets sequences and itemsets</w:t>
      </w:r>
      <w:r>
        <w:t xml:space="preserve"> </w:t>
      </w:r>
      <w:r>
        <w:t xml:space="preserve">be compared on a common significance scale.</w:t>
      </w:r>
    </w:p>
    <w:p>
      <w:pPr>
        <w:pStyle w:val="BodyText"/>
      </w:pPr>
      <w:r>
        <w:rPr>
          <w:b/>
          <w:bCs/>
        </w:rPr>
        <w:t xml:space="preserve">Software.</w:t>
      </w:r>
      <w:r>
        <w:t xml:space="preserve"> </w:t>
      </w:r>
      <w:r>
        <w:t xml:space="preserve">Itemset mining uses mlxtend</w:t>
      </w:r>
      <w:r>
        <w:t xml:space="preserve"> </w:t>
      </w:r>
      <w:r>
        <w:t xml:space="preserve">(Raschka 2018)</w:t>
      </w:r>
      <w:r>
        <w:t xml:space="preserve">;</w:t>
      </w:r>
      <w:r>
        <w:t xml:space="preserve"> </w:t>
      </w:r>
      <w:r>
        <w:t xml:space="preserve">sequence mining uses SPMF v2.64</w:t>
      </w:r>
      <w:r>
        <w:t xml:space="preserve"> </w:t>
      </w:r>
      <w:r>
        <w:t xml:space="preserve">(Fournier-Viger et al. 2016)</w:t>
      </w:r>
      <w:r>
        <w:t xml:space="preserve"> </w:t>
      </w:r>
      <w:r>
        <w:t xml:space="preserve">via subprocess.</w:t>
      </w:r>
      <w:r>
        <w:t xml:space="preserve"> </w:t>
      </w:r>
      <w:r>
        <w:t xml:space="preserve">The Alibaba trace is</w:t>
      </w:r>
      <w:r>
        <w:t xml:space="preserve"> </w:t>
      </w:r>
      <w:r>
        <w:t xml:space="preserve">(Alibaba 2018; Lu et al. 2017)</w:t>
      </w:r>
      <w:r>
        <w:t xml:space="preserve"> </w:t>
      </w:r>
      <w:r>
        <w:t xml:space="preserve">and the</w:t>
      </w:r>
      <w:r>
        <w:t xml:space="preserve"> </w:t>
      </w:r>
      <w:r>
        <w:t xml:space="preserve">Azure PdM data is</w:t>
      </w:r>
      <w:r>
        <w:t xml:space="preserve"> </w:t>
      </w:r>
      <w:r>
        <w:t xml:space="preserve">(Microsoft 2016)</w:t>
      </w:r>
      <w:r>
        <w:t xml:space="preserve">.</w:t>
      </w:r>
    </w:p>
    <w:p>
      <w:pPr>
        <w:pStyle w:val="BodyText"/>
      </w:pPr>
      <w:r>
        <w:t xml:space="preserve">To our knowledge no peer-reviewed study applies FP-Growth or PrefixSpan</w:t>
      </w:r>
      <w:r>
        <w:t xml:space="preserve"> </w:t>
      </w:r>
      <w:r>
        <w:t xml:space="preserve">directly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 or to Azure 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 with the matched-control design used</w:t>
      </w:r>
      <w:r>
        <w:t xml:space="preserve"> </w:t>
      </w:r>
      <w:r>
        <w:t xml:space="preserve">here.</w:t>
      </w:r>
    </w:p>
    <w:bookmarkEnd w:id="22"/>
    <w:bookmarkStart w:id="25" w:name="datasets-and-event-vocabulary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 Datasets and event vocabulary</w:t>
      </w:r>
    </w:p>
    <w:bookmarkStart w:id="23" w:name="azure-predictive-maintenance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3.1 Azure Predictive Maintenance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</w:t>
      </w:r>
    </w:p>
    <w:bookmarkEnd w:id="23"/>
    <w:bookmarkStart w:id="24" w:name="alibaba-cluster-trace-v2018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3.2 Alibaba cluster-trace-v2018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trace, 14,295,731 tasks</w:t>
      </w:r>
      <w:r>
        <w:t xml:space="preserve"> </w:t>
      </w:r>
      <w:r>
        <w:t xml:space="preserve">across 4,201,014 jobs, 8.9 days (2018-01-01 through 2018-01-09</w:t>
      </w:r>
      <w:r>
        <w:t xml:space="preserve"> </w:t>
      </w:r>
      <w:r>
        <w:t xml:space="preserve">by trace clock). 83,207 jobs contain 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 is not used in this pass;</w:t>
      </w:r>
      <w:r>
        <w:t xml:space="preserve"> </w:t>
      </w:r>
      <w:r>
        <w:t xml:space="preserve">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 is sufficient to answer</w:t>
      </w:r>
      <w:r>
        <w:t xml:space="preserve"> </w:t>
      </w:r>
      <w:r>
        <w:t xml:space="preserve">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</w:t>
      </w:r>
    </w:p>
    <w:bookmarkEnd w:id="24"/>
    <w:bookmarkEnd w:id="25"/>
    <w:bookmarkStart w:id="30" w:name="method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 Method</w:t>
      </w:r>
    </w:p>
    <w:bookmarkStart w:id="26" w:name="pre-failure-windows-and-matched-control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Alibaba), we build a failure window covering the K events (or the</w:t>
      </w:r>
      <w:r>
        <w:t xml:space="preserve"> </w:t>
      </w:r>
      <w:r>
        <w:t xml:space="preserve">time horizon T) strictly before the failure timestamp. Matched</w:t>
      </w:r>
      <w:r>
        <w:t xml:space="preserve"> </w:t>
      </w:r>
      <w:r>
        <w:t xml:space="preserve">controls are sampled: on Azure from clean regions of the same</w:t>
      </w:r>
      <w:r>
        <w:t xml:space="preserve"> </w:t>
      </w:r>
      <w:r>
        <w:t xml:space="preserve">machine at times with no failure within horizon T in either</w:t>
      </w:r>
      <w:r>
        <w:t xml:space="preserve"> </w:t>
      </w:r>
      <w:r>
        <w:t xml:space="preserve">direction; on Alibaba from the last K events of a non-failure job</w:t>
      </w:r>
      <w:r>
        <w:t xml:space="preserve"> </w:t>
      </w:r>
      <w:r>
        <w:t xml:space="preserve">sampled from a pool of 1.83 M candidates at a 3:1 control:failure</w:t>
      </w:r>
      <w:r>
        <w:t xml:space="preserve"> </w:t>
      </w:r>
      <w:r>
        <w:t xml:space="preserve">ratio.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 (time-based horizons are not</w:t>
      </w:r>
      <w:r>
        <w:t xml:space="preserve"> </w:t>
      </w:r>
      <w:r>
        <w:t xml:space="preserve">meaningful for short jobs).</w:t>
      </w:r>
    </w:p>
    <w:bookmarkEnd w:id="26"/>
    <w:bookmarkStart w:id="27" w:name="mining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 via</w:t>
      </w:r>
      <w:r>
        <w:t xml:space="preserve"> </w:t>
      </w:r>
      <w:r>
        <w:t xml:space="preserve">subprocess) mines frequent ordered sequences 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</w:t>
      </w:r>
    </w:p>
    <w:bookmarkEnd w:id="27"/>
    <w:bookmarkStart w:id="28" w:name="sanity-invariant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min_support does not yield a top lift within</w:t>
      </w:r>
      <w:r>
        <w:t xml:space="preserve"> </w:t>
      </w:r>
      <w:r>
        <w:t xml:space="preserve">a factor of 1.5× of the real top lift. Sequence mining checks that a</w:t>
      </w:r>
      <w:r>
        <w:t xml:space="preserve"> </w:t>
      </w:r>
      <w:r>
        <w:t xml:space="preserve">within-window random order permutation preserves top itemset lift</w:t>
      </w:r>
      <w:r>
        <w:t xml:space="preserve"> </w:t>
      </w:r>
      <w:r>
        <w:t xml:space="preserve">(unchanged, by construction) but strictly reduces top sequence lift</w:t>
      </w:r>
      <w:r>
        <w:t xml:space="preserve"> </w:t>
      </w:r>
      <w:r>
        <w:t xml:space="preserve">on rich horizons (windows with &gt;= 3 events on average). Both</w:t>
      </w:r>
      <w:r>
        <w:t xml:space="preserve"> </w:t>
      </w:r>
      <w:r>
        <w:t xml:space="preserve">invariants pass on both datasets.</w:t>
      </w:r>
    </w:p>
    <w:bookmarkEnd w:id="28"/>
    <w:bookmarkStart w:id="29" w:name="predictive-evaluation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4.4 Predictive evaluation</w:t>
      </w:r>
    </w:p>
    <w:p>
      <w:pPr>
        <w:pStyle w:val="FirstParagraph"/>
      </w:pPr>
      <w:r>
        <w:t xml:space="preserve">Windows split temporally by anchor timestamp (Azure cutoff</w:t>
      </w:r>
      <w:r>
        <w:t xml:space="preserve"> </w:t>
      </w:r>
      <w:r>
        <w:t xml:space="preserve">2015-09-01; Alibaba cutoff 2018-01-07). Mining runs on training</w:t>
      </w:r>
      <w:r>
        <w:t xml:space="preserve"> </w:t>
      </w:r>
      <w:r>
        <w:t xml:space="preserve">windows only. Surviving patterns become binary features. A logistic</w:t>
      </w:r>
      <w:r>
        <w:t xml:space="preserve"> </w:t>
      </w:r>
      <w:r>
        <w:t xml:space="preserve">regression fit on TRAIN is evaluated on TEST for four feature sets:</w:t>
      </w:r>
      <w:r>
        <w:t xml:space="preserve"> </w:t>
      </w:r>
      <w:r>
        <w:t xml:space="preserve">event count baseline, itemsets only, sequences only, combined.</w:t>
      </w:r>
    </w:p>
    <w:bookmarkEnd w:id="29"/>
    <w:bookmarkEnd w:id="30"/>
    <w:bookmarkStart w:id="43" w:name="resul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 Results</w:t>
      </w:r>
    </w:p>
    <w:bookmarkStart w:id="32" w:name="coverage-per-horizon-azur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0.077).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31">
        <w:r>
          <w:rPr>
            <w:rStyle w:val="Hyperlink"/>
          </w:rPr>
          <w:t xml:space="preserve">azure_window_horizon_vs_events.png</w:t>
        </w:r>
      </w:hyperlink>
    </w:p>
    <w:bookmarkEnd w:id="32"/>
    <w:bookmarkStart w:id="34" w:name="mined-patterns-azure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5.2 Mined patterns (Azure)</w:t>
      </w:r>
    </w:p>
    <w:p>
      <w:pPr>
        <w:pStyle w:val="FirstParagraph"/>
      </w:pPr>
      <w:r>
        <w:t xml:space="preserve">At 24h horizon,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 lift 3.99 (present in 38.2% of failure windows, in 0.04% of</w:t>
      </w:r>
      <w:r>
        <w:t xml:space="preserve"> </w:t>
      </w:r>
      <w:r>
        <w:t xml:space="preserve">controls; P(failure | pattern) = 99.6%). All six 24h itemsets</w:t>
      </w:r>
      <w:r>
        <w:t xml:space="preserve"> </w:t>
      </w:r>
      <w:r>
        <w:t xml:space="preserve">dominate the random-label permutation null (permuted top 1.24).</w:t>
      </w:r>
    </w:p>
    <w:p>
      <w:pPr>
        <w:pStyle w:val="BodyText"/>
      </w:pP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horizons,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</w:t>
      </w:r>
      <w:r>
        <w:t xml:space="preserve"> </w:t>
      </w:r>
      <w:r>
        <w:t xml:space="preserve">horizons.</w:t>
      </w:r>
    </w:p>
    <w:p>
      <w:pPr>
        <w:pStyle w:val="BodyText"/>
      </w:pPr>
      <w:r>
        <w:rPr>
          <w:b/>
          <w:bCs/>
        </w:rPr>
        <w:t xml:space="preserve">Alibaba (per-job,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).</w:t>
      </w:r>
      <w:r>
        <w:t xml:space="preserve"> </w:t>
      </w:r>
      <w:r>
        <w:t xml:space="preserve">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The signature is a specific interleaving of</w:t>
      </w:r>
      <w:r>
        <w:t xml:space="preserve"> </w:t>
      </w:r>
      <w:r>
        <w:t xml:space="preserve">Map and Reduce completions preceding a Failed task; the same items in</w:t>
      </w:r>
      <w:r>
        <w:t xml:space="preserve"> </w:t>
      </w:r>
      <w:r>
        <w:t xml:space="preserve">any other order do not carry the same signal.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33">
        <w:r>
          <w:rPr>
            <w:rStyle w:val="Hyperlink"/>
          </w:rPr>
          <w:t xml:space="preserve">azure_itemset_vs_sequence_lift.png</w:t>
        </w:r>
      </w:hyperlink>
    </w:p>
    <w:bookmarkEnd w:id="34"/>
    <w:bookmarkStart w:id="36" w:name="predictive-evaluation-both-datasets"/>
    <w:p>
      <w:pPr>
        <w:pStyle w:val="Heading3"/>
      </w:pPr>
      <w:r>
        <w:rPr>
          <w:rStyle w:val="SectionNumber"/>
        </w:rPr>
        <w:t xml:space="preserve">1.6.3</w:t>
      </w:r>
      <w:r>
        <w:tab/>
      </w:r>
      <w:r>
        <w:t xml:space="preserve">5.3 Predictive evaluation (both datasets)</w:t>
      </w:r>
    </w:p>
    <w:p>
      <w:pPr>
        <w:pStyle w:val="FirstParagraph"/>
      </w:pPr>
      <w:r>
        <w:t xml:space="preserve">Combined feature set beats itemsets alone on both datasets and on</w:t>
      </w:r>
      <w:r>
        <w:t xml:space="preserve"> </w:t>
      </w:r>
      <w:r>
        <w:t xml:space="preserve">every count-based horizon. Sequences alone are high-precision but</w:t>
      </w:r>
      <w:r>
        <w:t xml:space="preserve"> </w:t>
      </w:r>
      <w:r>
        <w:t xml:space="preserve">low-recall at threshold 0.5: precision 0.72-0.98 at recall 0.02-0.36</w:t>
      </w:r>
      <w:r>
        <w:t xml:space="preserve"> </w:t>
      </w:r>
      <w:r>
        <w:t xml:space="preserve">across horizons. The regime is</w:t>
      </w:r>
      <w:r>
        <w:t xml:space="preserve"> </w:t>
      </w:r>
      <w:r>
        <w:t xml:space="preserve">“</w:t>
      </w:r>
      <w:r>
        <w:t xml:space="preserve">few features, few alarms, but</w:t>
      </w:r>
      <w:r>
        <w:t xml:space="preserve"> </w:t>
      </w:r>
      <w:r>
        <w:t xml:space="preserve">reliable alarms</w:t>
      </w:r>
      <w:r>
        <w:t xml:space="preserve">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6"/>
        <w:gridCol w:w="976"/>
        <w:gridCol w:w="1410"/>
        <w:gridCol w:w="1627"/>
        <w:gridCol w:w="1735"/>
        <w:gridCol w:w="119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0.97/0.91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0.996/0.99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features)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0.996/0.99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0.50/0.34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0.75/0.56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0.66/0.56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0.81/0.72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0.50/0.34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0.64/0.50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0.67/0.53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0.70/0.58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0.69/0.50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0.75/0.44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0.50/0.20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0.81/0.63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0.60/0.50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0.51/0.21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0.74/0.57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0.59/0.50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0.68/0.36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0.52/0.23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0.74/0.59</w:t>
            </w:r>
          </w:p>
        </w:tc>
      </w:tr>
    </w:tbl>
    <w:p>
      <w:pPr>
        <w:pStyle w:val="BodyText"/>
      </w:pPr>
      <w:r>
        <w:t xml:space="preserve">(AUROC / AUPRC)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35">
        <w:r>
          <w:rPr>
            <w:rStyle w:val="Hyperlink"/>
          </w:rPr>
          <w:t xml:space="preserve">cross_dataset_predictive_comparison.png</w:t>
        </w:r>
      </w:hyperlink>
    </w:p>
    <w:bookmarkEnd w:id="36"/>
    <w:bookmarkStart w:id="37" w:name="when-does-order-help"/>
    <w:p>
      <w:pPr>
        <w:pStyle w:val="Heading3"/>
      </w:pPr>
      <w:r>
        <w:rPr>
          <w:rStyle w:val="SectionNumber"/>
        </w:rPr>
        <w:t xml:space="preserve">1.6.4</w:t>
      </w:r>
      <w:r>
        <w:tab/>
      </w:r>
      <w:r>
        <w:t xml:space="preserve">5.4 When does order help?</w:t>
      </w:r>
    </w:p>
    <w:p>
      <w:pPr>
        <w:pStyle w:val="FirstParagraph"/>
      </w:pPr>
      <w:r>
        <w:t xml:space="preserve">The order-gain distribution (sequence lift minus itemset lift for the</w:t>
      </w:r>
      <w:r>
        <w:t xml:space="preserve"> </w:t>
      </w:r>
      <w:r>
        <w:t xml:space="preserve">same items) is zero at horizons where windows contain 1-2 events</w:t>
      </w:r>
      <w:r>
        <w:t xml:space="preserve"> </w:t>
      </w:r>
      <w:r>
        <w:t xml:space="preserve">(Azure 1h/6h/24h) and positive with mean 0.30-0.32 and max 1.5 at</w:t>
      </w:r>
      <w:r>
        <w:t xml:space="preserve"> </w:t>
      </w:r>
      <w:r>
        <w:t xml:space="preserve">count-based horizons. Combining itemsets and sequences adds 5-10</w:t>
      </w:r>
      <w:r>
        <w:t xml:space="preserve"> </w:t>
      </w:r>
      <w:r>
        <w:t xml:space="preserve">AUROC points on count-based horizons where order is a real degree of</w:t>
      </w:r>
      <w:r>
        <w:t xml:space="preserve"> </w:t>
      </w:r>
      <w:r>
        <w:t xml:space="preserve">freedom, and adds nothing at short time horizons where every</w:t>
      </w:r>
      <w:r>
        <w:t xml:space="preserve"> </w:t>
      </w:r>
      <w:r>
        <w:t xml:space="preserve">signal-carrying window already collapses to a small item set.</w:t>
      </w:r>
    </w:p>
    <w:bookmarkEnd w:id="37"/>
    <w:bookmarkStart w:id="38" w:name="formal-significance-phase-5"/>
    <w:p>
      <w:pPr>
        <w:pStyle w:val="Heading3"/>
      </w:pPr>
      <w:r>
        <w:rPr>
          <w:rStyle w:val="SectionNumber"/>
        </w:rPr>
        <w:t xml:space="preserve">1.6.5</w:t>
      </w:r>
      <w:r>
        <w:tab/>
      </w:r>
      <w:r>
        <w:t xml:space="preserve">5.5 Formal significance (Phase 5)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 label-permutation</w:t>
      </w:r>
      <w:r>
        <w:t xml:space="preserve"> </w:t>
      </w:r>
      <w:r>
        <w:t xml:space="preserve">null with the pattern hit-set fixed, then apply Benjamini-Hochberg</w:t>
      </w:r>
      <w:r>
        <w:t xml:space="preserve"> </w:t>
      </w:r>
      <w:r>
        <w:t xml:space="preserve">correction per horizon x pattern class.</w:t>
      </w:r>
    </w:p>
    <w:p>
      <w:pPr>
        <w:pStyle w:val="BodyText"/>
      </w:pPr>
      <w:r>
        <w:t xml:space="preserve">On Azure at BH-q &lt; 0.05: every 24h itemset (6/6) and every 24h</w:t>
      </w:r>
      <w:r>
        <w:t xml:space="preserve"> </w:t>
      </w:r>
      <w:r>
        <w:t xml:space="preserve">sequence (7/7) is significant; 53/77 last5 itemsets and 55/67 last5</w:t>
      </w:r>
      <w:r>
        <w:t xml:space="preserve"> </w:t>
      </w:r>
      <w:r>
        <w:t xml:space="preserve">sequences; the last10 horizon flags 562/657 sequences and hundreds of</w:t>
      </w:r>
      <w:r>
        <w:t xml:space="preserve"> </w:t>
      </w:r>
      <w:r>
        <w:t xml:space="preserve">itemsets. Both 1h and 6h horizons flag zero patterns as expected</w:t>
      </w:r>
      <w:r>
        <w:t xml:space="preserve"> </w:t>
      </w:r>
      <w:r>
        <w:t xml:space="preserve">(0/3 sequences at 1h, 0/5 at 6h). On Alibaba: 6/10 last3 itemsets,</w:t>
      </w:r>
      <w:r>
        <w:t xml:space="preserve"> </w:t>
      </w:r>
      <w:r>
        <w:t xml:space="preserve">9/16 last3 sequences, 59/109 last10 sequences.</w:t>
      </w:r>
    </w:p>
    <w:bookmarkEnd w:id="38"/>
    <w:bookmarkStart w:id="40" w:name="lead-time-on-true-positives"/>
    <w:p>
      <w:pPr>
        <w:pStyle w:val="Heading3"/>
      </w:pPr>
      <w:r>
        <w:rPr>
          <w:rStyle w:val="SectionNumber"/>
        </w:rPr>
        <w:t xml:space="preserve">1.6.6</w:t>
      </w:r>
      <w:r>
        <w:tab/>
      </w:r>
      <w:r>
        <w:t xml:space="preserve">5.6 Lead time on true positives</w:t>
      </w:r>
    </w:p>
    <w:p>
      <w:pPr>
        <w:pStyle w:val="FirstParagraph"/>
      </w:pPr>
      <w:r>
        <w:t xml:space="preserve">For each true-positive failure window in the test set, lead time is the</w:t>
      </w:r>
      <w:r>
        <w:t xml:space="preserve"> </w:t>
      </w:r>
      <w:r>
        <w:t xml:space="preserve">interval between the anchor failure timestamp and the last event</w:t>
      </w:r>
      <w:r>
        <w:t xml:space="preserve"> </w:t>
      </w:r>
      <w:r>
        <w:t xml:space="preserve">recorded in the window. It measures how early the informational signal</w:t>
      </w:r>
      <w:r>
        <w:t xml:space="preserve"> </w:t>
      </w:r>
      <w:r>
        <w:t xml:space="preserve">becomes available in the data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Alibaba (operational lead time)</w:t>
      </w:r>
      <w:r>
        <w:t xml:space="preserve">: median 0 s across horizons, IQR</w:t>
      </w:r>
      <w:r>
        <w:t xml:space="preserve"> </w:t>
      </w:r>
      <w:r>
        <w:t xml:space="preserve">0-2 min. Tasks within a job complete within seconds of one another.</w:t>
      </w:r>
      <w:r>
        <w:t xml:space="preserve"> </w:t>
      </w:r>
      <w:r>
        <w:t xml:space="preserve">Even though the classifier’s AUROC on Alibaba is 0.74-0.81, the</w:t>
      </w:r>
      <w:r>
        <w:t xml:space="preserve"> </w:t>
      </w:r>
      <w:r>
        <w:t xml:space="preserve">practical warning fires on the order of the next task boundary, not</w:t>
      </w:r>
      <w:r>
        <w:t xml:space="preserve"> </w:t>
      </w:r>
      <w:r>
        <w:t xml:space="preserve">hours. The lead time reflects the temporal density of the trace, not</w:t>
      </w:r>
      <w:r>
        <w:t xml:space="preserve"> </w:t>
      </w:r>
      <w:r>
        <w:t xml:space="preserve">a model limitation.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Azure (structural lead time set by the generator)</w:t>
      </w:r>
      <w:r>
        <w:t xml:space="preserve">: median lead</w:t>
      </w:r>
      <w:r>
        <w:t xml:space="preserve"> </w:t>
      </w:r>
      <w:r>
        <w:t xml:space="preserve">time is exactly 24.0 hours at every horizon. The synthetic generator</w:t>
      </w:r>
      <w:r>
        <w:t xml:space="preserve"> </w:t>
      </w:r>
      <w:r>
        <w:t xml:space="preserve">places pre-failure errors on a ~24h clock relative to the failure</w:t>
      </w:r>
      <w:r>
        <w:t xml:space="preserve"> </w:t>
      </w:r>
      <w:r>
        <w:t xml:space="preserve">timestamp, so any correctly-triggered alarm inherits that clock.</w:t>
      </w:r>
      <w:r>
        <w:t xml:space="preserve"> </w:t>
      </w:r>
      <w:r>
        <w:t xml:space="preserve">This number describes the dataset’s construction, not the model’s</w:t>
      </w:r>
      <w:r>
        <w:t xml:space="preserve"> </w:t>
      </w:r>
      <w:r>
        <w:t xml:space="preserve">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39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40"/>
    <w:bookmarkStart w:id="42" w:name="robustness-to-min_support-phase-7-scoped"/>
    <w:p>
      <w:pPr>
        <w:pStyle w:val="Heading3"/>
      </w:pPr>
      <w:r>
        <w:rPr>
          <w:rStyle w:val="SectionNumber"/>
        </w:rPr>
        <w:t xml:space="preserve">1.6.7</w:t>
      </w:r>
      <w:r>
        <w:tab/>
      </w:r>
      <w:r>
        <w:t xml:space="preserve">5.7 Robustness to min_support (Phase 7 scoped)</w:t>
      </w:r>
    </w:p>
    <w:p>
      <w:pPr>
        <w:pStyle w:val="FirstParagraph"/>
      </w:pPr>
      <w:r>
        <w:t xml:space="preserve">A min_support sweep over {0.02, 0.05, 0.10, 0.15} on Azure preserves</w:t>
      </w:r>
      <w:r>
        <w:t xml:space="preserve"> </w:t>
      </w:r>
      <w:r>
        <w:t xml:space="preserve">the headline ordering at every operating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min_support tested, combined dominates itemsets_only by</w:t>
      </w:r>
      <w:r>
        <w:t xml:space="preserve"> </w:t>
      </w:r>
      <w:r>
        <w:t xml:space="preserve">at least +4 AUROC points at last5 and at least +5 at last10.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1">
        <w:r>
          <w:rPr>
            <w:rStyle w:val="Hyperlink"/>
          </w:rPr>
          <w:t xml:space="preserve">azure_sensitivity_min_support.png</w:t>
        </w:r>
      </w:hyperlink>
    </w:p>
    <w:bookmarkEnd w:id="42"/>
    <w:bookmarkEnd w:id="43"/>
    <w:bookmarkStart w:id="44" w:name="discussion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 Discussion</w:t>
      </w:r>
    </w:p>
    <w:p>
      <w:pPr>
        <w:pStyle w:val="FirstParagraph"/>
      </w:pPr>
      <w:r>
        <w:t xml:space="preserve">The two mined signatures each carry an operational reading.</w:t>
      </w:r>
    </w:p>
    <w:p>
      <w:pPr>
        <w:pStyle w:val="BodyText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 an</w:t>
      </w:r>
      <w:r>
        <w:t xml:space="preserve"> </w:t>
      </w:r>
      <w:r>
        <w:t xml:space="preserve">alarm keyed on the pair-in-order is preferable to the same alarm keyed</w:t>
      </w:r>
      <w:r>
        <w:t xml:space="preserve"> </w:t>
      </w:r>
      <w:r>
        <w:t xml:space="preserve">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 The</w:t>
      </w:r>
      <w:r>
        <w:t xml:space="preserve"> </w:t>
      </w:r>
      <w:r>
        <w:t xml:space="preserve">operational reading is that the position of the failure inside the</w:t>
      </w:r>
      <w:r>
        <w:t xml:space="preserve"> </w:t>
      </w:r>
      <w:r>
        <w:t xml:space="preserve">DAG matters: jobs that make it through a Map-heavy prefix are the</w:t>
      </w:r>
      <w:r>
        <w:t xml:space="preserve"> </w:t>
      </w:r>
      <w:r>
        <w:t xml:space="preserve">jobs whose downstream Reduce or Join phases can fail, whereas jobs</w:t>
      </w:r>
      <w:r>
        <w:t xml:space="preserve"> </w:t>
      </w:r>
      <w:r>
        <w:t xml:space="preserve">that fail early do so in a different distribution of task types.</w:t>
      </w:r>
      <w:r>
        <w:t xml:space="preserve"> </w:t>
      </w:r>
      <w:r>
        <w:t xml:space="preserve">Sequence mining recovers this DAG-position signal automatically;</w:t>
      </w:r>
      <w:r>
        <w:t xml:space="preserve"> </w:t>
      </w:r>
      <w:r>
        <w:t xml:space="preserve">itemset mining flattens it.</w:t>
      </w:r>
    </w:p>
    <w:p>
      <w:pPr>
        <w:pStyle w:val="BodyText"/>
      </w:pPr>
      <w:r>
        <w:t xml:space="preserve">Both signatures survive Benjamini-Hochberg FDR correction at q &lt; 0.05</w:t>
      </w:r>
      <w:r>
        <w:t xml:space="preserve"> </w:t>
      </w:r>
      <w:r>
        <w:t xml:space="preserve">and dominate their permutation nulls by wide margins. In neither</w:t>
      </w:r>
      <w:r>
        <w:t xml:space="preserve"> </w:t>
      </w:r>
      <w:r>
        <w:t xml:space="preserve">dataset does sequences_only outperform combined on AUROC; the</w:t>
      </w:r>
      <w:r>
        <w:t xml:space="preserve"> </w:t>
      </w:r>
      <w:r>
        <w:t xml:space="preserve">practical takeaway is that ordered sequences should be added to an</w:t>
      </w:r>
      <w:r>
        <w:t xml:space="preserve"> </w:t>
      </w:r>
      <w:r>
        <w:t xml:space="preserve">itemset-based feature set, not substituted for it.</w:t>
      </w:r>
    </w:p>
    <w:p>
      <w:pPr>
        <w:pStyle w:val="BodyText"/>
      </w:pPr>
      <w:r>
        <w:t xml:space="preserve">The two lead-time regimes recorded in §5.6 speak to deployment. Azure</w:t>
      </w:r>
      <w:r>
        <w:t xml:space="preserve"> </w:t>
      </w:r>
      <w:r>
        <w:t xml:space="preserve">inherits a structural 24h clock from the synthetic generator and</w:t>
      </w:r>
      <w:r>
        <w:t xml:space="preserve"> </w:t>
      </w:r>
      <w:r>
        <w:t xml:space="preserve">should not be read as a real-world warning interval; Alibaba’s median</w:t>
      </w:r>
      <w:r>
        <w:t xml:space="preserve"> </w:t>
      </w:r>
      <w:r>
        <w:t xml:space="preserve">0-second lead time is the honest one, and a per-job classifier there</w:t>
      </w:r>
      <w:r>
        <w:t xml:space="preserve"> </w:t>
      </w:r>
      <w:r>
        <w:t xml:space="preserve">must be paired with sub-second scheduling infrastructure to act on the</w:t>
      </w:r>
      <w:r>
        <w:t xml:space="preserve"> </w:t>
      </w:r>
      <w:r>
        <w:t xml:space="preserve">signal at all.</w:t>
      </w:r>
    </w:p>
    <w:bookmarkEnd w:id="44"/>
    <w:bookmarkStart w:id="45" w:name="limitations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 Limitations</w:t>
      </w:r>
    </w:p>
    <w:p>
      <w:pPr>
        <w:pStyle w:val="FirstParagraph"/>
      </w:pPr>
      <w:r>
        <w:t xml:space="preserve">Four boundary conditions apply.</w:t>
      </w:r>
    </w:p>
    <w:p>
      <w:pPr>
        <w:pStyle w:val="Compact"/>
        <w:numPr>
          <w:ilvl w:val="0"/>
          <w:numId w:val="1003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3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Widening</w:t>
      </w:r>
      <w:r>
        <w:t xml:space="preserve"> </w:t>
      </w:r>
      <w:r>
        <w:t xml:space="preserve">min_support and using a top-K sequence miner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3"/>
        </w:numPr>
      </w:pPr>
      <w:r>
        <w:t xml:space="preserve">The min_support sensitivity sweep in §5.7 covers itemset support;</w:t>
      </w:r>
      <w:r>
        <w:t xml:space="preserve"> </w:t>
      </w:r>
      <w:r>
        <w:t xml:space="preserve">regularization strength and cross-machine / cross-job leave-one-out</w:t>
      </w:r>
      <w:r>
        <w:t xml:space="preserve"> </w:t>
      </w:r>
      <w:r>
        <w:t xml:space="preserve">are the next robustness questions.</w:t>
      </w:r>
    </w:p>
    <w:p>
      <w:pPr>
        <w:pStyle w:val="Compact"/>
        <w:numPr>
          <w:ilvl w:val="0"/>
          <w:numId w:val="1003"/>
        </w:numPr>
      </w:pPr>
      <w:r>
        <w:t xml:space="preserve">Azure lead times (§5.6) are set by the synthetic data generator</w:t>
      </w:r>
      <w:r>
        <w:t xml:space="preserve"> </w:t>
      </w:r>
      <w:r>
        <w:t xml:space="preserve">and 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bookmarkEnd w:id="45"/>
    <w:bookmarkStart w:id="46" w:name="conclusion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both synthetic and real</w:t>
      </w:r>
      <w:r>
        <w:t xml:space="preserve"> </w:t>
      </w:r>
      <w:r>
        <w:t xml:space="preserve">production traces. Sequences add real predictive information beyond</w:t>
      </w:r>
      <w:r>
        <w:t xml:space="preserve"> </w:t>
      </w:r>
      <w:r>
        <w:t xml:space="preserve">itemsets when window definitions are rich enough for order to be a</w:t>
      </w:r>
      <w:r>
        <w:t xml:space="preserve"> </w:t>
      </w:r>
      <w:r>
        <w:t xml:space="preserve">real degree of freedom; at those horizons, combining itemset and</w:t>
      </w:r>
      <w:r>
        <w:t xml:space="preserve"> </w:t>
      </w:r>
      <w:r>
        <w:t xml:space="preserve">sequence features improves failure prediction by 5-10 AUROC points</w:t>
      </w:r>
      <w:r>
        <w:t xml:space="preserve"> </w:t>
      </w:r>
      <w:r>
        <w:t xml:space="preserve">over either alone. The result replicates across a synthetic</w:t>
      </w:r>
      <w:r>
        <w:t xml:space="preserve"> </w:t>
      </w:r>
      <w:r>
        <w:t xml:space="preserve">per-machine trace and a real per-job production trace.</w:t>
      </w:r>
    </w:p>
    <w:p>
      <w:r>
        <w:pict>
          <v:rect style="width:0;height:1.5pt" o:hralign="center" o:hrstd="t" o:hr="t"/>
        </w:pict>
      </w:r>
    </w:p>
    <w:bookmarkEnd w:id="46"/>
    <w:bookmarkStart w:id="47" w:name="what-is-still-missing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What is still missing</w:t>
      </w:r>
    </w:p>
    <w:p>
      <w:pPr>
        <w:pStyle w:val="Compact"/>
        <w:numPr>
          <w:ilvl w:val="0"/>
          <w:numId w:val="1004"/>
        </w:numPr>
      </w:pPr>
      <w:r>
        <w:t xml:space="preserve">Regularization sweep and cross-machine / cross-job leave-one-out</w:t>
      </w:r>
      <w:r>
        <w:t xml:space="preserve"> </w:t>
      </w:r>
      <w:r>
        <w:t xml:space="preserve">for a fuller Phase 7.</w:t>
      </w:r>
    </w:p>
    <w:p>
      <w:pPr>
        <w:pStyle w:val="Compact"/>
        <w:numPr>
          <w:ilvl w:val="0"/>
          <w:numId w:val="1004"/>
        </w:numPr>
      </w:pPr>
      <w:r>
        <w:t xml:space="preserve">Optional: per-machine Alibaba analysis with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HTML/DOCX build via</w:t>
      </w:r>
      <w:r>
        <w:t xml:space="preserve"> </w:t>
      </w:r>
      <w:r>
        <w:rPr>
          <w:rStyle w:val="VerbatimChar"/>
        </w:rPr>
        <w:t xml:space="preserve">paper-build</w:t>
      </w:r>
      <w:r>
        <w:t xml:space="preserve"> </w:t>
      </w:r>
      <w:r>
        <w:t xml:space="preserve">skill once prose is settled.</w:t>
      </w:r>
    </w:p>
    <w:p>
      <w:pPr>
        <w:pStyle w:val="Compact"/>
        <w:numPr>
          <w:ilvl w:val="0"/>
          <w:numId w:val="1004"/>
        </w:numPr>
      </w:pPr>
      <w:r>
        <w:t xml:space="preserve">Prose polish + related-work paragraph expansion using the</w:t>
      </w:r>
      <w:r>
        <w:t xml:space="preserve"> </w:t>
      </w:r>
      <w:r>
        <w:t xml:space="preserve">validated</w:t>
      </w:r>
      <w:r>
        <w:t xml:space="preserve"> </w:t>
      </w:r>
      <w:r>
        <w:rPr>
          <w:rStyle w:val="VerbatimChar"/>
        </w:rPr>
        <w:t xml:space="preserve">paper/references.bib</w:t>
      </w:r>
      <w:r>
        <w:t xml:space="preserve">.</w:t>
      </w:r>
    </w:p>
    <w:bookmarkEnd w:id="47"/>
    <w:bookmarkStart w:id="74" w:name="what-is-verified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What is verified</w:t>
      </w:r>
    </w:p>
    <w:p>
      <w:pPr>
        <w:pStyle w:val="Compact"/>
        <w:numPr>
          <w:ilvl w:val="0"/>
          <w:numId w:val="1005"/>
        </w:numPr>
      </w:pPr>
      <w:r>
        <w:t xml:space="preserve">Bibliography:</w:t>
      </w:r>
      <w:r>
        <w:t xml:space="preserve"> </w:t>
      </w:r>
      <w:hyperlink r:id="rId48">
        <w:r>
          <w:rPr>
            <w:rStyle w:val="Hyperlink"/>
          </w:rPr>
          <w:t xml:space="preserve">paper/references.bib</w:t>
        </w:r>
      </w:hyperlink>
      <w:r>
        <w:t xml:space="preserve">, 10 of 12</w:t>
      </w:r>
      <w:r>
        <w:t xml:space="preserve"> </w:t>
      </w:r>
      <w:r>
        <w:t xml:space="preserve">entries resolved by Crossref/OpenAlex to the intended paper (checked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bibtest</w:t>
      </w:r>
      <w:r>
        <w:t xml:space="preserve">); the two</w:t>
      </w:r>
      <w:r>
        <w:t xml:space="preserve"> </w:t>
      </w:r>
      <w:r>
        <w:rPr>
          <w:rStyle w:val="VerbatimChar"/>
        </w:rPr>
        <w:t xml:space="preserve">not_found</w:t>
      </w:r>
      <w:r>
        <w:t xml:space="preserve"> </w:t>
      </w:r>
      <w:r>
        <w:t xml:space="preserve">are dataset URLs with no DOI.</w:t>
      </w:r>
      <w:r>
        <w:t xml:space="preserve"> </w:t>
      </w:r>
      <w:r>
        <w:t xml:space="preserve">One mid-session correction:</w:t>
      </w:r>
      <w:r>
        <w:t xml:space="preserve"> </w:t>
      </w:r>
      <w:r>
        <w:rPr>
          <w:rStyle w:val="VerbatimChar"/>
        </w:rPr>
        <w:t xml:space="preserve">ifraz2024sequential</w:t>
      </w:r>
      <w:r>
        <w:t xml:space="preserve"> </w:t>
      </w:r>
      <w:r>
        <w:t xml:space="preserve">had hallucinated</w:t>
      </w:r>
      <w:r>
        <w:t xml:space="preserve"> </w:t>
      </w:r>
      <w:r>
        <w:t xml:space="preserve">authors and was fixed to match the DOI’s actual authors.</w:t>
      </w:r>
    </w:p>
    <w:p>
      <w:pPr>
        <w:pStyle w:val="Compact"/>
        <w:numPr>
          <w:ilvl w:val="0"/>
          <w:numId w:val="1005"/>
        </w:numPr>
      </w:pPr>
      <w:r>
        <w:t xml:space="preserve">Numbers audit: 44 / 44 claims in this skeleton match the underlying</w:t>
      </w:r>
      <w:r>
        <w:t xml:space="preserve"> </w:t>
      </w:r>
      <w:r>
        <w:t xml:space="preserve">JSON stats and parquet files. See</w:t>
      </w:r>
      <w:r>
        <w:t xml:space="preserve"> </w:t>
      </w:r>
      <w:hyperlink r:id="rId49">
        <w:r>
          <w:rPr>
            <w:rStyle w:val="Hyperlink"/>
          </w:rPr>
          <w:t xml:space="preserve">numbers_audit.md</w:t>
        </w:r>
      </w:hyperlink>
      <w:r>
        <w:t xml:space="preserve">.</w:t>
      </w:r>
    </w:p>
    <w:bookmarkStart w:id="73" w:name="refs"/>
    <w:bookmarkStart w:id="50" w:name="ref-agrawal1994fast"/>
    <w:p>
      <w:pPr>
        <w:pStyle w:val="Bibliography"/>
      </w:pPr>
      <w:r>
        <w:t xml:space="preserve">Agrawal, Rakesh, and Ramakrishnan Srikant. 1994.</w:t>
      </w:r>
      <w:r>
        <w:t xml:space="preserve"> </w:t>
      </w:r>
      <w:r>
        <w:t xml:space="preserve">“Fast Algorithms for Mining Association Rules in Large Databases.”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20th International Conference on Very Large Data Bases (VLDB)</w:t>
      </w:r>
      <w:r>
        <w:t xml:space="preserve">, 487–99.</w:t>
      </w:r>
    </w:p>
    <w:bookmarkEnd w:id="50"/>
    <w:bookmarkStart w:id="52" w:name="ref-alibaba2018repo"/>
    <w:p>
      <w:pPr>
        <w:pStyle w:val="Bibliography"/>
      </w:pPr>
      <w:r>
        <w:t xml:space="preserve">Alibaba. 2018.</w:t>
      </w:r>
      <w:r>
        <w:t xml:space="preserve"> </w:t>
      </w:r>
      <w:r>
        <w:t xml:space="preserve">“</w:t>
      </w:r>
      <w:r>
        <w:t xml:space="preserve">Alibaba cluster-trace-v2018</w:t>
      </w:r>
      <w:r>
        <w:t xml:space="preserve">.”</w:t>
      </w:r>
      <w:r>
        <w:t xml:space="preserve"> </w:t>
      </w:r>
      <w:hyperlink r:id="rId51">
        <w:r>
          <w:rPr>
            <w:rStyle w:val="Hyperlink"/>
          </w:rPr>
          <w:t xml:space="preserve">https://github.com/alibaba/clusterdata</w:t>
        </w:r>
      </w:hyperlink>
      <w:r>
        <w:t xml:space="preserve">.</w:t>
      </w:r>
    </w:p>
    <w:bookmarkEnd w:id="52"/>
    <w:bookmarkStart w:id="54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53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54"/>
    <w:bookmarkStart w:id="56" w:name="ref-cheng2018characterizing"/>
    <w:p>
      <w:pPr>
        <w:pStyle w:val="Bibliography"/>
      </w:pPr>
      <w:r>
        <w:t xml:space="preserve">Cheng, Yue, Zheng Chai, and Ali Anwar. 2018.</w:t>
      </w:r>
      <w:r>
        <w:t xml:space="preserve"> </w:t>
      </w:r>
      <w:r>
        <w:t xml:space="preserve">“Characterizing Co-Located Datacenter Workloads: An Alibaba Case Study.”</w:t>
      </w:r>
      <w:r>
        <w:t xml:space="preserve"> </w:t>
      </w:r>
      <w:r>
        <w:t xml:space="preserve">arXiv.</w:t>
      </w:r>
      <w:r>
        <w:t xml:space="preserve"> </w:t>
      </w:r>
      <w:hyperlink r:id="rId55">
        <w:r>
          <w:rPr>
            <w:rStyle w:val="Hyperlink"/>
          </w:rPr>
          <w:t xml:space="preserve">https://arxiv.org/abs/1808.02919</w:t>
        </w:r>
      </w:hyperlink>
      <w:r>
        <w:t xml:space="preserve">.</w:t>
      </w:r>
    </w:p>
    <w:bookmarkEnd w:id="56"/>
    <w:bookmarkStart w:id="58" w:name="ref-fournier2016spmf"/>
    <w:p>
      <w:pPr>
        <w:pStyle w:val="Bibliography"/>
      </w:pPr>
      <w:r>
        <w:t xml:space="preserve">Fournier-Viger, Philippe, Jerry Chun-Wei Lin, Antonio Gomariz, Ted Gueniche, Azadeh Soltani, Zhihong Deng, and Hoang Thanh Lam. 2016.</w:t>
      </w:r>
      <w:r>
        <w:t xml:space="preserve"> </w:t>
      </w:r>
      <w:r>
        <w:t xml:space="preserve">“The</w:t>
      </w:r>
      <w:r>
        <w:t xml:space="preserve"> </w:t>
      </w:r>
      <w:r>
        <w:t xml:space="preserve">SPMF</w:t>
      </w:r>
      <w:r>
        <w:t xml:space="preserve"> </w:t>
      </w:r>
      <w:r>
        <w:t xml:space="preserve">Open-Source Data Mining Library Version 2.”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 PKDD)</w:t>
      </w:r>
      <w:r>
        <w:t xml:space="preserve">, 36–40.</w:t>
      </w:r>
      <w:r>
        <w:t xml:space="preserve"> </w:t>
      </w:r>
      <w:hyperlink r:id="rId57">
        <w:r>
          <w:rPr>
            <w:rStyle w:val="Hyperlink"/>
          </w:rPr>
          <w:t xml:space="preserve">https://doi.org/10.1007/978-3-319-46131-1_8</w:t>
        </w:r>
      </w:hyperlink>
      <w:r>
        <w:t xml:space="preserve">.</w:t>
      </w:r>
    </w:p>
    <w:bookmarkEnd w:id="58"/>
    <w:bookmarkStart w:id="60" w:name="ref-han2000mining"/>
    <w:p>
      <w:pPr>
        <w:pStyle w:val="Bibliography"/>
      </w:pPr>
      <w:r>
        <w:t xml:space="preserve">Han, Jiawei, Jian Pei, and Yiwen Yin. 2000.</w:t>
      </w:r>
      <w:r>
        <w:t xml:space="preserve"> </w:t>
      </w:r>
      <w:r>
        <w:t xml:space="preserve">“Mining Frequent Patterns Without Candidate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2000 ACM SIGMOD International Conference on Management of Data</w:t>
      </w:r>
      <w:r>
        <w:t xml:space="preserve">, 1–12.</w:t>
      </w:r>
      <w:r>
        <w:t xml:space="preserve"> </w:t>
      </w:r>
      <w:hyperlink r:id="rId59">
        <w:r>
          <w:rPr>
            <w:rStyle w:val="Hyperlink"/>
          </w:rPr>
          <w:t xml:space="preserve">https://doi.org/10.1145/342009.335372</w:t>
        </w:r>
      </w:hyperlink>
      <w:r>
        <w:t xml:space="preserve">.</w:t>
      </w:r>
    </w:p>
    <w:bookmarkEnd w:id="60"/>
    <w:bookmarkStart w:id="62" w:name="ref-ifraz2024sequential"/>
    <w:p>
      <w:pPr>
        <w:pStyle w:val="Bibliography"/>
      </w:pPr>
      <w:r>
        <w:t xml:space="preserve">İfraz, Metin, and Süleyman Ersöz. 2024.</w:t>
      </w:r>
      <w:r>
        <w:t xml:space="preserve"> </w:t>
      </w:r>
      <w:r>
        <w:t xml:space="preserve">“Sequential Predictive Maintenance and Spare Parts Management with Data Mining Methods: A Case Study in Bus Fleet.”</w:t>
      </w:r>
      <w:r>
        <w:t xml:space="preserve"> </w:t>
      </w:r>
      <w:r>
        <w:rPr>
          <w:i/>
          <w:iCs/>
        </w:rPr>
        <w:t xml:space="preserve">The Journal of Supercomputing</w:t>
      </w:r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https://doi.org/10.1007/s11227-024-06297-1</w:t>
        </w:r>
      </w:hyperlink>
      <w:r>
        <w:t xml:space="preserve">.</w:t>
      </w:r>
    </w:p>
    <w:bookmarkEnd w:id="62"/>
    <w:bookmarkStart w:id="64" w:name="ref-alibaba2018trace"/>
    <w:p>
      <w:pPr>
        <w:pStyle w:val="Bibliography"/>
      </w:pPr>
      <w:r>
        <w:t xml:space="preserve">Lu, Chengzhi, Kejiang Ye, Guoyao Xu, Cheng-Zhong Xu, and Tongxin Bai. 2017.</w:t>
      </w:r>
      <w:r>
        <w:t xml:space="preserve"> </w:t>
      </w:r>
      <w:r>
        <w:t xml:space="preserve">“Imbalance in the Cloud: An Analysis on Alibaba Cluster Trace.”</w:t>
      </w:r>
      <w:r>
        <w:t xml:space="preserve"> </w:t>
      </w:r>
      <w:r>
        <w:rPr>
          <w:i/>
          <w:iCs/>
        </w:rPr>
        <w:t xml:space="preserve">2017 IEEE International Conference on Big Data (Big Data)</w:t>
      </w:r>
      <w:r>
        <w:t xml:space="preserve">, 2884–92.</w:t>
      </w:r>
      <w:r>
        <w:t xml:space="preserve"> </w:t>
      </w:r>
      <w:hyperlink r:id="rId63">
        <w:r>
          <w:rPr>
            <w:rStyle w:val="Hyperlink"/>
          </w:rPr>
          <w:t xml:space="preserve">https://doi.org/10.1109/BigData.2017.8258257</w:t>
        </w:r>
      </w:hyperlink>
      <w:r>
        <w:t xml:space="preserve">.</w:t>
      </w:r>
    </w:p>
    <w:bookmarkEnd w:id="64"/>
    <w:bookmarkStart w:id="66" w:name="ref-azurepdm"/>
    <w:p>
      <w:pPr>
        <w:pStyle w:val="Bibliography"/>
      </w:pPr>
      <w:r>
        <w:t xml:space="preserve">Microsoft. 2016.</w:t>
      </w:r>
      <w:r>
        <w:t xml:space="preserve"> </w:t>
      </w:r>
      <w:r>
        <w:t xml:space="preserve">“</w:t>
      </w:r>
      <w:r>
        <w:t xml:space="preserve">Azure AI Gallery Predictive Maintenance Sample</w:t>
      </w:r>
      <w:r>
        <w:t xml:space="preserve">.”</w:t>
      </w:r>
      <w:r>
        <w:t xml:space="preserve"> </w:t>
      </w:r>
      <w:r>
        <w:t xml:space="preserve">Kaggle mirror</w:t>
      </w:r>
      <w:r>
        <w:t xml:space="preserve"> </w:t>
      </w:r>
      <w:hyperlink r:id="rId65">
        <w:r>
          <w:rPr>
            <w:rStyle w:val="Hyperlink"/>
          </w:rPr>
          <w:t xml:space="preserve">https://www.kaggle.com/datasets/arnabbiswas1/microsoft-azure-predictive-maintenance</w:t>
        </w:r>
      </w:hyperlink>
      <w:r>
        <w:t xml:space="preserve">.</w:t>
      </w:r>
    </w:p>
    <w:bookmarkEnd w:id="66"/>
    <w:bookmarkStart w:id="68" w:name="ref-pei2001prefixspan"/>
    <w:p>
      <w:pPr>
        <w:pStyle w:val="Bibliography"/>
      </w:pPr>
      <w:r>
        <w:t xml:space="preserve">Pei, Jian, Jiawei Han, Behzad Mortazavi-Asl, Helen Pinto, Qiming Chen, Umeshwar Dayal, and Mei-Chun Hsu. 2001.</w:t>
      </w:r>
      <w:r>
        <w:t xml:space="preserve"> </w:t>
      </w:r>
      <w:r>
        <w:t xml:space="preserve">“</w:t>
      </w:r>
      <w:r>
        <w:t xml:space="preserve">PrefixSpan</w:t>
      </w:r>
      <w:r>
        <w:t xml:space="preserve">: Mining Sequential Patterns Efficiently by Prefix-Projected Pattern Growth.”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17th International Conference on Data Engineering (ICDE)</w:t>
      </w:r>
      <w:r>
        <w:t xml:space="preserve">, 215–24.</w:t>
      </w:r>
      <w:r>
        <w:t xml:space="preserve"> </w:t>
      </w:r>
      <w:hyperlink r:id="rId67">
        <w:r>
          <w:rPr>
            <w:rStyle w:val="Hyperlink"/>
          </w:rPr>
          <w:t xml:space="preserve">https://doi.org/10.1109/ICDE.2001.914830</w:t>
        </w:r>
      </w:hyperlink>
      <w:r>
        <w:t xml:space="preserve">.</w:t>
      </w:r>
    </w:p>
    <w:bookmarkEnd w:id="68"/>
    <w:bookmarkStart w:id="70" w:name="ref-raschka2018mlxtend"/>
    <w:p>
      <w:pPr>
        <w:pStyle w:val="Bibliography"/>
      </w:pPr>
      <w:r>
        <w:t xml:space="preserve">Raschka, Sebastian. 2018.</w:t>
      </w:r>
      <w:r>
        <w:t xml:space="preserve"> </w:t>
      </w:r>
      <w:r>
        <w:t xml:space="preserve">“</w:t>
      </w:r>
      <w:r>
        <w:t xml:space="preserve">MLxtend</w:t>
      </w:r>
      <w:r>
        <w:t xml:space="preserve">: Providing Machine Learning and Data Science Utilities and Extensions to</w:t>
      </w:r>
      <w:r>
        <w:t xml:space="preserve"> </w:t>
      </w:r>
      <w:r>
        <w:t xml:space="preserve">Python</w:t>
      </w:r>
      <w:r>
        <w:t xml:space="preserve">’s Scientific Computing Stack.”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3 (24): 638.</w:t>
      </w:r>
      <w:r>
        <w:t xml:space="preserve"> </w:t>
      </w:r>
      <w:hyperlink r:id="rId69">
        <w:r>
          <w:rPr>
            <w:rStyle w:val="Hyperlink"/>
          </w:rPr>
          <w:t xml:space="preserve">https://doi.org/10.21105/joss.00638</w:t>
        </w:r>
      </w:hyperlink>
      <w:r>
        <w:t xml:space="preserve">.</w:t>
      </w:r>
    </w:p>
    <w:bookmarkEnd w:id="70"/>
    <w:bookmarkStart w:id="72" w:name="ref-ren2020failure"/>
    <w:p>
      <w:pPr>
        <w:pStyle w:val="Bibliography"/>
      </w:pPr>
      <w:r>
        <w:t xml:space="preserve">Ren, Rui, Jinheng Li, Yan Yin, and Shuai Tian. 2021.</w:t>
      </w:r>
      <w:r>
        <w:t xml:space="preserve"> </w:t>
      </w:r>
      <w:r>
        <w:t xml:space="preserve">“Failure Prediction for Large-Scale Clusters Logs via Mining Frequent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Future of Information and Communication Conference (FICC)</w:t>
      </w:r>
      <w:r>
        <w:t xml:space="preserve">. Vol. 1385. Communications in Computer and Information Science. Springer.</w:t>
      </w:r>
      <w:r>
        <w:t xml:space="preserve"> </w:t>
      </w:r>
      <w:hyperlink r:id="rId71">
        <w:r>
          <w:rPr>
            <w:rStyle w:val="Hyperlink"/>
          </w:rPr>
          <w:t xml:space="preserve">https://doi.org/10.1007/978-981-16-1160-5_13</w:t>
        </w:r>
      </w:hyperlink>
      <w:r>
        <w:t xml:space="preserve">.</w:t>
      </w:r>
    </w:p>
    <w:bookmarkEnd w:id="72"/>
    <w:bookmarkEnd w:id="73"/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../diagnostics/azure_window_horizon_vs_events.png" TargetMode="External" /><Relationship Type="http://schemas.openxmlformats.org/officeDocument/2006/relationships/hyperlink" Id="rId33" Target="../results/figures/azure_itemset_vs_sequence_lift.png" TargetMode="External" /><Relationship Type="http://schemas.openxmlformats.org/officeDocument/2006/relationships/hyperlink" Id="rId41" Target="../results/figures/azure_sensitivity_min_support.png" TargetMode="External" /><Relationship Type="http://schemas.openxmlformats.org/officeDocument/2006/relationships/hyperlink" Id="rId35" Target="../results/figures/cross_dataset_predictive_comparison.png" TargetMode="External" /><Relationship Type="http://schemas.openxmlformats.org/officeDocument/2006/relationships/hyperlink" Id="rId39" Target="../results/tables/" TargetMode="External" /><Relationship Type="http://schemas.openxmlformats.org/officeDocument/2006/relationships/hyperlink" Id="rId55" Target="https://arxiv.org/abs/1808.02919" TargetMode="External" /><Relationship Type="http://schemas.openxmlformats.org/officeDocument/2006/relationships/hyperlink" Id="rId57" Target="https://doi.org/10.1007/978-3-319-46131-1_8" TargetMode="External" /><Relationship Type="http://schemas.openxmlformats.org/officeDocument/2006/relationships/hyperlink" Id="rId71" Target="https://doi.org/10.1007/978-981-16-1160-5_13" TargetMode="External" /><Relationship Type="http://schemas.openxmlformats.org/officeDocument/2006/relationships/hyperlink" Id="rId61" Target="https://doi.org/10.1007/s11227-024-06297-1" TargetMode="External" /><Relationship Type="http://schemas.openxmlformats.org/officeDocument/2006/relationships/hyperlink" Id="rId63" Target="https://doi.org/10.1109/BigData.2017.8258257" TargetMode="External" /><Relationship Type="http://schemas.openxmlformats.org/officeDocument/2006/relationships/hyperlink" Id="rId67" Target="https://doi.org/10.1109/ICDE.2001.914830" TargetMode="External" /><Relationship Type="http://schemas.openxmlformats.org/officeDocument/2006/relationships/hyperlink" Id="rId53" Target="https://doi.org/10.1111/j.2517-6161.1995.tb02031.x" TargetMode="External" /><Relationship Type="http://schemas.openxmlformats.org/officeDocument/2006/relationships/hyperlink" Id="rId59" Target="https://doi.org/10.1145/342009.335372" TargetMode="External" /><Relationship Type="http://schemas.openxmlformats.org/officeDocument/2006/relationships/hyperlink" Id="rId69" Target="https://doi.org/10.21105/joss.00638" TargetMode="External" /><Relationship Type="http://schemas.openxmlformats.org/officeDocument/2006/relationships/hyperlink" Id="rId51" Target="https://github.com/alibaba/clusterdata" TargetMode="External" /><Relationship Type="http://schemas.openxmlformats.org/officeDocument/2006/relationships/hyperlink" Id="rId65" Target="https://www.kaggle.com/datasets/arnabbiswas1/microsoft-azure-predictive-maintenance" TargetMode="External" /><Relationship Type="http://schemas.openxmlformats.org/officeDocument/2006/relationships/hyperlink" Id="rId49" Target="numbers_audit.md" TargetMode="External" /><Relationship Type="http://schemas.openxmlformats.org/officeDocument/2006/relationships/hyperlink" Id="rId48" Target="references.bi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diagnostics/azure_window_horizon_vs_events.png" TargetMode="External" /><Relationship Type="http://schemas.openxmlformats.org/officeDocument/2006/relationships/hyperlink" Id="rId33" Target="../results/figures/azure_itemset_vs_sequence_lift.png" TargetMode="External" /><Relationship Type="http://schemas.openxmlformats.org/officeDocument/2006/relationships/hyperlink" Id="rId41" Target="../results/figures/azure_sensitivity_min_support.png" TargetMode="External" /><Relationship Type="http://schemas.openxmlformats.org/officeDocument/2006/relationships/hyperlink" Id="rId35" Target="../results/figures/cross_dataset_predictive_comparison.png" TargetMode="External" /><Relationship Type="http://schemas.openxmlformats.org/officeDocument/2006/relationships/hyperlink" Id="rId39" Target="../results/tables/" TargetMode="External" /><Relationship Type="http://schemas.openxmlformats.org/officeDocument/2006/relationships/hyperlink" Id="rId55" Target="https://arxiv.org/abs/1808.02919" TargetMode="External" /><Relationship Type="http://schemas.openxmlformats.org/officeDocument/2006/relationships/hyperlink" Id="rId57" Target="https://doi.org/10.1007/978-3-319-46131-1_8" TargetMode="External" /><Relationship Type="http://schemas.openxmlformats.org/officeDocument/2006/relationships/hyperlink" Id="rId71" Target="https://doi.org/10.1007/978-981-16-1160-5_13" TargetMode="External" /><Relationship Type="http://schemas.openxmlformats.org/officeDocument/2006/relationships/hyperlink" Id="rId61" Target="https://doi.org/10.1007/s11227-024-06297-1" TargetMode="External" /><Relationship Type="http://schemas.openxmlformats.org/officeDocument/2006/relationships/hyperlink" Id="rId63" Target="https://doi.org/10.1109/BigData.2017.8258257" TargetMode="External" /><Relationship Type="http://schemas.openxmlformats.org/officeDocument/2006/relationships/hyperlink" Id="rId67" Target="https://doi.org/10.1109/ICDE.2001.914830" TargetMode="External" /><Relationship Type="http://schemas.openxmlformats.org/officeDocument/2006/relationships/hyperlink" Id="rId53" Target="https://doi.org/10.1111/j.2517-6161.1995.tb02031.x" TargetMode="External" /><Relationship Type="http://schemas.openxmlformats.org/officeDocument/2006/relationships/hyperlink" Id="rId59" Target="https://doi.org/10.1145/342009.335372" TargetMode="External" /><Relationship Type="http://schemas.openxmlformats.org/officeDocument/2006/relationships/hyperlink" Id="rId69" Target="https://doi.org/10.21105/joss.00638" TargetMode="External" /><Relationship Type="http://schemas.openxmlformats.org/officeDocument/2006/relationships/hyperlink" Id="rId51" Target="https://github.com/alibaba/clusterdata" TargetMode="External" /><Relationship Type="http://schemas.openxmlformats.org/officeDocument/2006/relationships/hyperlink" Id="rId65" Target="https://www.kaggle.com/datasets/arnabbiswas1/microsoft-azure-predictive-maintenance" TargetMode="External" /><Relationship Type="http://schemas.openxmlformats.org/officeDocument/2006/relationships/hyperlink" Id="rId49" Target="numbers_audit.md" TargetMode="External" /><Relationship Type="http://schemas.openxmlformats.org/officeDocument/2006/relationships/hyperlink" Id="rId48" Target="references.bi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Frequent Failure Sequences in Operational Event Logs</dc:title>
  <dc:creator/>
  <cp:keywords/>
  <dcterms:created xsi:type="dcterms:W3CDTF">2026-08-28T18:56:43Z</dcterms:created>
  <dcterms:modified xsi:type="dcterms:W3CDTF">2026-08-28T18:56:43Z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date">
    <vt:lpwstr>2026-08-28</vt:lpwstr>
  </property>
</Properties>
</file>