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Senvion</w:t>
      </w:r>
      <w:r>
        <w:t xml:space="preserve"> </w:t>
      </w:r>
      <w:r>
        <w:t xml:space="preserve">wind-farm alarm logs (Kelmarsh, Penmanshiel), Azure PdM (synthetic),</w:t>
      </w:r>
      <w:r>
        <w:t xml:space="preserve"> </w:t>
      </w:r>
      <w:r>
        <w:t xml:space="preserve">Alibaba v2018 (production cloud), LLNL Blue Gene/L syslogs (HPC), and</w:t>
      </w:r>
      <w:r>
        <w:t xml:space="preserve"> </w:t>
      </w:r>
      <w:r>
        <w:t xml:space="preserve">SCANIA Component X (automotive). Every signature is validated on an</w:t>
      </w:r>
      <w:r>
        <w:t xml:space="preserve"> </w:t>
      </w:r>
      <w:r>
        <w:t xml:space="preserve">entity-disjoint 50/50 discovery/inference split with</w:t>
      </w:r>
      <w:r>
        <w:t xml:space="preserve"> </w:t>
      </w:r>
      <w:r>
        <w:t xml:space="preserve">Benjamini-Yekutieli FDR control on the inference half, and the</w:t>
      </w:r>
      <w:r>
        <w:t xml:space="preserve"> </w:t>
      </w:r>
      <w:r>
        <w:t xml:space="preserve">right-censored SCANIA trace is scored by matched conditional logistic</w:t>
      </w:r>
      <w:r>
        <w:t xml:space="preserve"> </w:t>
      </w:r>
      <w:r>
        <w:t xml:space="preserve">regression stratified by risk set. The central empirical result is a</w:t>
      </w:r>
      <w:r>
        <w:t xml:space="preserve"> </w:t>
      </w:r>
      <w:r>
        <w:t xml:space="preserve">replicated physical cascade:</w:t>
      </w:r>
      <w:r>
        <w:t xml:space="preserve"> </w:t>
      </w:r>
      <w:r>
        <w:rPr>
          <w:b/>
          <w:bCs/>
        </w:rPr>
        <w:t xml:space="preserve">two independent wind farms of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rotor size and site surface the same zero-control cascade signatures</w:t>
      </w:r>
      <w:r>
        <w:rPr>
          <w:b/>
          <w:bCs/>
        </w:rPr>
        <w:t xml:space="preserve"> </w:t>
      </w:r>
      <w:r>
        <w:rPr>
          <w:b/>
          <w:bCs/>
        </w:rPr>
        <w:t xml:space="preserve">at inference-half lift 4.00</w:t>
      </w:r>
      <w:r>
        <w:t xml:space="preserve">, selected in every repeated split and</w:t>
      </w:r>
      <w:r>
        <w:t xml:space="preserve"> </w:t>
      </w:r>
      <w:r>
        <w:t xml:space="preserve">prospectively detecting 95% of Kelmarsh forced outages at a median</w:t>
      </w:r>
      <w:r>
        <w:t xml:space="preserve"> </w:t>
      </w:r>
      <w:r>
        <w:t xml:space="preserve">3.3-hour lead. A decomposition of held-out prediction into event</w:t>
      </w:r>
      <w:r>
        <w:t xml:space="preserve"> </w:t>
      </w:r>
      <w:r>
        <w:t xml:space="preserve">presence, multiplicity, and order then places the two cloud/maintenance</w:t>
      </w:r>
      <w:r>
        <w:t xml:space="preserve"> </w:t>
      </w:r>
      <w:r>
        <w:t xml:space="preserve">traces in opposite corners: on Azure the distinguishing increment is</w:t>
      </w:r>
      <w:r>
        <w:t xml:space="preserve"> </w:t>
      </w:r>
      <w:r>
        <w:t xml:space="preserve">event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(+0.032, bootstrap CI excluding zero) while</w:t>
      </w:r>
      <w:r>
        <w:t xml:space="preserve"> </w:t>
      </w:r>
      <w:r>
        <w:t xml:space="preserve">multiplicity adds nothing; on Alibaba it is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(+0.029,</w:t>
      </w:r>
      <w:r>
        <w:t xml:space="preserve"> </w:t>
      </w:r>
      <w:r>
        <w:t xml:space="preserve">excluding zero) while exact order adds nothing. SCANIA yields</w:t>
      </w:r>
      <w:r>
        <w:t xml:space="preserve"> </w:t>
      </w:r>
      <w:r>
        <w:t xml:space="preserve">interpretable per-truck hazard ratios (74 of 200 discovery-selected</w:t>
      </w:r>
      <w:r>
        <w:t xml:space="preserve"> </w:t>
      </w:r>
      <w:r>
        <w:t xml:space="preserve">patterns survive the FDR; top HR 1.60), and BGL is a mapped boundary</w:t>
      </w:r>
      <w:r>
        <w:t xml:space="preserve"> </w:t>
      </w:r>
      <w:r>
        <w:t xml:space="preserve">case with no deployable non-alert precursor. Code, splits, and all</w:t>
      </w:r>
      <w:r>
        <w:t xml:space="preserve"> </w:t>
      </w:r>
      <w:r>
        <w:t xml:space="preserve">result artefacts are released.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decomposition of pattern signal into event presence,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multiplicity, and order</w:t>
      </w:r>
      <w:r>
        <w:t xml:space="preserve">, measured directly in held-out</w:t>
      </w:r>
      <w:r>
        <w:t xml:space="preserve"> </w:t>
      </w:r>
      <w:r>
        <w:t xml:space="preserve">prediction with entity-bootstrap confidence intervals, so that a</w:t>
      </w:r>
      <w:r>
        <w:t xml:space="preserve"> </w:t>
      </w:r>
      <w:r>
        <w:t xml:space="preserve">repeated event folded into one itemset cannot be mistaken for an</w:t>
      </w:r>
      <w:r>
        <w:t xml:space="preserve"> </w:t>
      </w:r>
      <w:r>
        <w:t xml:space="preserve">ordering effect. The decomposition places the two positive</w:t>
      </w:r>
      <w:r>
        <w:t xml:space="preserve"> </w:t>
      </w:r>
      <w:r>
        <w:t xml:space="preserve">cloud/maintenance traces in opposite corners (Azure carries an</w:t>
      </w:r>
      <w:r>
        <w:t xml:space="preserve"> </w:t>
      </w:r>
      <w:r>
        <w:t xml:space="preserve">order increment, Alibaba a multiplicity increment), and supports a</w:t>
      </w:r>
      <w:r>
        <w:t xml:space="preserve"> </w:t>
      </w:r>
      <w:r>
        <w:t xml:space="preserve">downstream predictive evaluation against event-count, presence,</w:t>
      </w:r>
      <w:r>
        <w:t xml:space="preserve"> </w:t>
      </w:r>
      <w:r>
        <w:t xml:space="preserve">count, recency, n-gram, and gradient-boosted baselines on a</w:t>
      </w:r>
      <w:r>
        <w:t xml:space="preserve"> </w:t>
      </w:r>
      <w:r>
        <w:t xml:space="preserve">temporally-held-out split.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the alarm-code progression is consistent with a</w:t>
      </w:r>
      <w:r>
        <w:t xml:space="preserve"> </w:t>
      </w:r>
      <w:r>
        <w:t xml:space="preserve">physical fault cascade, in which intermediate warning codes precede</w:t>
      </w:r>
      <w:r>
        <w:t xml:space="preserve"> </w:t>
      </w:r>
      <w:r>
        <w:t xml:space="preserve">a specific alarm that terminates as a Forced outage. We report the</w:t>
      </w:r>
      <w:r>
        <w:t xml:space="preserve"> </w:t>
      </w:r>
      <w:r>
        <w:t xml:space="preserve">statistical enrichment and the code semantics; the underlying wear</w:t>
      </w:r>
      <w:r>
        <w:t xml:space="preserve"> </w:t>
      </w:r>
      <w:r>
        <w:t xml:space="preserve">mechanism is an engineering interpretation, not something the logs</w:t>
      </w:r>
      <w:r>
        <w:t xml:space="preserve"> </w:t>
      </w:r>
      <w:r>
        <w:t xml:space="preserve">alone establish.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more conservative on this data: a top pattern that</w:t>
      </w:r>
      <w:r>
        <w:t xml:space="preserve"> </w:t>
      </w:r>
      <w:r>
        <w:t xml:space="preserve">scores MH-OR 2.72 [2.10, 3.51] under pooling scores a matched HR in</w:t>
      </w:r>
      <w:r>
        <w:t xml:space="preserve"> </w:t>
      </w:r>
      <w:r>
        <w:t xml:space="preserve">the 1.6-1.7 range under conditional logistic, and the honest</w:t>
      </w:r>
      <w:r>
        <w:t xml:space="preserve"> </w:t>
      </w:r>
      <w:r>
        <w:t xml:space="preserve">inference-half estimate (§6.10) is a top HR of 1.60 [1.35, 1.91].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versus itemset lift 1.37 for the binary presence of</w:t>
      </w:r>
      <w:r>
        <w:t xml:space="preserve"> </w:t>
      </w:r>
      <w:r>
        <w:rPr>
          <w:rStyle w:val="VerbatimChar"/>
        </w:rPr>
        <w:t xml:space="preserve">{M}</w:t>
      </w:r>
      <w:r>
        <w:t xml:space="preserve">:</w:t>
      </w:r>
      <w:r>
        <w:t xml:space="preserve"> </w:t>
      </w:r>
      <w:r>
        <w:t xml:space="preserve">three consecutive Map completions predict a subsequent failure much</w:t>
      </w:r>
      <w:r>
        <w:t xml:space="preserve"> </w:t>
      </w:r>
      <w:r>
        <w:t xml:space="preserve">more strongly than the mere presence of a Map event. This is a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effect, not an ordering effect: the binary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discards the repeat count, and the count-preserving null of §6.3</w:t>
      </w:r>
      <w:r>
        <w:t xml:space="preserve"> </w:t>
      </w:r>
      <w:r>
        <w:t xml:space="preserve">plus the decomposition of Table 3 confirm that the exact within-window</w:t>
      </w:r>
      <w:r>
        <w:t xml:space="preserve"> </w:t>
      </w:r>
      <w:r>
        <w:t xml:space="preserve">order of the three Map events adds no further signal on Alibaba (order</w:t>
      </w:r>
      <w:r>
        <w:t xml:space="preserve"> </w:t>
      </w:r>
      <w:r>
        <w:t xml:space="preserve">increment -0.006, CI [-0.022, 0.013]).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presence-multiplicity-or-order"/>
    <w:p>
      <w:pPr>
        <w:pStyle w:val="Heading3"/>
      </w:pPr>
      <w:r>
        <w:t xml:space="preserve">6.3 Presence, multiplicity, or order</w:t>
      </w:r>
    </w:p>
    <w:p>
      <w:pPr>
        <w:pStyle w:val="FirstParagraph"/>
      </w:pPr>
      <w:r>
        <w:t xml:space="preserve">A mined pattern can carry predictive signal through three distinct</w:t>
      </w:r>
      <w:r>
        <w:t xml:space="preserve"> </w:t>
      </w:r>
      <w:r>
        <w:t xml:space="preserve">channels: which event types are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(a set), how many times</w:t>
      </w:r>
      <w:r>
        <w:t xml:space="preserve"> </w:t>
      </w:r>
      <w:r>
        <w:t xml:space="preserve">each occurs (</w:t>
      </w:r>
      <w:r>
        <w:rPr>
          <w:b/>
          <w:bCs/>
        </w:rPr>
        <w:t xml:space="preserve">multiplicity</w:t>
      </w:r>
      <w:r>
        <w:t xml:space="preserve">, a multiset), and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</w:t>
      </w:r>
      <w:r>
        <w:t xml:space="preserve"> </w:t>
      </w:r>
      <w:r>
        <w:t xml:space="preserve">they occur (a sequence). The count-preserving null of §4.7 already</w:t>
      </w:r>
      <w:r>
        <w:t xml:space="preserve"> </w:t>
      </w:r>
      <w:r>
        <w:t xml:space="preserve">isolates order at the level of individual pattern lift; here we</w:t>
      </w:r>
      <w:r>
        <w:t xml:space="preserve"> </w:t>
      </w:r>
      <w:r>
        <w:t xml:space="preserve">measure all three channels directly in held-out predictive AUROC, so</w:t>
      </w:r>
      <w:r>
        <w:t xml:space="preserve"> </w:t>
      </w:r>
      <w:r>
        <w:t xml:space="preserve">that a</w:t>
      </w:r>
      <w:r>
        <w:t xml:space="preserve"> </w:t>
      </w:r>
      <w:r>
        <w:t xml:space="preserve">“</w:t>
      </w:r>
      <w:r>
        <w:t xml:space="preserve">sequence helps</w:t>
      </w:r>
      <w:r>
        <w:t xml:space="preserve">”</w:t>
      </w:r>
      <w:r>
        <w:t xml:space="preserve"> </w:t>
      </w:r>
      <w:r>
        <w:t xml:space="preserve">claim cannot be an artifact of repeated events</w:t>
      </w:r>
      <w:r>
        <w:t xml:space="preserve"> </w:t>
      </w:r>
      <w:r>
        <w:t xml:space="preserve">being folded into one itemset. On the temporal test split of each</w:t>
      </w:r>
      <w:r>
        <w:t xml:space="preserve"> </w:t>
      </w:r>
      <w:r>
        <w:t xml:space="preserve">trace we build nested representations from the same windows with the</w:t>
      </w:r>
      <w:r>
        <w:t xml:space="preserve"> </w:t>
      </w:r>
      <w:r>
        <w:t xml:space="preserve">vocabulary fixed on the training period: binary presence (set), event</w:t>
      </w:r>
      <w:r>
        <w:t xml:space="preserve"> </w:t>
      </w:r>
      <w:r>
        <w:t xml:space="preserve">counts (multiset), and binary adjacent bigrams (order), each scored by</w:t>
      </w:r>
      <w:r>
        <w:t xml:space="preserve"> </w:t>
      </w:r>
      <w:r>
        <w:t xml:space="preserve">L2 logistic regression, and read off two incremental effects with</w:t>
      </w:r>
      <w:r>
        <w:t xml:space="preserve"> </w:t>
      </w:r>
      <w:r>
        <w:t xml:space="preserve">entity-bootstrap 95% CIs (resampling test turbines/machines/racks,</w:t>
      </w:r>
      <w:r>
        <w:t xml:space="preserve"> </w:t>
      </w:r>
      <w:r>
        <w:t xml:space="preserve">B = 200): the</w:t>
      </w:r>
      <w:r>
        <w:t xml:space="preserve"> </w:t>
      </w:r>
      <w:r>
        <w:rPr>
          <w:b/>
          <w:bCs/>
        </w:rPr>
        <w:t xml:space="preserve">multiplicity increment</w:t>
      </w:r>
      <w:r>
        <w:t xml:space="preserve"> </w:t>
      </w:r>
      <w:r>
        <w:t xml:space="preserve">(counts over presence)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increment</w:t>
      </w:r>
      <w:r>
        <w:t xml:space="preserve"> </w:t>
      </w:r>
      <w:r>
        <w:t xml:space="preserve">(bigrams over counts) (Table 3).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Presence / multiplicity / order decomposition of held-out AUROC, with entity-bootstrap 95% CIs. A component whose interval excludes zero is a distinguishable channel of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Presence / multiplicity / order decomposition of held-out AUROC, with entity-bootstrap 95% CIs. A component whose interval excludes zero is a distinguishable channel of signal."/>
      </w:tblPr>
      <w:tblGrid>
        <w:gridCol w:w="1063"/>
        <w:gridCol w:w="2009"/>
        <w:gridCol w:w="2837"/>
        <w:gridCol w:w="2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presence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 increment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increment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+0.301 [0.258, 0.332]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 [-0.015, 0.034]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+0.032 [0.003, 0.061]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+0.149 [0.128, 0.171]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+0.029 [0.018, 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 [-0.022, 0.013]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[-0.032, -0.001]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 [-0.001, 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+0.024 [0.002, 0.044]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+0.062 [0.028, 0.097]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 [0.007, 0.036]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 [-0.109, -0.037]</w:t>
            </w:r>
          </w:p>
        </w:tc>
      </w:tr>
    </w:tbl>
    <w:p>
      <w:pPr>
        <w:pStyle w:val="BodyText"/>
      </w:pPr>
      <w:r>
        <w:t xml:space="preserve">On both positive traces the largest lever is event</w:t>
      </w:r>
      <w:r>
        <w:t xml:space="preserve"> </w:t>
      </w:r>
      <w:r>
        <w:rPr>
          <w:b/>
          <w:bCs/>
        </w:rPr>
        <w:t xml:space="preserve">presence</w:t>
      </w:r>
      <w:r>
        <w:t xml:space="preserve"> </w:t>
      </w:r>
      <w:r>
        <w:t xml:space="preserve">(which</w:t>
      </w:r>
      <w:r>
        <w:t xml:space="preserve"> </w:t>
      </w:r>
      <w:r>
        <w:t xml:space="preserve">event types occur at all: +0.30 on Azure, +0.15 on Alibaba). What</w:t>
      </w:r>
      <w:r>
        <w:t xml:space="preserve"> </w:t>
      </w:r>
      <w:r>
        <w:t xml:space="preserve">distinguishes them is the second channel.</w:t>
      </w:r>
      <w:r>
        <w:t xml:space="preserve"> </w:t>
      </w:r>
      <w:r>
        <w:rPr>
          <w:b/>
          <w:bCs/>
        </w:rPr>
        <w:t xml:space="preserve">On Azure the order</w:t>
      </w:r>
      <w:r>
        <w:rPr>
          <w:b/>
          <w:bCs/>
        </w:rPr>
        <w:t xml:space="preserve"> </w:t>
      </w:r>
      <w:r>
        <w:rPr>
          <w:b/>
          <w:bCs/>
        </w:rPr>
        <w:t xml:space="preserve">increment is +0.032 with a CI that excludes zero while the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does not; on Alibaba the reverse holds, a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of +0.029 excluding zero and an order 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indistinguishable from zero</w:t>
      </w:r>
      <w:r>
        <w:t xml:space="preserve"> </w:t>
      </w:r>
      <w:r>
        <w:t xml:space="preserve">(Figure 6). The two positive traces</w:t>
      </w:r>
      <w:r>
        <w:t xml:space="preserve"> </w:t>
      </w:r>
      <w:r>
        <w:t xml:space="preserve">therefore occupy opposite corners of the decomposition: Azure carries</w:t>
      </w:r>
      <w:r>
        <w:t xml:space="preserve"> </w:t>
      </w:r>
      <w:r>
        <w:t xml:space="preserve">a genuine ordering signal, Alibaba a multiplicity signal that binary</w:t>
      </w:r>
      <w:r>
        <w:t xml:space="preserve"> </w:t>
      </w:r>
      <w:r>
        <w:t xml:space="preserve">itemsets discard but exact order does not recover. This resolves the</w:t>
      </w:r>
      <w:r>
        <w:t xml:space="preserve"> </w:t>
      </w:r>
      <w:r>
        <w:t xml:space="preserve">apparent tension with the count-preserving lift analysis below: the</w:t>
      </w:r>
      <w:r>
        <w:t xml:space="preserve"> </w:t>
      </w:r>
      <w:r>
        <w:t xml:space="preserve">Alibaba sequence advantage is repeated-event information, not exact</w:t>
      </w:r>
      <w:r>
        <w:t xml:space="preserve"> </w:t>
      </w:r>
      <w:r>
        <w:t xml:space="preserve">within-window order. On the two boundary traces neither increment</w:t>
      </w:r>
      <w:r>
        <w:t xml:space="preserve"> </w:t>
      </w:r>
      <w:r>
        <w:t xml:space="preserve">combines with a presence effect large enough to lift prediction off</w:t>
      </w:r>
      <w:r>
        <w:t xml:space="preserve"> </w:t>
      </w:r>
      <w:r>
        <w:t xml:space="preserve">the floor.</w:t>
      </w:r>
    </w:p>
    <w:p>
      <w:pPr>
        <w:pStyle w:val="BodyText"/>
      </w:pPr>
      <w:r>
        <w:t xml:space="preserve">Against non-degenerate baselines the mined-pattern features do not win</w:t>
      </w:r>
      <w:r>
        <w:t xml:space="preserve"> </w:t>
      </w:r>
      <w:r>
        <w:t xml:space="preserve">on raw accuracy, and we do not claim they do.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</w:t>
      </w:r>
      <w:r>
        <w:t xml:space="preserve"> </w:t>
      </w:r>
      <w:r>
        <w:t xml:space="preserve">gradient-boosted model on event counts and a binary-bigram logistic</w:t>
      </w:r>
      <w:r>
        <w:t xml:space="preserve"> </w:t>
      </w:r>
      <w:r>
        <w:t xml:space="preserve">regression both reach AUROC 0.845, above the mined-itemset features</w:t>
      </w:r>
      <w:r>
        <w:t xml:space="preserve"> </w:t>
      </w:r>
      <w:r>
        <w:t xml:space="preserve">(0.778);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the gradient-boosted count model reaches</w:t>
      </w:r>
      <w:r>
        <w:t xml:space="preserve"> </w:t>
      </w:r>
      <w:r>
        <w:t xml:space="preserve">0.883, well above the mined-itemset features (0.695). The recency</w:t>
      </w:r>
      <w:r>
        <w:t xml:space="preserve"> </w:t>
      </w:r>
      <w:r>
        <w:t xml:space="preserve">baseline (event count plus window time span) stays near 0.57-0.70. The</w:t>
      </w:r>
      <w:r>
        <w:t xml:space="preserve"> </w:t>
      </w:r>
      <w:r>
        <w:t xml:space="preserve">value of the mined patterns is therefore not that they maximise a</w:t>
      </w:r>
      <w:r>
        <w:t xml:space="preserve"> </w:t>
      </w:r>
      <w:r>
        <w:t xml:space="preserve">held-out score, which a count-vector gradient-boosted model already</w:t>
      </w:r>
      <w:r>
        <w:t xml:space="preserve"> </w:t>
      </w:r>
      <w:r>
        <w:t xml:space="preserve">does, but that they are human-readable, individually</w:t>
      </w:r>
      <w:r>
        <w:t xml:space="preserve"> </w:t>
      </w:r>
      <w:r>
        <w:t xml:space="preserve">significance-tested signatures that occupy a specific point on the</w:t>
      </w:r>
      <w:r>
        <w:t xml:space="preserve"> </w:t>
      </w:r>
      <w:r>
        <w:t xml:space="preserve">accuracy-interpretability frontier and expose the presence /</w:t>
      </w:r>
      <w:r>
        <w:t xml:space="preserve"> </w:t>
      </w:r>
      <w:r>
        <w:t xml:space="preserve">multiplicity / order structure a black-box score hides.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</w:r>
    </w:p>
    <w:p>
      <w:pPr>
        <w:pStyle w:val="BodyText"/>
      </w:pPr>
      <w:r>
        <w:t xml:space="preserve">The count-preserving comparator of §4.7 isolates the pure ordering</w:t>
      </w:r>
      <w:r>
        <w:t xml:space="preserve"> </w:t>
      </w:r>
      <w:r>
        <w:t xml:space="preserve">contribution at the level of individual pattern lift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</w:t>
      </w:r>
      <w:r>
        <w:t xml:space="preserve"> </w:t>
      </w:r>
      <w:r>
        <w:t xml:space="preserve">Top-20 sequences per horizon (Table 4):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7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7.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6).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Cluster-aware validation.</w:t>
      </w:r>
      <w:r>
        <w:t xml:space="preserve"> </w:t>
      </w:r>
      <w:r>
        <w:t xml:space="preserve">Each wind farm has only a handful of</w:t>
      </w:r>
      <w:r>
        <w:t xml:space="preserve"> </w:t>
      </w:r>
      <w:r>
        <w:t xml:space="preserve">turbines, so the hundreds of windows they generate are clustered and</w:t>
      </w:r>
      <w:r>
        <w:t xml:space="preserve"> </w:t>
      </w:r>
      <w:r>
        <w:t xml:space="preserve">the window-level hypergeometric q-values overstate the population-level</w:t>
      </w:r>
      <w:r>
        <w:t xml:space="preserve"> </w:t>
      </w:r>
      <w:r>
        <w:t xml:space="preserve">evidence. We therefore validate the precursor signatures (pure warning</w:t>
      </w:r>
      <w:r>
        <w:t xml:space="preserve"> </w:t>
      </w:r>
      <w:r>
        <w:t xml:space="preserve">and info-to-stop patterns, with prior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tokens</w:t>
      </w:r>
      <w:r>
        <w:t xml:space="preserve"> </w:t>
      </w:r>
      <w:r>
        <w:t xml:space="preserve">excluded) with two entity-respecting tests on the inference half. A</w:t>
      </w:r>
      <w:r>
        <w:t xml:space="preserve"> </w:t>
      </w:r>
      <w:r>
        <w:rPr>
          <w:b/>
          <w:bCs/>
        </w:rPr>
        <w:t xml:space="preserve">within-turbine label permutation</w:t>
      </w:r>
      <w:r>
        <w:t xml:space="preserve"> </w:t>
      </w:r>
      <w:r>
        <w:t xml:space="preserve">(2,000 permutations that shuffle</w:t>
      </w:r>
      <w:r>
        <w:t xml:space="preserve"> </w:t>
      </w:r>
      <w:r>
        <w:t xml:space="preserve">the failure/control label within each turbine, preserving its clustering</w:t>
      </w:r>
      <w:r>
        <w:t xml:space="preserve"> </w:t>
      </w:r>
      <w:r>
        <w:t xml:space="preserve">and case/control counts) leaves every one of the top 12 precursor</w:t>
      </w:r>
      <w:r>
        <w:t xml:space="preserve"> </w:t>
      </w:r>
      <w:r>
        <w:t xml:space="preserve">signatures significant on both farms after BY correction (permutation</w:t>
      </w:r>
      <w:r>
        <w:t xml:space="preserve"> </w:t>
      </w:r>
      <w:r>
        <w:t xml:space="preserve">q = 0.0016, the floor at 2,000 permutations). A</w:t>
      </w:r>
      <w:r>
        <w:t xml:space="preserve"> </w:t>
      </w:r>
      <w:r>
        <w:rPr>
          <w:b/>
          <w:bCs/>
        </w:rPr>
        <w:t xml:space="preserve">leave-one-turbine-out</w:t>
      </w:r>
      <w:r>
        <w:t xml:space="preserve"> </w:t>
      </w:r>
      <w:r>
        <w:t xml:space="preserve">check finds every one of those signatures still enriched in all held-out</w:t>
      </w:r>
      <w:r>
        <w:t xml:space="preserve"> </w:t>
      </w:r>
      <w:r>
        <w:t xml:space="preserve">folds (3/3 turbines on Kelmarsh, 5/5 on Penmanshiel). Cross-turbine</w:t>
      </w:r>
      <w:r>
        <w:t xml:space="preserve"> </w:t>
      </w:r>
      <w:r>
        <w:t xml:space="preserve">consistency, not a small window-level p-value, is the load-bearing</w:t>
      </w:r>
      <w:r>
        <w:t xml:space="preserve"> </w:t>
      </w:r>
      <w:r>
        <w:t xml:space="preserve">evidence here.</w:t>
      </w:r>
    </w:p>
    <w:p>
      <w:pPr>
        <w:pStyle w:val="BodyText"/>
      </w:pPr>
      <w:r>
        <w:rPr>
          <w:b/>
          <w:bCs/>
        </w:rPr>
        <w:t xml:space="preserve">Prospective alarm replay.</w:t>
      </w:r>
      <w:r>
        <w:t xml:space="preserve"> </w:t>
      </w:r>
      <w:r>
        <w:t xml:space="preserve">To measure deployment value directly</w:t>
      </w:r>
      <w:r>
        <w:t xml:space="preserve"> </w:t>
      </w:r>
      <w:r>
        <w:t xml:space="preserve">rather than infer it from an assumed base rate, we replay each turbine</w:t>
      </w:r>
      <w:r>
        <w:t xml:space="preserve"> </w:t>
      </w:r>
      <w:r>
        <w:t xml:space="preserve">chronologically. A precursor rule (the non-terminal codes whose firing</w:t>
      </w:r>
      <w:r>
        <w:t xml:space="preserve"> </w:t>
      </w:r>
      <w:r>
        <w:t xml:space="preserve">is followed by a forced outage within 24h at more than three times the</w:t>
      </w:r>
      <w:r>
        <w:t xml:space="preserve"> </w:t>
      </w:r>
      <w:r>
        <w:t xml:space="preserve">per-firing base rate) is learned only from the other turbines, then</w:t>
      </w:r>
      <w:r>
        <w:t xml:space="preserve"> </w:t>
      </w:r>
      <w:r>
        <w:t xml:space="preserve">applied to the held-out turbine’s real event stream with a 24h alarm</w:t>
      </w:r>
      <w:r>
        <w:t xml:space="preserve"> </w:t>
      </w:r>
      <w:r>
        <w:t xml:space="preserve">cooldown; an alarm is a true positive if a forced outage follows within</w:t>
      </w:r>
      <w:r>
        <w:t xml:space="preserve"> </w:t>
      </w:r>
      <w:r>
        <w:t xml:space="preserve">24h. The two farms occupy two operating points. On</w:t>
      </w:r>
      <w:r>
        <w:t xml:space="preserve"> </w:t>
      </w:r>
      <w:r>
        <w:rPr>
          <w:b/>
          <w:bCs/>
        </w:rPr>
        <w:t xml:space="preserve">Kelmarsh the rule</w:t>
      </w:r>
      <w:r>
        <w:rPr>
          <w:b/>
          <w:bCs/>
        </w:rPr>
        <w:t xml:space="preserve"> </w:t>
      </w:r>
      <w:r>
        <w:rPr>
          <w:b/>
          <w:bCs/>
        </w:rPr>
        <w:t xml:space="preserve">detects 457 of 482 forced outages (recall 0.95) at a median lead of</w:t>
      </w:r>
      <w:r>
        <w:rPr>
          <w:b/>
          <w:bCs/>
        </w:rPr>
        <w:t xml:space="preserve"> </w:t>
      </w:r>
      <w:r>
        <w:rPr>
          <w:b/>
          <w:bCs/>
        </w:rPr>
        <w:t xml:space="preserve">3.3 hours</w:t>
      </w:r>
      <w:r>
        <w:t xml:space="preserve"> </w:t>
      </w:r>
      <w:r>
        <w:t xml:space="preserve">(68% of detections at least 1h early, 43% at least 6h),</w:t>
      </w:r>
      <w:r>
        <w:t xml:space="preserve"> </w:t>
      </w:r>
      <w:r>
        <w:t xml:space="preserve">at precision 0.20 and 2.7 false alarms per turbine-month. On</w:t>
      </w:r>
      <w:r>
        <w:t xml:space="preserve"> </w:t>
      </w:r>
      <w:r>
        <w:rPr>
          <w:b/>
          <w:bCs/>
        </w:rPr>
        <w:t xml:space="preserve">Penmanshiel it runs at precision 0.78 and 0.31 false alarms per</w:t>
      </w:r>
      <w:r>
        <w:rPr>
          <w:b/>
          <w:bCs/>
        </w:rPr>
        <w:t xml:space="preserve"> </w:t>
      </w:r>
      <w:r>
        <w:rPr>
          <w:b/>
          <w:bCs/>
        </w:rPr>
        <w:t xml:space="preserve">turbine-month</w:t>
      </w:r>
      <w:r>
        <w:t xml:space="preserve">, detecting half the outages (recall 0.50) at a shorter</w:t>
      </w:r>
      <w:r>
        <w:t xml:space="preserve"> </w:t>
      </w:r>
      <w:r>
        <w:t xml:space="preserve">median lead of 5.7 minutes. This is a measured prospective result: the</w:t>
      </w:r>
      <w:r>
        <w:t xml:space="preserve"> </w:t>
      </w:r>
      <w:r>
        <w:t xml:space="preserve">Kelmarsh generator-fan cascade gives hours of actionable warning at a</w:t>
      </w:r>
      <w:r>
        <w:t xml:space="preserve"> </w:t>
      </w:r>
      <w:r>
        <w:t xml:space="preserve">tolerable alarm burden, while the Penmanshiel safety-system cascade is</w:t>
      </w:r>
      <w:r>
        <w:t xml:space="preserve"> </w:t>
      </w:r>
      <w:r>
        <w:t xml:space="preserve">precise but fires close to the outage.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5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7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scenario PPV each rule delivers under an assumed 1% deployment prevalence (Table 8):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Start w:id="54" w:name="X5f409ab5bc0cacb368394f2fe592924467a43a9"/>
    <w:p>
      <w:pPr>
        <w:pStyle w:val="Heading4"/>
      </w:pPr>
      <w:r>
        <w:t xml:space="preserve">6.6.1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9).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 the synthetic Azure PdM generator,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is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enriched in failure windows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 occurrences in the 1,113 control windows on the 24h inference</w:t>
      </w:r>
      <w:r>
        <w:t xml:space="preserve"> </w:t>
      </w:r>
      <w:r>
        <w:t xml:space="preserve">half, which makes it a high-specificity candidate rule on this</w:t>
      </w:r>
      <w:r>
        <w:t xml:space="preserve"> </w:t>
      </w:r>
      <w:r>
        <w:t xml:space="preserve">inference sample and motivates prospective replay.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10).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Patterns are</w:t>
      </w:r>
      <w:r>
        <w:t xml:space="preserve"> </w:t>
      </w:r>
      <w:r>
        <w:t xml:space="preserve">selected on a discovery half and estimated on a disjoint inference</w:t>
      </w:r>
      <w:r>
        <w:t xml:space="preserve"> </w:t>
      </w:r>
      <w:r>
        <w:t xml:space="preserve">half (§6.10); the top five inference-half hazard ratios are listed</w:t>
      </w:r>
      <w:r>
        <w:t xml:space="preserve"> </w:t>
      </w:r>
      <w:r>
        <w:t xml:space="preserve">with full confidence intervals in Table 13. The headline signature</w:t>
      </w:r>
      <w:r>
        <w:t xml:space="preserve"> </w:t>
      </w:r>
      <w:r>
        <w:rPr>
          <w:rStyle w:val="VerbatimChar"/>
        </w:rPr>
        <w:t xml:space="preserve">counter_surprise:397_{10, 22}</w:t>
      </w:r>
      <w:r>
        <w:t xml:space="preserve"> </w:t>
      </w:r>
      <w:r>
        <w:t xml:space="preserve">has matched HR 1.60 (95% CI</w:t>
      </w:r>
      <w:r>
        <w:t xml:space="preserve"> </w:t>
      </w:r>
      <w:r>
        <w:t xml:space="preserve">[1.35, 1.91]).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6.7 through 6.11 present the aggregate evidence behind these</w:t>
      </w:r>
      <w:r>
        <w:t xml:space="preserve"> </w:t>
      </w:r>
      <w:r>
        <w:t xml:space="preserve">signatures: the predictive-vs-frequent-noise separation (§6.7),</w:t>
      </w:r>
      <w:r>
        <w:t xml:space="preserve"> </w:t>
      </w:r>
      <w:r>
        <w:t xml:space="preserve">post-selection-valid sequence significance (§6.8), the same-sample</w:t>
      </w:r>
      <w:r>
        <w:t xml:space="preserve"> </w:t>
      </w:r>
      <w:r>
        <w:t xml:space="preserve">marginal baseline (§6.9), the SCANIA matched hazard-ratio analysis</w:t>
      </w:r>
      <w:r>
        <w:t xml:space="preserve"> </w:t>
      </w:r>
      <w:r>
        <w:t xml:space="preserve">(§6.10), and lead time on true positives (§6.11).</w:t>
      </w:r>
    </w:p>
    <w:bookmarkEnd w:id="54"/>
    <w:bookmarkEnd w:id="55"/>
    <w:bookmarkStart w:id="56" w:name="X44aeb5833a19b6d32b8998867e975190f65e5f8"/>
    <w:p>
      <w:pPr>
        <w:pStyle w:val="Heading3"/>
      </w:pPr>
      <w:r>
        <w:t xml:space="preserve">6.7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11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1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pre-specified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A permuted-label stress test confirms that the split, and not merely</w:t>
      </w:r>
      <w:r>
        <w:t xml:space="preserve"> </w:t>
      </w:r>
      <w:r>
        <w:t xml:space="preserve">the FDR correction, is what controls error.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</w:t>
      </w:r>
      <w:r>
        <w:t xml:space="preserve"> </w:t>
      </w:r>
      <w:r>
        <w:t xml:space="preserve">same 79-candidate set validated three ways yields a similar number of</w:t>
      </w:r>
      <w:r>
        <w:t xml:space="preserve"> </w:t>
      </w:r>
      <w:r>
        <w:t xml:space="preserve">discoveries on the real labels (naive same-sample BH 55; our</w:t>
      </w:r>
      <w:r>
        <w:t xml:space="preserve"> </w:t>
      </w:r>
      <w:r>
        <w:t xml:space="preserve">discovery/inference split 52; Westfall-Young minP FWER 52), but under</w:t>
      </w:r>
      <w:r>
        <w:t xml:space="preserve"> </w:t>
      </w:r>
      <w:r>
        <w:t xml:space="preserve">20 label permutations that destroy all signal the naive same-sample</w:t>
      </w:r>
      <w:r>
        <w:t xml:space="preserve"> </w:t>
      </w:r>
      <w:r>
        <w:t xml:space="preserve">BH still reports false discoveries (mean 0.3, up to 6 in a single</w:t>
      </w:r>
      <w:r>
        <w:t xml:space="preserve"> </w:t>
      </w:r>
      <w:r>
        <w:t xml:space="preserve">permutation) whereas the discovery/inference split reports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(mean 0, maximum 0), matching the family-wise-error-controlled</w:t>
      </w:r>
      <w:r>
        <w:t xml:space="preserve"> </w:t>
      </w:r>
      <w:r>
        <w:t xml:space="preserve">Westfall-Young procedure. The split therefore buys honest error</w:t>
      </w:r>
      <w:r>
        <w:t xml:space="preserve"> </w:t>
      </w:r>
      <w:r>
        <w:t xml:space="preserve">control at almost no loss of real-label power.</w:t>
      </w:r>
    </w:p>
    <w:p>
      <w:pPr>
        <w:pStyle w:val="BodyText"/>
      </w:pPr>
      <w:r>
        <w:t xml:space="preserve">The validated catalog is also stable across the choice of split. Over</w:t>
      </w:r>
      <w:r>
        <w:t xml:space="preserve"> </w:t>
      </w:r>
      <w:r>
        <w:t xml:space="preserve">20 repeated entity-disjoint partitions (30 for Penmanshiel, and all</w:t>
      </w:r>
      <w:r>
        <w:t xml:space="preserve"> </w:t>
      </w:r>
      <w:r>
        <w:t xml:space="preserve">balanced turbine partitions for the wind farms), the headline</w:t>
      </w:r>
      <w:r>
        <w:t xml:space="preserve"> </w:t>
      </w:r>
      <w:r>
        <w:t xml:space="preserve">signature of every trace is selected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split (20/20 on</w:t>
      </w:r>
      <w:r>
        <w:t xml:space="preserve"> </w:t>
      </w:r>
      <w:r>
        <w:t xml:space="preserve">Azure, Alibaba, SCANIA and Kelmarsh; 30/30 on Penmanshiel; 16/20 on</w:t>
      </w:r>
      <w:r>
        <w:t xml:space="preserve"> </w:t>
      </w:r>
      <w:r>
        <w:t xml:space="preserve">BGL), the significant fraction varies only within a narrow band (for</w:t>
      </w:r>
      <w:r>
        <w:t xml:space="preserve"> </w:t>
      </w:r>
      <w:r>
        <w:t xml:space="preserve">example Kelmarsh median 0.63, IQR [0.44, 0.71]; Penmanshiel median</w:t>
      </w:r>
      <w:r>
        <w:t xml:space="preserve"> </w:t>
      </w:r>
      <w:r>
        <w:t xml:space="preserve">0.79, IQR [0.76, 0.82]), and the mean pairwise Jaccard overlap of the</w:t>
      </w:r>
      <w:r>
        <w:t xml:space="preserve"> </w:t>
      </w:r>
      <w:r>
        <w:t xml:space="preserve">validated catalogs ranges from 0.65 (SCANIA, BGL) to 0.93 (Alibaba),</w:t>
      </w:r>
      <w:r>
        <w:t xml:space="preserve"> </w:t>
      </w:r>
      <w:r>
        <w:t xml:space="preserve">with both wind farms above 0.79. A single seeded split is therefore</w:t>
      </w:r>
      <w:r>
        <w:t xml:space="preserve"> </w:t>
      </w:r>
      <w:r>
        <w:t xml:space="preserve">not a fragile basis for the headline signatures.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§6.10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6.8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12).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6.9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§6.7 and §6.8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6.10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To avoid selecting the tested family with the outcome, we use a</w:t>
      </w:r>
      <w:r>
        <w:t xml:space="preserve"> </w:t>
      </w:r>
      <w:r>
        <w:t xml:space="preserve">strict two-stage design that matches the paper’s own post-selection</w:t>
      </w:r>
      <w:r>
        <w:t xml:space="preserve"> </w:t>
      </w:r>
      <w:r>
        <w:t xml:space="preserve">discipline: the 2,272 matched sets are split 50/50 into a discovery</w:t>
      </w:r>
      <w:r>
        <w:t xml:space="preserve"> </w:t>
      </w:r>
      <w:r>
        <w:t xml:space="preserve">and an inference half; the top-200 patterns are ranked by</w:t>
      </w:r>
      <w:r>
        <w:t xml:space="preserve"> </w:t>
      </w:r>
      <w:r>
        <w:rPr>
          <w:b/>
          <w:bCs/>
        </w:rPr>
        <w:t xml:space="preserve">discovery-half case-hit count only</w:t>
      </w:r>
      <w:r>
        <w:t xml:space="preserve">, and those 200 fixed patterns</w:t>
      </w:r>
      <w:r>
        <w:t xml:space="preserve"> </w:t>
      </w:r>
      <w:r>
        <w:t xml:space="preserve">are then estimated on the</w:t>
      </w:r>
      <w:r>
        <w:t xml:space="preserve"> </w:t>
      </w:r>
      <w:r>
        <w:rPr>
          <w:b/>
          <w:bCs/>
        </w:rPr>
        <w:t xml:space="preserve">inference half</w:t>
      </w:r>
      <w:r>
        <w:t xml:space="preserve"> </w:t>
      </w:r>
      <w:r>
        <w:t xml:space="preserve">via conditional logistic</w:t>
      </w:r>
      <w:r>
        <w:t xml:space="preserve"> </w:t>
      </w:r>
      <w:r>
        <w:t xml:space="preserve">regression stratified by matched set 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inference half,</w:t>
      </w:r>
      <w:r>
        <w:t xml:space="preserve"> </w:t>
      </w:r>
      <w:r>
        <w:rPr>
          <w:b/>
          <w:bCs/>
        </w:rPr>
        <w:t xml:space="preserve">93 of 200</w:t>
      </w:r>
      <w:r>
        <w:rPr>
          <w:b/>
          <w:bCs/>
        </w:rPr>
        <w:t xml:space="preserve"> </w:t>
      </w:r>
      <w:r>
        <w:rPr>
          <w:b/>
          <w:bCs/>
        </w:rPr>
        <w:t xml:space="preserve">pass the joint criterion HR CI excludes 1 AND BH q &lt; 0.05, and 74</w:t>
      </w:r>
      <w:r>
        <w:rPr>
          <w:b/>
          <w:bCs/>
        </w:rPr>
        <w:t xml:space="preserve"> </w:t>
      </w:r>
      <w:r>
        <w:rPr>
          <w:b/>
          <w:bCs/>
        </w:rPr>
        <w:t xml:space="preserve">(37%) survive the stricter Benjamini-Yekutieli arbitrary-dependence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FDR at q &lt; 0.05</w:t>
      </w:r>
      <w:r>
        <w:t xml:space="preserve">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</w:t>
      </w:r>
      <w:r>
        <w:t xml:space="preserve"> </w:t>
      </w:r>
      <w:r>
        <w:t xml:space="preserve">corrected across the 200 preselected patterns.</w:t>
      </w:r>
    </w:p>
    <w:p>
      <w:pPr>
        <w:pStyle w:val="BodyText"/>
      </w:pPr>
      <w:r>
        <w:t xml:space="preserve">Top 5 predictive Component X signatures on the inference half</w:t>
      </w:r>
      <w:r>
        <w:t xml:space="preserve"> </w:t>
      </w:r>
      <w:r>
        <w:t xml:space="preserve">(matched HR, 95% CI, p):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Top five SCANIA Component X signatures by matched hazard ratio, selected on the discovery half and estimated on the disjoint inference half with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Top five SCANIA Component X signatures by matched hazard ratio, selected on the discovery half and estimated on the disjoint inference half with 95% confidence intervals."/>
      </w:tblPr>
      <w:tblGrid>
        <w:gridCol w:w="950"/>
        <w:gridCol w:w="2692"/>
        <w:gridCol w:w="1584"/>
        <w:gridCol w:w="1267"/>
        <w:gridCol w:w="142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[1.35,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[1.32, 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[1.33,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[1.30, 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[1.34, 1.76]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counter_surprise:397_{29}</w:t>
            </w:r>
          </w:p>
        </w:tc>
      </w:tr>
    </w:tbl>
    <w:p>
      <w:pPr>
        <w:pStyle w:val="BodyText"/>
      </w:pPr>
      <w:r>
        <w:t xml:space="preserve">Two effects push the honest estimates below the naive ones. The</w:t>
      </w:r>
      <w:r>
        <w:t xml:space="preserve"> </w:t>
      </w:r>
      <w:r>
        <w:rPr>
          <w:b/>
          <w:bCs/>
        </w:rPr>
        <w:t xml:space="preserve">pooled 2×2 analysis (Table 14) inflates the effect</w:t>
      </w:r>
      <w:r>
        <w:t xml:space="preserve"> </w:t>
      </w:r>
      <w:r>
        <w:t xml:space="preserve">(top pooled</w:t>
      </w:r>
      <w:r>
        <w:t xml:space="preserve"> </w:t>
      </w:r>
      <w:r>
        <w:t xml:space="preserve">MH-OR 2.72 [2.10, 3.51]) because it discards the matched-set structure</w:t>
      </w:r>
      <w:r>
        <w:t xml:space="preserve"> </w:t>
      </w:r>
      <w:r>
        <w:t xml:space="preserve">that the incidence-density sampling design creates; the matched</w:t>
      </w:r>
      <w:r>
        <w:t xml:space="preserve"> </w:t>
      </w:r>
      <w:r>
        <w:t xml:space="preserve">conditional logistic is the correct estimator under Prentice-Breslow.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discovery/inference split removes the post-selection inflation</w:t>
      </w:r>
      <w:r>
        <w:t xml:space="preserve"> </w:t>
      </w:r>
      <w:r>
        <w:t xml:space="preserve">that ranking the top-200 by case-hits on the test sample would</w:t>
      </w:r>
      <w:r>
        <w:t xml:space="preserve"> </w:t>
      </w:r>
      <w:r>
        <w:t xml:space="preserve">otherwise introduce: the same top-200-by-hits procedure evaluated</w:t>
      </w:r>
      <w:r>
        <w:t xml:space="preserve"> </w:t>
      </w:r>
      <w:r>
        <w:t xml:space="preserve">in-sample reports 108 BY-significant patterns and a top HR near 1.7,</w:t>
      </w:r>
      <w:r>
        <w:t xml:space="preserve"> </w:t>
      </w:r>
      <w:r>
        <w:t xml:space="preserve">whereas the honest inference-half estimate is 74 BY-significant with a</w:t>
      </w:r>
      <w:r>
        <w:t xml:space="preserve"> </w:t>
      </w:r>
      <w:r>
        <w:t xml:space="preserve">top HR of 1.60 [1.35, 1.91]. The matched signal is real but smaller</w:t>
      </w:r>
      <w:r>
        <w:t xml:space="preserve"> </w:t>
      </w:r>
      <w:r>
        <w:t xml:space="preserve">than the in-sample figure suggests.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Pooled 2x2 odds ratios for the same SCANIA signatures, superseded by the matched estimates in Table 13.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Pooled 2x2 odds ratios for the same SCANIA signatures, superseded by the matched estimates in Table 13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6.11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15):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These two traces separate order from multiplicity (§6.3). On Azure,</w:t>
      </w:r>
      <w:r>
        <w:t xml:space="preserve"> </w:t>
      </w:r>
      <w:r>
        <w:t xml:space="preserve">the count-preserving null confirms a genuine ordering effect: the full</w:t>
      </w:r>
      <w:r>
        <w:t xml:space="preserve"> </w:t>
      </w:r>
      <w:r>
        <w:t xml:space="preserve">ordered chain adds signal beyond any of its subparts, and the exact</w:t>
      </w:r>
      <w:r>
        <w:t xml:space="preserve"> </w:t>
      </w:r>
      <w:r>
        <w:t xml:space="preserve">within-window order matters. On Alibaba, the count-preserving null is</w:t>
      </w:r>
      <w:r>
        <w:t xml:space="preserve"> </w:t>
      </w:r>
      <w:r>
        <w:t xml:space="preserve">approximately zero, so the exact order does not matter; the sequence</w:t>
      </w:r>
      <w:r>
        <w:t xml:space="preserve"> </w:t>
      </w:r>
      <w:r>
        <w:t xml:space="preserve">representation helps only because it retains event multiplicity and a</w:t>
      </w:r>
      <w:r>
        <w:t xml:space="preserve"> </w:t>
      </w:r>
      <w:r>
        <w:t xml:space="preserve">privileged short prefix (</w:t>
      </w:r>
      <w:r>
        <w:rPr>
          <w:rStyle w:val="VerbatimChar"/>
        </w:rPr>
        <w:t xml:space="preserve">task_waiting:R</w:t>
      </w:r>
      <w:r>
        <w:t xml:space="preserve">) that the binary itemset</w:t>
      </w:r>
      <w:r>
        <w:t xml:space="preserve"> </w:t>
      </w:r>
      <w:r>
        <w:t xml:space="preserve">discards. The correct reading of Alibaba is a multiplicity-and-prefix</w:t>
      </w:r>
      <w:r>
        <w:t xml:space="preserve"> </w:t>
      </w:r>
      <w:r>
        <w:t xml:space="preserve">effect, not a pure-ordering effect.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</w:t>
      </w:r>
      <w:r>
        <w:t xml:space="preserve"> </w:t>
      </w:r>
      <w:r>
        <w:t xml:space="preserve">itemset lift 2.22 for the same items. The order-specific reading is</w:t>
      </w:r>
      <w:r>
        <w:t xml:space="preserve"> </w:t>
      </w:r>
      <w:r>
        <w:t xml:space="preserve">that error2 and error3 are not interchangeable noise: a machine</w:t>
      </w:r>
      <w:r>
        <w:t xml:space="preserve"> </w:t>
      </w:r>
      <w:r>
        <w:t xml:space="preserve">reporting error2 first and then error3 is materially more likely to</w:t>
      </w:r>
      <w:r>
        <w:t xml:space="preserve"> </w:t>
      </w:r>
      <w:r>
        <w:t xml:space="preserve">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 under a fair prospective landmark.</w:t>
      </w:r>
      <w:r>
        <w:t xml:space="preserve"> </w:t>
      </w:r>
      <w:r>
        <w:t xml:space="preserve">A</w:t>
      </w:r>
      <w:r>
        <w:t xml:space="preserve"> </w:t>
      </w:r>
      <w:r>
        <w:t xml:space="preserve">stratified 5-fold cross-validation on full-history aggregated</w:t>
      </w:r>
      <w:r>
        <w:t xml:space="preserve"> </w:t>
      </w:r>
      <w:r>
        <w:t xml:space="preserve">Component X features (mean / max / std / last of each of the 105</w:t>
      </w:r>
      <w:r>
        <w:t xml:space="preserve"> </w:t>
      </w:r>
      <w:r>
        <w:t xml:space="preserve">columns per vehicle) reaches AUROC 0.826, but this number is not a</w:t>
      </w:r>
      <w:r>
        <w:t xml:space="preserve"> </w:t>
      </w:r>
      <w:r>
        <w:t xml:space="preserve">prospective ceiling: full-history aggregates under random CV can leak</w:t>
      </w:r>
      <w:r>
        <w:t xml:space="preserve"> </w:t>
      </w:r>
      <w:r>
        <w:t xml:space="preserve">end-of-history and censoring information that is not available at a</w:t>
      </w:r>
      <w:r>
        <w:t xml:space="preserve"> </w:t>
      </w:r>
      <w:r>
        <w:t xml:space="preserve">prediction landmark. The fair test is a</w:t>
      </w:r>
      <w:r>
        <w:t xml:space="preserve"> </w:t>
      </w:r>
      <w:r>
        <w:rPr>
          <w:b/>
          <w:bCs/>
        </w:rPr>
        <w:t xml:space="preserve">landmarked, entity-disjoint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in which every feature is computed strictly from the</w:t>
      </w:r>
      <w:r>
        <w:t xml:space="preserve"> </w:t>
      </w:r>
      <w:r>
        <w:t xml:space="preserve">pre-anchor risk-set window and trained and tested on disjoint vehicle</w:t>
      </w:r>
      <w:r>
        <w:t xml:space="preserve"> </w:t>
      </w:r>
      <w:r>
        <w:t xml:space="preserve">sets. Under that test no representation clears 0.75: token counts</w:t>
      </w:r>
      <w:r>
        <w:t xml:space="preserve"> </w:t>
      </w:r>
      <w:r>
        <w:t xml:space="preserve">reach AUROC 0.62, LightGBM on token counts 0.60, simple counts 0.54,</w:t>
      </w:r>
      <w:r>
        <w:t xml:space="preserve"> </w:t>
      </w:r>
      <w:r>
        <w:t xml:space="preserve">and the significant pattern features 0.51. Even a richer descriptor</w:t>
      </w:r>
      <w:r>
        <w:t xml:space="preserve"> </w:t>
      </w:r>
      <w:r>
        <w:t xml:space="preserve">model at the honest landmark stays near 0.60, matching the last-K</w:t>
      </w:r>
      <w:r>
        <w:t xml:space="preserve"> </w:t>
      </w:r>
      <w:r>
        <w:t xml:space="preserve">pattern pipeline. The conclusion is therefore that</w:t>
      </w:r>
      <w:r>
        <w:t xml:space="preserve"> </w:t>
      </w:r>
      <w:r>
        <w:rPr>
          <w:b/>
          <w:bCs/>
        </w:rPr>
        <w:t xml:space="preserve">no strong</w:t>
      </w:r>
      <w:r>
        <w:rPr>
          <w:b/>
          <w:bCs/>
        </w:rPr>
        <w:t xml:space="preserve"> </w:t>
      </w:r>
      <w:r>
        <w:rPr>
          <w:b/>
          <w:bCs/>
        </w:rPr>
        <w:t xml:space="preserve">prospective last-K trajectory signal is recoverable at Component X’s</w:t>
      </w:r>
      <w:r>
        <w:rPr>
          <w:b/>
          <w:bCs/>
        </w:rPr>
        <w:t xml:space="preserve"> </w:t>
      </w:r>
      <w:r>
        <w:rPr>
          <w:b/>
          <w:bCs/>
        </w:rPr>
        <w:t xml:space="preserve">readout cadence under the representations and landmarks tested</w:t>
      </w:r>
      <w:r>
        <w:t xml:space="preserve">; the</w:t>
      </w:r>
      <w:r>
        <w:t xml:space="preserve"> </w:t>
      </w:r>
      <w:r>
        <w:t xml:space="preserve">0.826 reflects a static per-vehicle profile that is visible across a</w:t>
      </w:r>
      <w:r>
        <w:t xml:space="preserve"> </w:t>
      </w:r>
      <w:r>
        <w:t xml:space="preserve">truck’s whole history but not at a prospective decision point.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§6.11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68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the sequence</w:t>
      </w:r>
      <w:r>
        <w:t xml:space="preserve"> </w:t>
      </w:r>
      <w:r>
        <w:t xml:space="preserve">representation adds predictive information beyond binary itemsets, but</w:t>
      </w:r>
      <w:r>
        <w:t xml:space="preserve"> </w:t>
      </w:r>
      <w:r>
        <w:t xml:space="preserve">for different reasons: on Azure the count-preserving null shows a</w:t>
      </w:r>
      <w:r>
        <w:t xml:space="preserve"> </w:t>
      </w:r>
      <w:r>
        <w:t xml:space="preserve">genuine ordering effect, whereas on Alibaba it is event multiplicity</w:t>
      </w:r>
      <w:r>
        <w:t xml:space="preserve"> </w:t>
      </w:r>
      <w:r>
        <w:t xml:space="preserve">and a short leading prefix, not exact order, that carries the signal.</w:t>
      </w:r>
      <w:r>
        <w:t xml:space="preserve"> </w:t>
      </w:r>
      <w:r>
        <w:t xml:space="preserve">Combining itemset and sequence features improves failure prediction</w:t>
      </w:r>
      <w:r>
        <w:t xml:space="preserve"> </w:t>
      </w:r>
      <w:r>
        <w:t xml:space="preserve">by 3-10 AUROC points over either alone at the rich horizons.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8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69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9"/>
    <w:bookmarkStart w:id="71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70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1"/>
    <w:bookmarkStart w:id="73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2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3"/>
    <w:bookmarkStart w:id="75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4">
        <w:r>
          <w:rPr>
            <w:rStyle w:val="Hyperlink"/>
          </w:rPr>
          <w:t xml:space="preserve">https://doi.org/10.1023/A:1007652502315</w:t>
        </w:r>
      </w:hyperlink>
    </w:p>
    <w:bookmarkEnd w:id="75"/>
    <w:bookmarkStart w:id="77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6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7"/>
    <w:bookmarkStart w:id="79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8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9"/>
    <w:bookmarkStart w:id="81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80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1"/>
    <w:bookmarkStart w:id="83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2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3"/>
    <w:bookmarkStart w:id="85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5"/>
    <w:bookmarkStart w:id="87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6">
        <w:r>
          <w:rPr>
            <w:rStyle w:val="Hyperlink"/>
          </w:rPr>
          <w:t xml:space="preserve">https://doi.org/10.21105/joss.00638</w:t>
        </w:r>
      </w:hyperlink>
    </w:p>
    <w:bookmarkEnd w:id="87"/>
    <w:bookmarkStart w:id="89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8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9"/>
    <w:bookmarkStart w:id="91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</w:p>
    <w:bookmarkEnd w:id="91"/>
    <w:bookmarkStart w:id="93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2">
        <w:r>
          <w:rPr>
            <w:rStyle w:val="Hyperlink"/>
          </w:rPr>
          <w:t xml:space="preserve">https://doi.org/10.1016/j.jprocont.2023.103041</w:t>
        </w:r>
      </w:hyperlink>
    </w:p>
    <w:bookmarkEnd w:id="93"/>
    <w:bookmarkStart w:id="95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4">
        <w:r>
          <w:rPr>
            <w:rStyle w:val="Hyperlink"/>
          </w:rPr>
          <w:t xml:space="preserve">https://doi.org/10.3390/pr11041169</w:t>
        </w:r>
      </w:hyperlink>
    </w:p>
    <w:bookmarkEnd w:id="95"/>
    <w:bookmarkStart w:id="97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6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7"/>
    <w:bookmarkStart w:id="99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https://doi.org/10.48550/arXiv.2510.06831</w:t>
        </w:r>
      </w:hyperlink>
    </w:p>
    <w:bookmarkEnd w:id="99"/>
    <w:bookmarkStart w:id="101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100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1"/>
    <w:bookmarkStart w:id="103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2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3"/>
    <w:bookmarkStart w:id="105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4">
        <w:r>
          <w:rPr>
            <w:rStyle w:val="Hyperlink"/>
          </w:rPr>
          <w:t xml:space="preserve">https://doi.org/10.1073/pnas.1302233110</w:t>
        </w:r>
      </w:hyperlink>
    </w:p>
    <w:bookmarkEnd w:id="105"/>
    <w:bookmarkStart w:id="107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6">
        <w:r>
          <w:rPr>
            <w:rStyle w:val="Hyperlink"/>
          </w:rPr>
          <w:t xml:space="preserve">https://doi.org/10.1007/s10618-018-0590-x</w:t>
        </w:r>
      </w:hyperlink>
    </w:p>
    <w:bookmarkEnd w:id="107"/>
    <w:bookmarkStart w:id="109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8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9"/>
    <w:bookmarkStart w:id="111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10">
        <w:r>
          <w:rPr>
            <w:rStyle w:val="Hyperlink"/>
          </w:rPr>
          <w:t xml:space="preserve">https://doi.org/10.14778/3675034.3675055</w:t>
        </w:r>
      </w:hyperlink>
    </w:p>
    <w:bookmarkEnd w:id="111"/>
    <w:bookmarkStart w:id="113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2">
        <w:r>
          <w:rPr>
            <w:rStyle w:val="Hyperlink"/>
          </w:rPr>
          <w:t xml:space="preserve">https://doi.org/10.48550/arXiv.1410.2597</w:t>
        </w:r>
      </w:hyperlink>
    </w:p>
    <w:bookmarkEnd w:id="113"/>
    <w:bookmarkStart w:id="115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4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5"/>
    <w:bookmarkStart w:id="117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6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7"/>
    <w:bookmarkStart w:id="119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8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9"/>
    <w:bookmarkStart w:id="121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20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1"/>
    <w:bookmarkStart w:id="123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2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3"/>
    <w:bookmarkStart w:id="125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4">
        <w:r>
          <w:rPr>
            <w:rStyle w:val="Hyperlink"/>
          </w:rPr>
          <w:t xml:space="preserve">https://doi.org/10.48550/arXiv.2401.04749</w:t>
        </w:r>
      </w:hyperlink>
    </w:p>
    <w:bookmarkEnd w:id="125"/>
    <w:bookmarkStart w:id="127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6">
        <w:r>
          <w:rPr>
            <w:rStyle w:val="Hyperlink"/>
          </w:rPr>
          <w:t xml:space="preserve">https://doi.org/10.1016/j.mlwa.2023.100470</w:t>
        </w:r>
      </w:hyperlink>
    </w:p>
    <w:bookmarkEnd w:id="127"/>
    <w:bookmarkStart w:id="129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8">
        <w:r>
          <w:rPr>
            <w:rStyle w:val="Hyperlink"/>
          </w:rPr>
          <w:t xml:space="preserve">https://doi.org/10.1007/s10664-024-10501-4</w:t>
        </w:r>
      </w:hyperlink>
    </w:p>
    <w:bookmarkEnd w:id="129"/>
    <w:bookmarkStart w:id="131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30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1"/>
    <w:bookmarkStart w:id="133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2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3"/>
    <w:bookmarkStart w:id="135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4">
        <w:r>
          <w:rPr>
            <w:rStyle w:val="Hyperlink"/>
          </w:rPr>
          <w:t xml:space="preserve">https://doi.org/10.48550/arXiv.1808.02919</w:t>
        </w:r>
      </w:hyperlink>
    </w:p>
    <w:bookmarkEnd w:id="135"/>
    <w:bookmarkStart w:id="137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6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7"/>
    <w:bookmarkStart w:id="139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8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9"/>
    <w:bookmarkStart w:id="141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40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1"/>
    <w:bookmarkStart w:id="143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2">
        <w:r>
          <w:rPr>
            <w:rStyle w:val="Hyperlink"/>
          </w:rPr>
          <w:t xml:space="preserve">https://doi.org/10.1007/s10489-021-03004-y</w:t>
        </w:r>
      </w:hyperlink>
    </w:p>
    <w:bookmarkEnd w:id="143"/>
    <w:bookmarkStart w:id="145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4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5"/>
    <w:bookmarkStart w:id="147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6">
        <w:r>
          <w:rPr>
            <w:rStyle w:val="Hyperlink"/>
          </w:rPr>
          <w:t xml:space="preserve">https://doi.org/10.1038/s41597-025-04802-6</w:t>
        </w:r>
      </w:hyperlink>
    </w:p>
    <w:bookmarkEnd w:id="147"/>
    <w:bookmarkStart w:id="149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8">
        <w:r>
          <w:rPr>
            <w:rStyle w:val="Hyperlink"/>
          </w:rPr>
          <w:t xml:space="preserve">https://doi.org/10.1111/j.2517-6161.1995.tb02031.x</w:t>
        </w:r>
      </w:hyperlink>
    </w:p>
    <w:bookmarkEnd w:id="149"/>
    <w:bookmarkStart w:id="151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50">
        <w:r>
          <w:rPr>
            <w:rStyle w:val="Hyperlink"/>
          </w:rPr>
          <w:t xml:space="preserve">https://doi.org/10.1214/aos/1013699998</w:t>
        </w:r>
      </w:hyperlink>
    </w:p>
    <w:bookmarkEnd w:id="151"/>
    <w:bookmarkStart w:id="153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2">
        <w:r>
          <w:rPr>
            <w:rStyle w:val="Hyperlink"/>
          </w:rPr>
          <w:t xml:space="preserve">https://doi.org/10.1093/biomet/65.1.153</w:t>
        </w:r>
      </w:hyperlink>
    </w:p>
    <w:bookmarkEnd w:id="153"/>
    <w:bookmarkStart w:id="155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4">
        <w:r>
          <w:rPr>
            <w:rStyle w:val="Hyperlink"/>
          </w:rPr>
          <w:t xml:space="preserve">https://doi.org/10.1214/ss/1032209663</w:t>
        </w:r>
      </w:hyperlink>
    </w:p>
    <w:bookmarkEnd w:id="155"/>
    <w:bookmarkStart w:id="157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6">
        <w:r>
          <w:rPr>
            <w:rStyle w:val="Hyperlink"/>
          </w:rPr>
          <w:t xml:space="preserve">Kelmarsh wind farm data</w:t>
        </w:r>
      </w:hyperlink>
    </w:p>
    <w:bookmarkEnd w:id="157"/>
    <w:bookmarkStart w:id="159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8">
        <w:r>
          <w:rPr>
            <w:rStyle w:val="Hyperlink"/>
          </w:rPr>
          <w:t xml:space="preserve">Penmanshiel wind farm data</w:t>
        </w:r>
      </w:hyperlink>
    </w:p>
    <w:bookmarkEnd w:id="159"/>
    <w:bookmarkStart w:id="161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60">
        <w:r>
          <w:rPr>
            <w:rStyle w:val="Hyperlink"/>
          </w:rPr>
          <w:t xml:space="preserve">Azure AI Gallery Predictive Maintenance Sample</w:t>
        </w:r>
      </w:hyperlink>
    </w:p>
    <w:bookmarkEnd w:id="161"/>
    <w:bookmarkStart w:id="163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2">
        <w:r>
          <w:rPr>
            <w:rStyle w:val="Hyperlink"/>
          </w:rPr>
          <w:t xml:space="preserve">Alibaba cluster-trace-v2018</w:t>
        </w:r>
      </w:hyperlink>
    </w:p>
    <w:bookmarkEnd w:id="163"/>
    <w:bookmarkStart w:id="165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4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5"/>
    <w:bookmarkStart w:id="166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6"/>
    <w:bookmarkStart w:id="168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7">
        <w:r>
          <w:rPr>
            <w:rStyle w:val="Hyperlink"/>
          </w:rPr>
          <w:t xml:space="preserve">https://doi.org/10.48550/arXiv.1511.01478</w:t>
        </w:r>
      </w:hyperlink>
    </w:p>
    <w:bookmarkEnd w:id="168"/>
    <w:bookmarkStart w:id="170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9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2026-08-31T11:46:43Z</dcterms:created>
  <dcterms:modified xsi:type="dcterms:W3CDTF">2026-08-31T11:46:43Z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2026-08-31</vt:lpwstr>
  </property>
  <property fmtid="{D5CDD505-2E9C-101B-9397-08002B2CF9AE}" pid="5" name="link-citations">
    <vt:lpwstr>True</vt:lpwstr>
  </property>
</Properties>
</file>