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8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from these</w:t>
      </w:r>
      <w:r>
        <w:t xml:space="preserve"> </w:t>
      </w:r>
      <w:r>
        <w:t xml:space="preserve">logs, but frequency does not imply predictiveness. Many of the</w:t>
      </w:r>
      <w:r>
        <w:t xml:space="preserve"> </w:t>
      </w:r>
      <w:r>
        <w:t xml:space="preserve">mined patterns are common cascades that occur equally often before</w:t>
      </w:r>
      <w:r>
        <w:t xml:space="preserve"> </w:t>
      </w:r>
      <w:r>
        <w:t xml:space="preserve">failures and in normal operation. This paper’s central claim:</w:t>
      </w:r>
      <w:r>
        <w:t xml:space="preserve"> </w:t>
      </w:r>
      <w:r>
        <w:rPr>
          <w:b/>
          <w:bCs/>
        </w:rPr>
        <w:t xml:space="preserve">only</w:t>
      </w:r>
      <w:r>
        <w:rPr>
          <w:b/>
          <w:bCs/>
        </w:rPr>
        <w:t xml:space="preserve"> </w:t>
      </w:r>
      <w:r>
        <w:rPr>
          <w:b/>
          <w:bCs/>
        </w:rPr>
        <w:t xml:space="preserve">a specific minority of frequent event patterns carries elevated</w:t>
      </w:r>
      <w:r>
        <w:rPr>
          <w:b/>
          <w:bCs/>
        </w:rPr>
        <w:t xml:space="preserve"> </w:t>
      </w:r>
      <w:r>
        <w:rPr>
          <w:b/>
          <w:bCs/>
        </w:rPr>
        <w:t xml:space="preserve">hazard for future failure, and a matched-control + statistical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 methodology cleanly separates the predictive subset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frequent-but-uninformative noise</w:t>
      </w:r>
      <w:r>
        <w:t xml:space="preserve">. We demonstrate the</w:t>
      </w:r>
      <w:r>
        <w:t xml:space="preserve"> </w:t>
      </w:r>
      <w:r>
        <w:t xml:space="preserve">separation on four traces spanning three domains: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v2018), real HPC per-rack (LLNL Blue Gene/L syslogs), and real</w:t>
      </w:r>
      <w:r>
        <w:t xml:space="preserve"> </w:t>
      </w:r>
      <w:r>
        <w:t xml:space="preserve">automotive per-vehicle (SCANIA Component X). On the two rich-discrete-</w:t>
      </w:r>
      <w:r>
        <w:t xml:space="preserve"> </w:t>
      </w:r>
      <w:r>
        <w:t xml:space="preserve">vocabulary traces, 60-100% of mined frequent patterns at each</w:t>
      </w:r>
      <w:r>
        <w:t xml:space="preserve"> </w:t>
      </w:r>
      <w:r>
        <w:t xml:space="preserve">horizon pass BH q&lt;0.05, and concrete predictive signatures include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on Azure (sequence</w:t>
      </w:r>
      <w:r>
        <w:t xml:space="preserve"> </w:t>
      </w:r>
      <w:r>
        <w:t xml:space="preserve">lift 3.73 vs itemset lift 2.22) and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on Alibaba (sequence lift 2.43 vs itemset lift 0.94). Adding these</w:t>
      </w:r>
      <w:r>
        <w:t xml:space="preserve"> </w:t>
      </w:r>
      <w:r>
        <w:t xml:space="preserve">predictive patterns to a temporally-held-out logistic regression as</w:t>
      </w:r>
      <w:r>
        <w:t xml:space="preserve"> </w:t>
      </w:r>
      <w:r>
        <w:t xml:space="preserve">binary features improves failure prediction by +5.6 AUROC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and +6.2 AUROC 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over itemset-only features.</w:t>
      </w:r>
      <w:r>
        <w:t xml:space="preserve"> </w:t>
      </w:r>
      <w:r>
        <w:t xml:space="preserve">On the two boundary traces, 0-11% of mined patterns pass</w:t>
      </w:r>
      <w:r>
        <w:t xml:space="preserve"> </w:t>
      </w:r>
      <w:r>
        <w:t xml:space="preserve">significance: BGL syslogs (0 patterns; self-triggering alert</w:t>
      </w:r>
      <w:r>
        <w:t xml:space="preserve"> </w:t>
      </w:r>
      <w:r>
        <w:t xml:space="preserve">cascades leave no discriminable non-alert precursors) and Component</w:t>
      </w:r>
      <w:r>
        <w:t xml:space="preserve"> </w:t>
      </w:r>
      <w:r>
        <w:t xml:space="preserve">X (of 42,453 candidate itemsets mined at min-support 0.05, 2,560</w:t>
      </w:r>
      <w:r>
        <w:t xml:space="preserve"> </w:t>
      </w:r>
      <w:r>
        <w:t xml:space="preserve">pass a risk-set matched hazard-ratio test at Benjamini-Yekutieli</w:t>
      </w:r>
      <w:r>
        <w:t xml:space="preserve"> </w:t>
      </w:r>
      <w:r>
        <w:t xml:space="preserve">q &lt; 0.05 that is valid under arbitrary dependence between patterns;</w:t>
      </w:r>
      <w:r>
        <w:t xml:space="preserve"> </w:t>
      </w:r>
      <w:r>
        <w:t xml:space="preserve">top MH-OR 2.72 [2.10, 3.51]. The strongest per-pattern signals</w:t>
      </w:r>
      <w:r>
        <w:t xml:space="preserve"> </w:t>
      </w:r>
      <w:r>
        <w:t xml:space="preserve">cannot lift a temporally-held-out classifier beyond AUROC 0.60</w:t>
      </w:r>
      <w:r>
        <w:t xml:space="preserve"> </w:t>
      </w:r>
      <w:r>
        <w:t xml:space="preserve">because the underlying signal is a static per-truck usage profile</w:t>
      </w:r>
      <w:r>
        <w:t xml:space="preserve"> </w:t>
      </w:r>
      <w:r>
        <w:t xml:space="preserve">rather than a temporal degradation trajectory). We</w:t>
      </w:r>
      <w:r>
        <w:t xml:space="preserve"> </w:t>
      </w:r>
      <w:r>
        <w:t xml:space="preserve">generalise the matched-control pipeline to right-censored survival-</w:t>
      </w:r>
      <w:r>
        <w:t xml:space="preserve"> </w:t>
      </w:r>
      <w:r>
        <w:t xml:space="preserve">style data via incidence-density (risk-set) sampling with</w:t>
      </w:r>
      <w:r>
        <w:t xml:space="preserve"> </w:t>
      </w:r>
      <w:r>
        <w:t xml:space="preserve">Mantel-Haenszel odds-ratio scoring, which estimates per-pattern</w:t>
      </w:r>
      <w:r>
        <w:t xml:space="preserve"> </w:t>
      </w:r>
      <w:r>
        <w:t xml:space="preserve">hazard ratios and applies without modifying the mining stage. Mined</w:t>
      </w:r>
      <w:r>
        <w:t xml:space="preserve"> </w:t>
      </w:r>
      <w:r>
        <w:t xml:space="preserve">patterns, matched-control windows, and hazard-ratio-scored risk-set</w:t>
      </w:r>
      <w:r>
        <w:t xml:space="preserve"> </w:t>
      </w:r>
      <w:r>
        <w:t xml:space="preserve">patterns are released as reproducible parquet artefacts.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four public event-log</w:t>
      </w:r>
      <w:r>
        <w:t xml:space="preserve"> </w:t>
      </w:r>
      <w:r>
        <w:t xml:space="preserve">traces spanning three domains: synthetic industrial per-machine</w:t>
      </w:r>
      <w:r>
        <w:t xml:space="preserve"> </w:t>
      </w:r>
      <w:r>
        <w:t xml:space="preserve">(Azure PdM), real cloud per-job (Alibaba cluster-trace-v2018),</w:t>
      </w:r>
      <w:r>
        <w:t xml:space="preserve"> </w:t>
      </w:r>
      <w:r>
        <w:t xml:space="preserve">real HPC per-rack (LLNL Blue Gene/L syslogs), and real automotive</w:t>
      </w:r>
      <w:r>
        <w:t xml:space="preserve"> </w:t>
      </w:r>
      <w:r>
        <w:t xml:space="preserve">per-vehicle (SCANIA Component X). We report the fraction of mined</w:t>
      </w:r>
      <w:r>
        <w:t xml:space="preserve"> </w:t>
      </w:r>
      <w:r>
        <w:t xml:space="preserve">patterns that pass significance on each trace, the strongest</w:t>
      </w:r>
      <w:r>
        <w:t xml:space="preserve"> </w:t>
      </w:r>
      <w:r>
        <w:t xml:space="preserve">predictive signatures, and the mechanistic reason why the</w:t>
      </w:r>
      <w:r>
        <w:t xml:space="preserve"> </w:t>
      </w:r>
      <w:r>
        <w:t xml:space="preserve">fraction varies from ~85% (Azure last5 sequences) to 0% (BGL) to</w:t>
      </w:r>
      <w:r>
        <w:t xml:space="preserve"> </w:t>
      </w:r>
      <w:r>
        <w:t xml:space="preserve">6% (SCANIA risk-set matched, BY-corrected).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head-to-head</w:t>
      </w:r>
      <w:r>
        <w:t xml:space="preserve"> </w:t>
      </w:r>
      <w:r>
        <w:t xml:space="preserve">matched-control + BH-corrected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detection. These methods generally</w:t>
      </w:r>
      <w:r>
        <w:t xml:space="preserve"> </w:t>
      </w:r>
      <w:r>
        <w:t xml:space="preserve">outperform classical pattern miners on held-out AUROC when trained on</w:t>
      </w:r>
      <w:r>
        <w:t xml:space="preserve"> </w:t>
      </w:r>
      <w:r>
        <w:t xml:space="preserve">enough data, but produce opaque per-line anomaly scores rather than</w:t>
      </w:r>
      <w:r>
        <w:t xml:space="preserve"> </w:t>
      </w:r>
      <w:r>
        <w:t xml:space="preserve">interpretable 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induced by label permutation</w:t>
      </w:r>
      <w:r>
        <w:t xml:space="preserve"> </w:t>
      </w:r>
      <w:r>
        <w:t xml:space="preserve">on mined patterns. Under a fixed pattern hit-set, the label-permutation</w:t>
      </w:r>
      <w:r>
        <w:t xml:space="preserve"> </w:t>
      </w:r>
      <w:r>
        <w:t xml:space="preserve">distribution of failure-class hit count is exactly hypergeometric,</w:t>
      </w:r>
      <w:r>
        <w:t xml:space="preserve"> </w:t>
      </w:r>
      <w:r>
        <w:t xml:space="preserve">so we compute exact p-values in closed form instead of Monte Carlo.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four-trace regime-of-validity</w:t>
      </w:r>
      <w:r>
        <w:t xml:space="preserve"> </w:t>
      </w:r>
      <w:r>
        <w:t xml:space="preserve">study in §7.4 is likewise, to our knowledge,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4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0cc0213a3a3d6b0aa45b5af167aefb97013eef0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3"/>
    <w:bookmarkEnd w:id="34"/>
    <w:bookmarkStart w:id="40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5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5"/>
    <w:bookmarkStart w:id="36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6"/>
    <w:bookmarkStart w:id="37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7"/>
    <w:bookmarkStart w:id="38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§3.4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Rothman-Greenland ch. 15),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 x 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min-support 0.05, BH FDR correction on the p-values induced by</w:t>
      </w:r>
      <w:r>
        <w:t xml:space="preserve"> </w:t>
      </w:r>
      <w:r>
        <w:t xml:space="preserve">the Fisher-exact null of the same 2 x 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38"/>
    <w:bookmarkStart w:id="39" w:name="statistical-significance-1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Statistical significance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39"/>
    <w:bookmarkEnd w:id="40"/>
    <w:bookmarkStart w:id="45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2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1">
        <w:r>
          <w:rPr>
            <w:rStyle w:val="Hyperlink"/>
          </w:rPr>
          <w:t xml:space="preserve">azure_window_horizon_vs_events.png</w:t>
        </w:r>
      </w:hyperlink>
    </w:p>
    <w:bookmarkEnd w:id="42"/>
    <w:bookmarkStart w:id="44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3">
        <w:r>
          <w:rPr>
            <w:rStyle w:val="Hyperlink"/>
          </w:rPr>
          <w:t xml:space="preserve">azure_sensitivity_min_support.png</w:t>
        </w:r>
      </w:hyperlink>
    </w:p>
    <w:bookmarkEnd w:id="44"/>
    <w:bookmarkEnd w:id="45"/>
    <w:bookmarkStart w:id="56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47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6">
        <w:r>
          <w:rPr>
            <w:rStyle w:val="Hyperlink"/>
          </w:rPr>
          <w:t xml:space="preserve">azure_itemset_vs_sequence_lift.png</w:t>
        </w:r>
      </w:hyperlink>
    </w:p>
    <w:bookmarkEnd w:id="47"/>
    <w:bookmarkStart w:id="49" w:name="predictive-evaluation-four-traces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traces)</w:t>
      </w:r>
    </w:p>
    <w:p>
      <w:pPr>
        <w:pStyle w:val="FirstParagraph"/>
      </w:pPr>
      <w:r>
        <w:t xml:space="preserve">Head-to-head on temporally-held-out test 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8">
        <w:r>
          <w:rPr>
            <w:rStyle w:val="Hyperlink"/>
          </w:rPr>
          <w:t xml:space="preserve">four_dataset_predictive_comparison.png</w:t>
        </w:r>
      </w:hyperlink>
    </w:p>
    <w:bookmarkEnd w:id="49"/>
    <w:bookmarkStart w:id="50" w:name="order-gain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gain</w:t>
      </w:r>
    </w:p>
    <w:p>
      <w:pPr>
        <w:pStyle w:val="FirstParagraph"/>
      </w:pPr>
      <w:r>
        <w:t xml:space="preserve">The order-gain distribution (sequence lift minus itemset lift for the</w:t>
      </w:r>
      <w:r>
        <w:t xml:space="preserve"> </w:t>
      </w:r>
      <w:r>
        <w:t xml:space="preserve">same items) is zero at horizons where windows contain 1-2 events</w:t>
      </w:r>
      <w:r>
        <w:t xml:space="preserve"> </w:t>
      </w:r>
      <w:r>
        <w:t xml:space="preserve">(Azure 1h/6h/24h) and positive with mean 0.30-0.32 and max 1.5 at</w:t>
      </w:r>
      <w:r>
        <w:t xml:space="preserve"> </w:t>
      </w:r>
      <w:r>
        <w:t xml:space="preserve">count-based horizons where the method finds signal (Azure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/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). On BGL and SCANIA the order gain</w:t>
      </w:r>
      <w:r>
        <w:t xml:space="preserve"> </w:t>
      </w:r>
      <w:r>
        <w:t xml:space="preserve">does not translate into AUROC because the underlying itemset signal</w:t>
      </w:r>
      <w:r>
        <w:t xml:space="preserve"> </w:t>
      </w:r>
      <w:r>
        <w:t xml:space="preserve">is itself weak.</w:t>
      </w:r>
    </w:p>
    <w:bookmarkEnd w:id="50"/>
    <w:bookmarkStart w:id="51" w:name="X44aeb5833a19b6d32b8998867e975190f65e5f8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Predictive vs frequent-noise separation across traces</w:t>
      </w:r>
    </w:p>
    <w:p>
      <w:pPr>
        <w:pStyle w:val="FirstParagraph"/>
      </w:pPr>
      <w:r>
        <w:t xml:space="preserve">The paper’s central object is not the AUROC number but the fraction</w:t>
      </w:r>
      <w:r>
        <w:t xml:space="preserve"> </w:t>
      </w:r>
      <w:r>
        <w:t xml:space="preserve">of mined frequent patterns that pass the per-pattern statistical</w:t>
      </w:r>
      <w:r>
        <w:t xml:space="preserve"> </w:t>
      </w:r>
      <w:r>
        <w:t xml:space="preserve">significance test. Frequency alone is a weak proxy for</w:t>
      </w:r>
      <w:r>
        <w:t xml:space="preserve"> </w:t>
      </w:r>
      <w:r>
        <w:t xml:space="preserve">predictiveness; the significance test tells us which mined patterns</w:t>
      </w:r>
      <w:r>
        <w:t xml:space="preserve"> </w:t>
      </w:r>
      <w:r>
        <w:t xml:space="preserve">carry elevated failure hazard against matched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1149"/>
        <w:gridCol w:w="1660"/>
        <w:gridCol w:w="2682"/>
        <w:gridCol w:w="12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significant / 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/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/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 / 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 / 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562 / 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/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 / 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itemsets+seq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1 / 2-13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risk-set + MH-OR raw 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4,829 / 42,453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risk-set + hypergeom +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3,516 / 42,453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risk-set + hypergeom + BY q&lt;0.05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2,560 / 42,453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6.0%</w:t>
            </w:r>
          </w:p>
        </w:tc>
      </w:tr>
    </w:tbl>
    <w:p>
      <w:pPr>
        <w:pStyle w:val="BodyText"/>
      </w:pPr>
      <w:r>
        <w:t xml:space="preserve">Significance is BH-corrected q&lt;0.05 for Azure / Alibaba (Fisher-exact</w:t>
      </w:r>
      <w:r>
        <w:t xml:space="preserve"> </w:t>
      </w:r>
      <w:r>
        <w:t xml:space="preserve">p-values). SCANIA carries three rows to show how the fraction shifts</w:t>
      </w:r>
      <w:r>
        <w:t xml:space="preserve"> </w:t>
      </w:r>
      <w:r>
        <w:t xml:space="preserve">with increasingly conservative multi-testing correction: raw 95% CI</w:t>
      </w:r>
      <w:r>
        <w:t xml:space="preserve"> </w:t>
      </w:r>
      <w:r>
        <w:t xml:space="preserve">(11.4%), BH (8.3%), and the arbitrary-dependence-valid BY (6.0%). On the two winning traces the</w:t>
      </w:r>
      <w:r>
        <w:t xml:space="preserve"> </w:t>
      </w:r>
      <w:r>
        <w:t xml:space="preserve">majority of frequent patterns are also predictive; on the two</w:t>
      </w:r>
      <w:r>
        <w:t xml:space="preserve"> </w:t>
      </w:r>
      <w:r>
        <w:t xml:space="preserve">boundary traces the majority are frequent-but-noise, and the paper’s</w:t>
      </w:r>
      <w:r>
        <w:t xml:space="preserve"> </w:t>
      </w:r>
      <w:r>
        <w:t xml:space="preserve">concrete predictive-pattern list is short.</w:t>
      </w:r>
    </w:p>
    <w:bookmarkEnd w:id="51"/>
    <w:bookmarkStart w:id="52" w:name="formal-significance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Formal significance</w:t>
      </w:r>
    </w:p>
    <w:p>
      <w:pPr>
        <w:pStyle w:val="FirstParagraph"/>
      </w:pPr>
      <w:r>
        <w:t xml:space="preserve">At BH q &lt; 0.05: every Azure 24h itemset (6/6) and every Azure 24h</w:t>
      </w:r>
      <w:r>
        <w:t xml:space="preserve"> </w:t>
      </w:r>
      <w:r>
        <w:t xml:space="preserve">sequence (7/7) is significant; 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 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  <w:r>
        <w:t xml:space="preserve"> </w:t>
      </w:r>
      <w:r>
        <w:t xml:space="preserve">Both 1h and 6h Azure horizons flag zero patterns as expected</w:t>
      </w:r>
      <w:r>
        <w:t xml:space="preserve"> </w:t>
      </w:r>
      <w:r>
        <w:t xml:space="preserve">(0/3 sequences at 1h, 0/5 at 6h). On 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</w:t>
      </w:r>
      <w:r>
        <w:t xml:space="preserve"> </w:t>
      </w:r>
      <w:r>
        <w:t xml:space="preserve">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2"/>
    <w:bookmarkStart w:id="53" w:name="X9089ac7c4740497ca2f8946257a25d0f4921163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6.6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× 3 controls each drawn from the risk set at</w:t>
      </w:r>
      <w:r>
        <w:t xml:space="preserve"> </w:t>
      </w:r>
      <w:r>
        <w:t xml:space="preserve">each case’s failure lifetime), FP-Growth at min-support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  <w:r>
        <w:t xml:space="preserve"> </w:t>
      </w:r>
      <w:r>
        <w:t xml:space="preserve">A closed-itemset post-filter losslessly deduplicates any patterns</w:t>
      </w:r>
      <w:r>
        <w:t xml:space="preserve"> </w:t>
      </w:r>
      <w:r>
        <w:t xml:space="preserve">that share exact support with a strict superset; on this trace only</w:t>
      </w:r>
      <w:r>
        <w:t xml:space="preserve"> </w:t>
      </w:r>
      <w:r>
        <w:t xml:space="preserve">281 patterns collapse (99.3% of the frequent set is already closed</w:t>
      </w:r>
      <w:r>
        <w:t xml:space="preserve"> </w:t>
      </w:r>
      <w:r>
        <w:t xml:space="preserve">because histogram-bin supersets typically differ in support from any</w:t>
      </w:r>
      <w:r>
        <w:t xml:space="preserve"> </w:t>
      </w:r>
      <w:r>
        <w:t xml:space="preserve">proper subset by at least one truck). Applying exact one-sided</w:t>
      </w:r>
      <w:r>
        <w:t xml:space="preserve"> </w:t>
      </w:r>
      <w:r>
        <w:t xml:space="preserve">hypergeometric p-values on the risk-set-matched 2 x 2 tables, then</w:t>
      </w:r>
      <w:r>
        <w:t xml:space="preserve"> </w:t>
      </w:r>
      <w:r>
        <w:t xml:space="preserve">Benjamini-Hochberg FDR correction:</w:t>
      </w:r>
      <w:r>
        <w:t xml:space="preserve"> </w:t>
      </w:r>
      <w:r>
        <w:rPr>
          <w:b/>
          <w:bCs/>
        </w:rPr>
        <w:t xml:space="preserve">3,516 patterns pass q_BH &lt; 0.05</w:t>
      </w:r>
      <w:r>
        <w:t xml:space="preserve"> </w:t>
      </w:r>
      <w:r>
        <w:t xml:space="preserve">(8.3%). Under the more conservative Benjamini-Yekutieli correction</w:t>
      </w:r>
      <w:r>
        <w:t xml:space="preserve"> </w:t>
      </w:r>
      <w:r>
        <w:t xml:space="preserve">that is valid under arbitrary dependence between patterns (justified</w:t>
      </w:r>
      <w:r>
        <w:t xml:space="preserve"> </w:t>
      </w:r>
      <w:r>
        <w:t xml:space="preserve">here because nearby itemsets share items):</w:t>
      </w:r>
      <w:r>
        <w:t xml:space="preserve"> </w:t>
      </w:r>
      <w:r>
        <w:rPr>
          <w:b/>
          <w:bCs/>
        </w:rPr>
        <w:t xml:space="preserve">2,560 patterns pass</w:t>
      </w:r>
      <w:r>
        <w:rPr>
          <w:b/>
          <w:bCs/>
        </w:rPr>
        <w:t xml:space="preserve"> </w:t>
      </w:r>
      <w:r>
        <w:rPr>
          <w:b/>
          <w:bCs/>
        </w:rPr>
        <w:t xml:space="preserve">q_BY &lt; 0.05</w:t>
      </w:r>
      <w:r>
        <w:t xml:space="preserve"> </w:t>
      </w:r>
      <w:r>
        <w:t xml:space="preserve">(6.0%). The naive per-pattern 95% Woolf-Haldane CI</w:t>
      </w:r>
      <w:r>
        <w:t xml:space="preserve"> </w:t>
      </w:r>
      <w:r>
        <w:t xml:space="preserve">without multi-testing correction flags 4,829 (11.4%); the honest</w:t>
      </w:r>
      <w:r>
        <w:t xml:space="preserve"> </w:t>
      </w:r>
      <w:r>
        <w:t xml:space="preserve">predictive fraction after FDR is therefore 6-8%.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§3.4 note that</w:t>
      </w:r>
      <w:r>
        <w:t xml:space="preserve"> </w:t>
      </w:r>
      <w:r>
        <w:t xml:space="preserve">Component X features encode 6 histograms.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3"/>
    <w:bookmarkStart w:id="55" w:name="lead-time-on-true-positives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6.7 Lead time on true positives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4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55"/>
    <w:bookmarkEnd w:id="56"/>
    <w:bookmarkStart w:id="60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57" w:name="X1fff9881fd829d9c26a57a6e774b5a2b4f11174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57"/>
    <w:bookmarkStart w:id="58" w:name="X75d9a394a307a62bf087024a3c4b370afb7d957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7.3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58"/>
    <w:bookmarkStart w:id="59" w:name="regime-of-validity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7.4 Regime of validity</w:t>
      </w:r>
    </w:p>
    <w:p>
      <w:pPr>
        <w:pStyle w:val="FirstParagraph"/>
      </w:pPr>
      <w:r>
        <w:t xml:space="preserve">The four-trace survey resolves an obvious follow-up question:</w:t>
      </w:r>
      <w:r>
        <w:t xml:space="preserve"> </w:t>
      </w:r>
      <w:r>
        <w:t xml:space="preserve">does the sequences+itemsets combined-feature-set advantage transfer</w:t>
      </w:r>
      <w:r>
        <w:t xml:space="preserve"> </w:t>
      </w:r>
      <w:r>
        <w:t xml:space="preserve">to any operational event log? It does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SCANIA): the target class</w:t>
      </w:r>
      <w:r>
        <w:t xml:space="preserve"> </w:t>
      </w:r>
      <w:r>
        <w:t xml:space="preserve">is self-triggering (BGL alerts follow other alerts, and non-alert</w:t>
      </w:r>
      <w:r>
        <w:t xml:space="preserve"> </w:t>
      </w:r>
      <w:r>
        <w:t xml:space="preserve">log lines carry no discriminable precursor signal), or the discrete</w:t>
      </w:r>
      <w:r>
        <w:t xml:space="preserve"> </w:t>
      </w:r>
      <w:r>
        <w:t xml:space="preserve">event stream must be derived from continuous counters (SCANIA</w:t>
      </w:r>
      <w:r>
        <w:t xml:space="preserve"> </w:t>
      </w:r>
      <w:r>
        <w:t xml:space="preserve">requires binning per-vehicle deltas, and a defensible 90th-percentile</w:t>
      </w:r>
      <w:r>
        <w:t xml:space="preserve"> </w:t>
      </w:r>
      <w:r>
        <w:t xml:space="preserve">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two wins</w:t>
      </w:r>
      <w:r>
        <w:t xml:space="preserve"> </w:t>
      </w:r>
      <w:r>
        <w:t xml:space="preserve">(Azure PdM, Alibaba v2018), where target failure is preceded by a</w:t>
      </w:r>
      <w:r>
        <w:t xml:space="preserve"> </w:t>
      </w:r>
      <w:r>
        <w:t xml:space="preserve">discriminable ordered event trajectory; (ii) BGL, where the target</w:t>
      </w:r>
      <w:r>
        <w:t xml:space="preserve"> </w:t>
      </w:r>
      <w:r>
        <w:t xml:space="preserve">class is self-triggering with no discriminable non-alert precursor;</w:t>
      </w:r>
      <w:r>
        <w:t xml:space="preserve"> </w:t>
      </w:r>
      <w:r>
        <w:t xml:space="preserve">(iii) Component X, where the target has strong per-truck signal in aggregate</w:t>
      </w:r>
      <w:r>
        <w:t xml:space="preserve"> </w:t>
      </w:r>
      <w:r>
        <w:t xml:space="preserve">features but no last-K-events trajectory signal, so pattern mining</w:t>
      </w:r>
      <w:r>
        <w:t xml:space="preserve"> </w:t>
      </w:r>
      <w:r>
        <w:t xml:space="preserve">on windows attains the temporal-split ceiling but not the</w:t>
      </w:r>
      <w:r>
        <w:t xml:space="preserve"> </w:t>
      </w:r>
      <w:r>
        <w:t xml:space="preserve">transductive per-vehicle ceiling. The APS positive control confirms</w:t>
      </w:r>
      <w:r>
        <w:t xml:space="preserve"> </w:t>
      </w:r>
      <w:r>
        <w:t xml:space="preserve">that (iii) is a target-shape distinction, not a manufacturer or</w:t>
      </w:r>
      <w:r>
        <w:t xml:space="preserve"> </w:t>
      </w:r>
      <w:r>
        <w:t xml:space="preserve">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Azure PdM and Alibaba v2018 satisfy all three.</w:t>
      </w:r>
    </w:p>
    <w:p>
      <w:pPr>
        <w:pStyle w:val="BodyText"/>
      </w:pPr>
      <w:r>
        <w:t xml:space="preserve">The two lead-time regimes in §6.7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59"/>
    <w:bookmarkEnd w:id="60"/>
    <w:bookmarkStart w:id="61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7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7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7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7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7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61"/>
    <w:bookmarkStart w:id="62" w:name="conclusion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two of four traces studied.</w:t>
      </w:r>
      <w:r>
        <w:t xml:space="preserve"> </w:t>
      </w:r>
      <w:r>
        <w:t xml:space="preserve">On both winning traces, sequences add real predictive information</w:t>
      </w:r>
      <w:r>
        <w:t xml:space="preserve"> </w:t>
      </w:r>
      <w:r>
        <w:t xml:space="preserve">beyond itemsets when window definitions are rich enough for order</w:t>
      </w:r>
      <w:r>
        <w:t xml:space="preserve"> </w:t>
      </w:r>
      <w:r>
        <w:t xml:space="preserve">to be a real degree of freedom; at those horizons, combining</w:t>
      </w:r>
      <w:r>
        <w:t xml:space="preserve"> </w:t>
      </w:r>
      <w:r>
        <w:t xml:space="preserve">itemset and sequence features improves failure prediction by 5-10</w:t>
      </w:r>
      <w:r>
        <w:t xml:space="preserve"> </w:t>
      </w:r>
      <w:r>
        <w:t xml:space="preserve">AUROC points over either alone. The result replicates across a</w:t>
      </w:r>
      <w:r>
        <w:t xml:space="preserve"> </w:t>
      </w:r>
      <w:r>
        <w:t xml:space="preserve">synthetic per-machine trace (Azure PdM) and a real per-job</w:t>
      </w:r>
      <w:r>
        <w:t xml:space="preserve"> </w:t>
      </w:r>
      <w:r>
        <w:t xml:space="preserve">production trace (Alibaba v2018), and its regime of validity is</w:t>
      </w:r>
      <w:r>
        <w:t xml:space="preserve"> </w:t>
      </w:r>
      <w:r>
        <w:t xml:space="preserve">mapped by two additional traces (BGL, SCANIA) where the pipeline</w:t>
      </w:r>
      <w:r>
        <w:t xml:space="preserve"> </w:t>
      </w:r>
      <w:r>
        <w:t xml:space="preserve">does not find signal, with a mechanistic explanation for each.</w:t>
      </w:r>
    </w:p>
    <w:p>
      <w:r>
        <w:pict>
          <v:rect style="width:0;height:1.5pt" o:hralign="center" o:hrstd="t" o:hr="t"/>
        </w:pict>
      </w:r>
    </w:p>
    <w:bookmarkEnd w:id="62"/>
    <w:bookmarkStart w:id="63" w:name="what-is-still-missing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What is still missing</w:t>
      </w:r>
    </w:p>
    <w:p>
      <w:pPr>
        <w:pStyle w:val="Compact"/>
        <w:numPr>
          <w:ilvl w:val="0"/>
          <w:numId w:val="1008"/>
        </w:numPr>
      </w:pPr>
      <w:r>
        <w:t xml:space="preserve">Regularization sweep and cross-machine / cross-job leave-one-out</w:t>
      </w:r>
      <w:r>
        <w:t xml:space="preserve"> </w:t>
      </w:r>
      <w:r>
        <w:t xml:space="preserve">for a fuller Phase 7.</w:t>
      </w:r>
    </w:p>
    <w:p>
      <w:pPr>
        <w:pStyle w:val="Compact"/>
        <w:numPr>
          <w:ilvl w:val="0"/>
          <w:numId w:val="1008"/>
        </w:numPr>
      </w:pPr>
      <w:r>
        <w:t xml:space="preserve">Optional: per-machine Alibaba analysis with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Prose polish + related-work paragraph expansion (scout returning).</w:t>
      </w:r>
    </w:p>
    <w:p>
      <w:pPr>
        <w:pStyle w:val="Compact"/>
        <w:numPr>
          <w:ilvl w:val="0"/>
          <w:numId w:val="1008"/>
        </w:numPr>
      </w:pPr>
      <w:r>
        <w:t xml:space="preserve">HTML/DOCX build via</w:t>
      </w:r>
      <w:r>
        <w:t xml:space="preserve"> </w:t>
      </w:r>
      <w:r>
        <w:rPr>
          <w:rStyle w:val="VerbatimChar"/>
        </w:rPr>
        <w:t xml:space="preserve">paper-build</w:t>
      </w:r>
      <w:r>
        <w:t xml:space="preserve"> </w:t>
      </w:r>
      <w:r>
        <w:t xml:space="preserve">skill once prose is settled.</w:t>
      </w:r>
    </w:p>
    <w:bookmarkEnd w:id="63"/>
    <w:bookmarkStart w:id="127" w:name="what-is-verified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What is verified</w:t>
      </w:r>
    </w:p>
    <w:p>
      <w:pPr>
        <w:pStyle w:val="Compact"/>
        <w:numPr>
          <w:ilvl w:val="0"/>
          <w:numId w:val="1009"/>
        </w:numPr>
      </w:pPr>
      <w:r>
        <w:t xml:space="preserve">Bibliography:</w:t>
      </w:r>
      <w:r>
        <w:t xml:space="preserve"> </w:t>
      </w:r>
      <w:hyperlink r:id="rId64">
        <w:r>
          <w:rPr>
            <w:rStyle w:val="Hyperlink"/>
          </w:rPr>
          <w:t xml:space="preserve">paper/references.bib</w:t>
        </w:r>
      </w:hyperlink>
      <w:r>
        <w:t xml:space="preserve">, currently 12</w:t>
      </w:r>
      <w:r>
        <w:t xml:space="preserve"> </w:t>
      </w:r>
      <w:r>
        <w:t xml:space="preserve">entries validated by</w:t>
      </w:r>
      <w:r>
        <w:t xml:space="preserve"> </w:t>
      </w:r>
      <w:r>
        <w:rPr>
          <w:rStyle w:val="VerbatimChar"/>
        </w:rPr>
        <w:t xml:space="preserve">bibtest</w:t>
      </w:r>
      <w:r>
        <w:t xml:space="preserve">. Expansion pending scout return.</w:t>
      </w:r>
    </w:p>
    <w:p>
      <w:pPr>
        <w:pStyle w:val="Compact"/>
        <w:numPr>
          <w:ilvl w:val="0"/>
          <w:numId w:val="1009"/>
        </w:numPr>
      </w:pPr>
      <w:r>
        <w:t xml:space="preserve">Numbers audit: 50 / 50 claims in the previous 2-trace skeleton</w:t>
      </w:r>
      <w:r>
        <w:t xml:space="preserve"> </w:t>
      </w:r>
      <w:r>
        <w:t xml:space="preserve">match the underlying JSON stats. Re-running after 4-trace and</w:t>
      </w:r>
      <w:r>
        <w:t xml:space="preserve"> </w:t>
      </w:r>
      <w:r>
        <w:t xml:space="preserve">boundary-condition additions.</w:t>
      </w:r>
    </w:p>
    <w:bookmarkStart w:id="126" w:name="refs"/>
    <w:bookmarkStart w:id="65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65"/>
    <w:bookmarkStart w:id="67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66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67"/>
    <w:bookmarkStart w:id="69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68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69"/>
    <w:bookmarkStart w:id="71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70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71"/>
    <w:bookmarkStart w:id="73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73"/>
    <w:bookmarkStart w:id="75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74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75"/>
    <w:bookmarkStart w:id="77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77"/>
    <w:bookmarkStart w:id="79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79"/>
    <w:bookmarkStart w:id="81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80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81"/>
    <w:bookmarkStart w:id="83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83"/>
    <w:bookmarkStart w:id="85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85"/>
    <w:bookmarkStart w:id="87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86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87"/>
    <w:bookmarkStart w:id="89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88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89"/>
    <w:bookmarkStart w:id="91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91"/>
    <w:bookmarkStart w:id="93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92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93"/>
    <w:bookmarkStart w:id="95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94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95"/>
    <w:bookmarkStart w:id="97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96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97"/>
    <w:bookmarkStart w:id="99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98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99"/>
    <w:bookmarkStart w:id="101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100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01"/>
    <w:bookmarkStart w:id="103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02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03"/>
    <w:bookmarkStart w:id="105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04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05"/>
    <w:bookmarkStart w:id="107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06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07"/>
    <w:bookmarkStart w:id="109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09"/>
    <w:bookmarkStart w:id="111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11"/>
    <w:bookmarkStart w:id="113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12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13"/>
    <w:bookmarkStart w:id="115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15"/>
    <w:bookmarkStart w:id="117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16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17"/>
    <w:bookmarkStart w:id="119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18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19"/>
    <w:bookmarkStart w:id="121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20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21"/>
    <w:bookmarkStart w:id="123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23"/>
    <w:bookmarkStart w:id="125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24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25"/>
    <w:bookmarkEnd w:id="126"/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diagnostics/azure_window_horizon_vs_events.png" TargetMode="External" /><Relationship Type="http://schemas.openxmlformats.org/officeDocument/2006/relationships/hyperlink" Id="rId46" Target="../results/figures/azure_itemset_vs_sequence_lift.png" TargetMode="External" /><Relationship Type="http://schemas.openxmlformats.org/officeDocument/2006/relationships/hyperlink" Id="rId43" Target="../results/figures/azure_sensitivity_min_support.png" TargetMode="External" /><Relationship Type="http://schemas.openxmlformats.org/officeDocument/2006/relationships/hyperlink" Id="rId48" Target="../results/figures/four_dataset_predictive_comparison.png" TargetMode="External" /><Relationship Type="http://schemas.openxmlformats.org/officeDocument/2006/relationships/hyperlink" Id="rId54" Target="../results/tables/" TargetMode="External" /><Relationship Type="http://schemas.openxmlformats.org/officeDocument/2006/relationships/hyperlink" Id="rId70" Target="https://arxiv.org/abs/1808.02919" TargetMode="External" /><Relationship Type="http://schemas.openxmlformats.org/officeDocument/2006/relationships/hyperlink" Id="rId86" Target="https://arxiv.org/abs/2401.04749" TargetMode="External" /><Relationship Type="http://schemas.openxmlformats.org/officeDocument/2006/relationships/hyperlink" Id="rId76" Target="https://doi.org/10.1007/978-3-031-11217-1_3" TargetMode="External" /><Relationship Type="http://schemas.openxmlformats.org/officeDocument/2006/relationships/hyperlink" Id="rId82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0" Target="https://doi.org/10.1007/978-3-319-46131-1_8" TargetMode="External" /><Relationship Type="http://schemas.openxmlformats.org/officeDocument/2006/relationships/hyperlink" Id="rId72" Target="https://doi.org/10.1007/978-3-319-46349-0_33" TargetMode="External" /><Relationship Type="http://schemas.openxmlformats.org/officeDocument/2006/relationships/hyperlink" Id="rId108" Target="https://doi.org/10.1007/978-981-16-1160-5_13" TargetMode="External" /><Relationship Type="http://schemas.openxmlformats.org/officeDocument/2006/relationships/hyperlink" Id="rId114" Target="https://doi.org/10.1007/BFb0014140" TargetMode="External" /><Relationship Type="http://schemas.openxmlformats.org/officeDocument/2006/relationships/hyperlink" Id="rId112" Target="https://doi.org/10.1007/s10489-021-03004-y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118" Target="https://doi.org/10.1023/A:1007652502315" TargetMode="External" /><Relationship Type="http://schemas.openxmlformats.org/officeDocument/2006/relationships/hyperlink" Id="rId92" Target="https://doi.org/10.1038/s41597-025-04802-6" TargetMode="External" /><Relationship Type="http://schemas.openxmlformats.org/officeDocument/2006/relationships/hyperlink" Id="rId94" Target="https://doi.org/10.1109/BigData.2017.8258257" TargetMode="External" /><Relationship Type="http://schemas.openxmlformats.org/officeDocument/2006/relationships/hyperlink" Id="rId102" Target="https://doi.org/10.1109/DSN.2007.103" TargetMode="External" /><Relationship Type="http://schemas.openxmlformats.org/officeDocument/2006/relationships/hyperlink" Id="rId104" Target="https://doi.org/10.1109/ICDE.2001.914830" TargetMode="External" /><Relationship Type="http://schemas.openxmlformats.org/officeDocument/2006/relationships/hyperlink" Id="rId124" Target="https://doi.org/10.1109/ICSE-SEIP.2019.00021" TargetMode="External" /><Relationship Type="http://schemas.openxmlformats.org/officeDocument/2006/relationships/hyperlink" Id="rId116" Target="https://doi.org/10.1109/ICSE43902.2021.00130" TargetMode="External" /><Relationship Type="http://schemas.openxmlformats.org/officeDocument/2006/relationships/hyperlink" Id="rId84" Target="https://doi.org/10.1109/IJCNN52387.2021.9534113" TargetMode="External" /><Relationship Type="http://schemas.openxmlformats.org/officeDocument/2006/relationships/hyperlink" Id="rId122" Target="https://doi.org/10.1109/ISSRE59848.2023.00071" TargetMode="External" /><Relationship Type="http://schemas.openxmlformats.org/officeDocument/2006/relationships/hyperlink" Id="rId110" Target="https://doi.org/10.1109/PHM.2008.4711414" TargetMode="External" /><Relationship Type="http://schemas.openxmlformats.org/officeDocument/2006/relationships/hyperlink" Id="rId68" Target="https://doi.org/10.1111/j.2517-6161.1995.tb02031.x" TargetMode="External" /><Relationship Type="http://schemas.openxmlformats.org/officeDocument/2006/relationships/hyperlink" Id="rId74" Target="https://doi.org/10.1145/3133956.3134015" TargetMode="External" /><Relationship Type="http://schemas.openxmlformats.org/officeDocument/2006/relationships/hyperlink" Id="rId120" Target="https://doi.org/10.1145/3338906.3338931" TargetMode="External" /><Relationship Type="http://schemas.openxmlformats.org/officeDocument/2006/relationships/hyperlink" Id="rId88" Target="https://doi.org/10.1145/342009.335372" TargetMode="External" /><Relationship Type="http://schemas.openxmlformats.org/officeDocument/2006/relationships/hyperlink" Id="rId96" Target="https://doi.org/10.1145/3472883.3487003" TargetMode="External" /><Relationship Type="http://schemas.openxmlformats.org/officeDocument/2006/relationships/hyperlink" Id="rId106" Target="https://doi.org/10.21105/joss.00638" TargetMode="External" /><Relationship Type="http://schemas.openxmlformats.org/officeDocument/2006/relationships/hyperlink" Id="rId98" Target="https://doi.org/10.24963/ijcai.2019/658" TargetMode="External" /><Relationship Type="http://schemas.openxmlformats.org/officeDocument/2006/relationships/hyperlink" Id="rId66" Target="https://github.com/alibaba/clusterdata" TargetMode="External" /><Relationship Type="http://schemas.openxmlformats.org/officeDocument/2006/relationships/hyperlink" Id="rId100" Target="https://www.kaggle.com/datasets/arnabbiswas1/microsoft-azure-predictive-maintenance" TargetMode="External" /><Relationship Type="http://schemas.openxmlformats.org/officeDocument/2006/relationships/hyperlink" Id="rId64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diagnostics/azure_window_horizon_vs_events.png" TargetMode="External" /><Relationship Type="http://schemas.openxmlformats.org/officeDocument/2006/relationships/hyperlink" Id="rId46" Target="../results/figures/azure_itemset_vs_sequence_lift.png" TargetMode="External" /><Relationship Type="http://schemas.openxmlformats.org/officeDocument/2006/relationships/hyperlink" Id="rId43" Target="../results/figures/azure_sensitivity_min_support.png" TargetMode="External" /><Relationship Type="http://schemas.openxmlformats.org/officeDocument/2006/relationships/hyperlink" Id="rId48" Target="../results/figures/four_dataset_predictive_comparison.png" TargetMode="External" /><Relationship Type="http://schemas.openxmlformats.org/officeDocument/2006/relationships/hyperlink" Id="rId54" Target="../results/tables/" TargetMode="External" /><Relationship Type="http://schemas.openxmlformats.org/officeDocument/2006/relationships/hyperlink" Id="rId70" Target="https://arxiv.org/abs/1808.02919" TargetMode="External" /><Relationship Type="http://schemas.openxmlformats.org/officeDocument/2006/relationships/hyperlink" Id="rId86" Target="https://arxiv.org/abs/2401.04749" TargetMode="External" /><Relationship Type="http://schemas.openxmlformats.org/officeDocument/2006/relationships/hyperlink" Id="rId76" Target="https://doi.org/10.1007/978-3-031-11217-1_3" TargetMode="External" /><Relationship Type="http://schemas.openxmlformats.org/officeDocument/2006/relationships/hyperlink" Id="rId82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0" Target="https://doi.org/10.1007/978-3-319-46131-1_8" TargetMode="External" /><Relationship Type="http://schemas.openxmlformats.org/officeDocument/2006/relationships/hyperlink" Id="rId72" Target="https://doi.org/10.1007/978-3-319-46349-0_33" TargetMode="External" /><Relationship Type="http://schemas.openxmlformats.org/officeDocument/2006/relationships/hyperlink" Id="rId108" Target="https://doi.org/10.1007/978-981-16-1160-5_13" TargetMode="External" /><Relationship Type="http://schemas.openxmlformats.org/officeDocument/2006/relationships/hyperlink" Id="rId114" Target="https://doi.org/10.1007/BFb0014140" TargetMode="External" /><Relationship Type="http://schemas.openxmlformats.org/officeDocument/2006/relationships/hyperlink" Id="rId112" Target="https://doi.org/10.1007/s10489-021-03004-y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118" Target="https://doi.org/10.1023/A:1007652502315" TargetMode="External" /><Relationship Type="http://schemas.openxmlformats.org/officeDocument/2006/relationships/hyperlink" Id="rId92" Target="https://doi.org/10.1038/s41597-025-04802-6" TargetMode="External" /><Relationship Type="http://schemas.openxmlformats.org/officeDocument/2006/relationships/hyperlink" Id="rId94" Target="https://doi.org/10.1109/BigData.2017.8258257" TargetMode="External" /><Relationship Type="http://schemas.openxmlformats.org/officeDocument/2006/relationships/hyperlink" Id="rId102" Target="https://doi.org/10.1109/DSN.2007.103" TargetMode="External" /><Relationship Type="http://schemas.openxmlformats.org/officeDocument/2006/relationships/hyperlink" Id="rId104" Target="https://doi.org/10.1109/ICDE.2001.914830" TargetMode="External" /><Relationship Type="http://schemas.openxmlformats.org/officeDocument/2006/relationships/hyperlink" Id="rId124" Target="https://doi.org/10.1109/ICSE-SEIP.2019.00021" TargetMode="External" /><Relationship Type="http://schemas.openxmlformats.org/officeDocument/2006/relationships/hyperlink" Id="rId116" Target="https://doi.org/10.1109/ICSE43902.2021.00130" TargetMode="External" /><Relationship Type="http://schemas.openxmlformats.org/officeDocument/2006/relationships/hyperlink" Id="rId84" Target="https://doi.org/10.1109/IJCNN52387.2021.9534113" TargetMode="External" /><Relationship Type="http://schemas.openxmlformats.org/officeDocument/2006/relationships/hyperlink" Id="rId122" Target="https://doi.org/10.1109/ISSRE59848.2023.00071" TargetMode="External" /><Relationship Type="http://schemas.openxmlformats.org/officeDocument/2006/relationships/hyperlink" Id="rId110" Target="https://doi.org/10.1109/PHM.2008.4711414" TargetMode="External" /><Relationship Type="http://schemas.openxmlformats.org/officeDocument/2006/relationships/hyperlink" Id="rId68" Target="https://doi.org/10.1111/j.2517-6161.1995.tb02031.x" TargetMode="External" /><Relationship Type="http://schemas.openxmlformats.org/officeDocument/2006/relationships/hyperlink" Id="rId74" Target="https://doi.org/10.1145/3133956.3134015" TargetMode="External" /><Relationship Type="http://schemas.openxmlformats.org/officeDocument/2006/relationships/hyperlink" Id="rId120" Target="https://doi.org/10.1145/3338906.3338931" TargetMode="External" /><Relationship Type="http://schemas.openxmlformats.org/officeDocument/2006/relationships/hyperlink" Id="rId88" Target="https://doi.org/10.1145/342009.335372" TargetMode="External" /><Relationship Type="http://schemas.openxmlformats.org/officeDocument/2006/relationships/hyperlink" Id="rId96" Target="https://doi.org/10.1145/3472883.3487003" TargetMode="External" /><Relationship Type="http://schemas.openxmlformats.org/officeDocument/2006/relationships/hyperlink" Id="rId106" Target="https://doi.org/10.21105/joss.00638" TargetMode="External" /><Relationship Type="http://schemas.openxmlformats.org/officeDocument/2006/relationships/hyperlink" Id="rId98" Target="https://doi.org/10.24963/ijcai.2019/658" TargetMode="External" /><Relationship Type="http://schemas.openxmlformats.org/officeDocument/2006/relationships/hyperlink" Id="rId66" Target="https://github.com/alibaba/clusterdata" TargetMode="External" /><Relationship Type="http://schemas.openxmlformats.org/officeDocument/2006/relationships/hyperlink" Id="rId100" Target="https://www.kaggle.com/datasets/arnabbiswas1/microsoft-azure-predictive-maintenance" TargetMode="External" /><Relationship Type="http://schemas.openxmlformats.org/officeDocument/2006/relationships/hyperlink" Id="rId64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2026-08-29T02:36:11Z</dcterms:created>
  <dcterms:modified xsi:type="dcterms:W3CDTF">2026-08-29T02:36:11Z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