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 Frequent Failure Sequences in Operational Event Logs</w:t>
      </w:r>
    </w:p>
    <w:p>
      <w:pPr>
        <w:pStyle w:val="Date"/>
      </w:pPr>
      <w:r>
        <w:t xml:space="preserve">2026-08-29</w:t>
      </w:r>
    </w:p>
    <w:bookmarkStart w:id="146" w:name="Xce1c4f30b6249f262e85315bbd79ad996dfa10c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Mining Frequent Failure Sequences in Operational Event Logs</w:t>
      </w:r>
    </w:p>
    <w:p>
      <w:pPr>
        <w:pStyle w:val="FirstParagraph"/>
      </w:pPr>
      <w:r>
        <w:rPr>
          <w:i/>
          <w:iCs/>
        </w:rPr>
        <w:t xml:space="preserve">Restructured draft. Numbers are current best estimates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pipeline as of 2026-08-28. TODO markers name what is still missing.</w:t>
      </w:r>
    </w:p>
    <w:bookmarkStart w:id="20" w:name="abstrac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event patterns from these</w:t>
      </w:r>
      <w:r>
        <w:t xml:space="preserve"> </w:t>
      </w:r>
      <w:r>
        <w:t xml:space="preserve">logs, but frequency does not imply predictiveness. Many mined</w:t>
      </w:r>
      <w:r>
        <w:t xml:space="preserve"> </w:t>
      </w:r>
      <w:r>
        <w:t xml:space="preserve">patterns occur equally often before failures and in normal operation.</w:t>
      </w:r>
      <w:r>
        <w:t xml:space="preserve"> </w:t>
      </w:r>
      <w:r>
        <w:t xml:space="preserve">This paper’s central object is the</w:t>
      </w:r>
      <w:r>
        <w:t xml:space="preserve"> </w:t>
      </w:r>
      <w:r>
        <w:rPr>
          <w:b/>
          <w:bCs/>
        </w:rPr>
        <w:t xml:space="preserve">predictive-versus-frequent</w:t>
      </w:r>
      <w:r>
        <w:rPr>
          <w:b/>
          <w:bCs/>
        </w:rPr>
        <w:t xml:space="preserve"> </w:t>
      </w:r>
      <w:r>
        <w:rPr>
          <w:b/>
          <w:bCs/>
        </w:rPr>
        <w:t xml:space="preserve">separation</w:t>
      </w:r>
      <w:r>
        <w:t xml:space="preserve"> </w:t>
      </w:r>
      <w:r>
        <w:t xml:space="preserve">across operational-log traces, produced by three</w:t>
      </w:r>
      <w:r>
        <w:t xml:space="preserve"> </w:t>
      </w:r>
      <w:r>
        <w:t xml:space="preserve">statistical safeguards: (i) an</w:t>
      </w:r>
      <w:r>
        <w:t xml:space="preserve"> </w:t>
      </w:r>
      <w:r>
        <w:rPr>
          <w:b/>
          <w:bCs/>
        </w:rPr>
        <w:t xml:space="preserve">entity-disjoint discovery/inference</w:t>
      </w:r>
      <w:r>
        <w:rPr>
          <w:b/>
          <w:bCs/>
        </w:rP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so that the mining step’s label-dependent selection does not</w:t>
      </w:r>
      <w:r>
        <w:t xml:space="preserve"> </w:t>
      </w:r>
      <w:r>
        <w:t xml:space="preserve">invalidate the significance test on selected patterns; (ii) a</w:t>
      </w:r>
      <w:r>
        <w:t xml:space="preserve"> </w:t>
      </w:r>
      <w:r>
        <w:rPr>
          <w:b/>
          <w:bCs/>
        </w:rPr>
        <w:t xml:space="preserve">count-preserving order comparator</w:t>
      </w:r>
      <w:r>
        <w:t xml:space="preserve"> </w:t>
      </w:r>
      <w:r>
        <w:t xml:space="preserve">that measures the pure ordering</w:t>
      </w:r>
      <w:r>
        <w:t xml:space="preserve"> </w:t>
      </w:r>
      <w:r>
        <w:t xml:space="preserve">effect of a sequence pattern against a permuted-multiset null,</w:t>
      </w:r>
      <w:r>
        <w:t xml:space="preserve"> </w:t>
      </w:r>
      <w:r>
        <w:t xml:space="preserve">isolating order from event multiplicity; and (iii) a</w:t>
      </w:r>
      <w:r>
        <w:t xml:space="preserve"> </w:t>
      </w:r>
      <w:r>
        <w:rPr>
          <w:b/>
          <w:bCs/>
        </w:rPr>
        <w:t xml:space="preserve">matched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logistic estimator</w:t>
      </w:r>
      <w:r>
        <w:t xml:space="preserve"> </w:t>
      </w:r>
      <w:r>
        <w:t xml:space="preserve">stratified by risk set for</w:t>
      </w:r>
      <w:r>
        <w:t xml:space="preserve"> </w:t>
      </w:r>
      <w:r>
        <w:t xml:space="preserve">right-censored traces, following the Prentice-Breslow nested-case-</w:t>
      </w:r>
      <w:r>
        <w:t xml:space="preserve"> </w:t>
      </w:r>
      <w:r>
        <w:t xml:space="preserve">control formulation. We characterise four operational traces spanning</w:t>
      </w:r>
      <w:r>
        <w:t xml:space="preserve"> </w:t>
      </w:r>
      <w:r>
        <w:t xml:space="preserve">three domains: synthetic industrial per-machine (Azure PdM), real</w:t>
      </w:r>
      <w:r>
        <w:t xml:space="preserve"> </w:t>
      </w:r>
      <w:r>
        <w:t xml:space="preserve">cloud per-job (Alibaba v2018), real HPC per-rack (LLNL Blue Gene/L</w:t>
      </w:r>
      <w:r>
        <w:t xml:space="preserve"> </w:t>
      </w:r>
      <w:r>
        <w:t xml:space="preserve">syslogs), and real automotive per-vehicle (SCANIA Component X). On</w:t>
      </w:r>
      <w:r>
        <w:t xml:space="preserve"> </w:t>
      </w:r>
      <w:r>
        <w:t xml:space="preserve">Azure and Alibaba, 45-100% of frequent itemsets pass post-selection-</w:t>
      </w:r>
      <w:r>
        <w:t xml:space="preserve"> </w:t>
      </w:r>
      <w:r>
        <w:t xml:space="preserve">valid BY q&lt;0.05 significance on the inference half. Order effect</w:t>
      </w:r>
      <w:r>
        <w:t xml:space="preserve"> </w:t>
      </w:r>
      <w:r>
        <w:t xml:space="preserve">under the count-preserving null: on Azure, real sequence lift exceeds</w:t>
      </w:r>
      <w:r>
        <w:t xml:space="preserve"> </w:t>
      </w:r>
      <w:r>
        <w:t xml:space="preserve">the count-preserving-shuffle lift by +0.52 (</w:t>
      </w:r>
      <w:r>
        <w:rPr>
          <w:rStyle w:val="VerbatimChar"/>
        </w:rPr>
        <w:t xml:space="preserve">last5</w:t>
      </w:r>
      <w:r>
        <w:t xml:space="preserve">) and +1.09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last10</w:t>
      </w:r>
      <w:r>
        <w:t xml:space="preserve">); on Alibaba the residual order effect is essentially zero</w:t>
      </w:r>
      <w:r>
        <w:t xml:space="preserve"> </w:t>
      </w:r>
      <w:r>
        <w:t xml:space="preserve">(-0.02 to +0.24), showing that the earlier naive</w:t>
      </w:r>
      <w:r>
        <w:t xml:space="preserve"> </w:t>
      </w:r>
      <w:r>
        <w:t xml:space="preserve">“</w:t>
      </w:r>
      <w:r>
        <w:t xml:space="preserve">order gain</w:t>
      </w:r>
      <w:r>
        <w:t xml:space="preserve">”</w:t>
      </w:r>
      <w:r>
        <w:t xml:space="preserve"> </w:t>
      </w:r>
      <w:r>
        <w:t xml:space="preserve">on</w:t>
      </w:r>
      <w:r>
        <w:t xml:space="preserve"> </w:t>
      </w:r>
      <w:r>
        <w:t xml:space="preserve">Alibaba was largely a multiplicity artefact rather than an ordering</w:t>
      </w:r>
      <w:r>
        <w:t xml:space="preserve"> </w:t>
      </w:r>
      <w:r>
        <w:t xml:space="preserve">signal. On SCANIA Component X, matched conditional logistic</w:t>
      </w:r>
      <w:r>
        <w:t xml:space="preserve"> </w:t>
      </w:r>
      <w:r>
        <w:t xml:space="preserve">stratified by risk set gives top per-pattern hazard ratio 1.73</w:t>
      </w:r>
      <w:r>
        <w:t xml:space="preserve"> </w:t>
      </w:r>
      <w:r>
        <w:t xml:space="preserve">(95% CI [1.53, 1.96], p = 1e-17), with 121/200 top patterns</w:t>
      </w:r>
      <w:r>
        <w:t xml:space="preserve"> </w:t>
      </w:r>
      <w:r>
        <w:t xml:space="preserve">significant; a pooled 2x2 odds ratio on the same data would inflate</w:t>
      </w:r>
      <w:r>
        <w:t xml:space="preserve"> </w:t>
      </w:r>
      <w:r>
        <w:t xml:space="preserve">the effect to 2.72 by discarding the matched structure. On BGL,</w:t>
      </w:r>
      <w:r>
        <w:t xml:space="preserve"> </w:t>
      </w:r>
      <w:r>
        <w:t xml:space="preserve">essentially no non-alert precursor pattern survives the post-</w:t>
      </w:r>
      <w:r>
        <w:t xml:space="preserve"> </w:t>
      </w:r>
      <w:r>
        <w:t xml:space="preserve">selection-valid test, consistent with the target class being a</w:t>
      </w:r>
      <w:r>
        <w:t xml:space="preserve"> </w:t>
      </w:r>
      <w:r>
        <w:t xml:space="preserve">self-triggering alert cascade. Concrete Azure predictive signature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3.73 with a genuine order effect after multiplicity control.</w:t>
      </w:r>
      <w:r>
        <w:t xml:space="preserve"> </w:t>
      </w:r>
      <w:r>
        <w:t xml:space="preserve">Adding surviving patterns to a temporally-held-out logistic</w:t>
      </w:r>
      <w:r>
        <w:t xml:space="preserve"> </w:t>
      </w:r>
      <w:r>
        <w:t xml:space="preserve">regression as binary features improves failure prediction by +5.6</w:t>
      </w:r>
      <w:r>
        <w:t xml:space="preserve"> </w:t>
      </w:r>
      <w:r>
        <w:t xml:space="preserve">AUROC on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over itemset-only features. Mined patterns,</w:t>
      </w:r>
      <w:r>
        <w:t xml:space="preserve"> </w:t>
      </w:r>
      <w:r>
        <w:t xml:space="preserve">matched-control windows, discovery/inference splits, and matched</w:t>
      </w:r>
      <w:r>
        <w:t xml:space="preserve"> </w:t>
      </w:r>
      <w:r>
        <w:t xml:space="preserve">hazard-ratio outputs are released as reproducible parquet artefacts</w:t>
      </w:r>
      <w:r>
        <w:t xml:space="preserve"> </w:t>
      </w:r>
      <w:r>
        <w:t xml:space="preserve">alongside the code repository.</w:t>
      </w:r>
    </w:p>
    <w:bookmarkEnd w:id="20"/>
    <w:bookmarkStart w:id="21" w:name="introduction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 RECURRENT ORDERED SEQUENCES 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The paper’s central question is</w:t>
      </w:r>
      <w:r>
        <w:t xml:space="preserve"> </w:t>
      </w:r>
      <w:r>
        <w:t xml:space="preserve">whether the second family finds anything the first does not.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Mantel-Haenszel odds-ratio scoring, which estimates per-</w:t>
      </w:r>
      <w:r>
        <w:t xml:space="preserve"> </w:t>
      </w:r>
      <w:r>
        <w:t xml:space="preserve">pattern hazard ratios without modifying the mining stage. This is</w:t>
      </w:r>
      <w:r>
        <w:t xml:space="preserve"> </w:t>
      </w:r>
      <w:r>
        <w:t xml:space="preserve">the tool that lets the pipeline apply to traces where entities</w:t>
      </w:r>
      <w:r>
        <w:t xml:space="preserve"> </w:t>
      </w:r>
      <w:r>
        <w:t xml:space="preserve">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 downstream</w:t>
      </w:r>
      <w:r>
        <w:t xml:space="preserve"> </w:t>
      </w:r>
      <w:r>
        <w:rPr>
          <w:b/>
          <w:bCs/>
        </w:rPr>
        <w:t xml:space="preserve">predictive evaluation</w:t>
      </w:r>
      <w:r>
        <w:t xml:space="preserve"> </w:t>
      </w:r>
      <w:r>
        <w:t xml:space="preserve">on a temporally-held-out</w:t>
      </w:r>
      <w:r>
        <w:t xml:space="preserve"> </w:t>
      </w:r>
      <w:r>
        <w:t xml:space="preserve">split that compares four feature sets (event-count baseline,</w:t>
      </w:r>
      <w:r>
        <w:t xml:space="preserve"> </w:t>
      </w:r>
      <w:r>
        <w:t xml:space="preserve">itemsets, sequences, combined) built from patterns that survived</w:t>
      </w:r>
      <w:r>
        <w:t xml:space="preserve"> </w:t>
      </w:r>
      <w:r>
        <w:t xml:space="preserve">training-set significance, under logistic regression.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four public event-log</w:t>
      </w:r>
      <w:r>
        <w:t xml:space="preserve"> </w:t>
      </w:r>
      <w:r>
        <w:t xml:space="preserve">traces spanning three domains: synthetic industrial per-machine</w:t>
      </w:r>
      <w:r>
        <w:t xml:space="preserve"> </w:t>
      </w:r>
      <w:r>
        <w:t xml:space="preserve">(Azure PdM), real cloud per-job (Alibaba cluster-trace-v2018),</w:t>
      </w:r>
      <w:r>
        <w:t xml:space="preserve"> </w:t>
      </w:r>
      <w:r>
        <w:t xml:space="preserve">real HPC per-rack (LLNL Blue Gene/L syslogs), and real automotive</w:t>
      </w:r>
      <w:r>
        <w:t xml:space="preserve"> </w:t>
      </w:r>
      <w:r>
        <w:t xml:space="preserve">per-vehicle (SCANIA Component X). We report the fraction of mined</w:t>
      </w:r>
      <w:r>
        <w:t xml:space="preserve"> </w:t>
      </w:r>
      <w:r>
        <w:t xml:space="preserve">patterns that pass significance on each trace, the strongest</w:t>
      </w:r>
      <w:r>
        <w:t xml:space="preserve"> </w:t>
      </w:r>
      <w:r>
        <w:t xml:space="preserve">predictive signatures, and the mechanistic reason why the</w:t>
      </w:r>
      <w:r>
        <w:t xml:space="preserve"> </w:t>
      </w:r>
      <w:r>
        <w:t xml:space="preserve">fraction varies from ~85% (Azure last5 sequences) to 0% (BGL) to</w:t>
      </w:r>
      <w:r>
        <w:t xml:space="preserve"> </w:t>
      </w:r>
      <w:r>
        <w:t xml:space="preserve">6% (SCANIA risk-set matched, BY-corrected).</w:t>
      </w:r>
    </w:p>
    <w:bookmarkEnd w:id="21"/>
    <w:bookmarkStart w:id="29" w:name="background-and-related-work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(Agrawal and Srikant 1994)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(Han, Pei, and Yin 2000)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(Srikant and Agrawal 1996)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(Zaki 2001)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(Pei et al. 2001)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(Fournier-Viger, Gomariz, et al. 2014)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(Fournier-Viger, Wu, et al. 2014)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(Fournier-Viger et al. 2022)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(Fournier-Viger et al. 2016)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(Raschka 2018)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(Ren et al. 2021)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(İfraz and Ersöz 2024)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post-selection-valid</w:t>
      </w:r>
      <w:r>
        <w:t xml:space="preserve"> </w:t>
      </w:r>
      <w:r>
        <w:t xml:space="preserve">matched-control + BY-corrected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Discriminative and statistically-significant pattern mining.</w:t>
      </w:r>
      <w:r>
        <w:t xml:space="preserve"> </w:t>
      </w:r>
      <w:r>
        <w:t xml:space="preserve">Dong</w:t>
      </w:r>
      <w:r>
        <w:t xml:space="preserve"> </w:t>
      </w:r>
      <w:r>
        <w:t xml:space="preserve">and Li</w:t>
      </w:r>
      <w:r>
        <w:t xml:space="preserve"> </w:t>
      </w:r>
      <w:r>
        <w:t xml:space="preserve">(Dong and Li 1999)</w:t>
      </w:r>
      <w:r>
        <w:t xml:space="preserve"> </w:t>
      </w:r>
      <w:r>
        <w:t xml:space="preserve">introduced emerging patterns as itemsets</w:t>
      </w:r>
      <w:r>
        <w:t xml:space="preserve"> </w:t>
      </w:r>
      <w:r>
        <w:t xml:space="preserve">whose support differs substantially between classes; Bay and Pazzani</w:t>
      </w:r>
      <w:r>
        <w:t xml:space="preserve"> </w:t>
      </w:r>
      <w:r>
        <w:t xml:space="preserve">(Bay and Pazzani 1999)</w:t>
      </w:r>
      <w:r>
        <w:t xml:space="preserve"> </w:t>
      </w:r>
      <w:r>
        <w:t xml:space="preserve">formulated the parallel notion of contrast sets</w:t>
      </w:r>
      <w:r>
        <w:t xml:space="preserve"> </w:t>
      </w:r>
      <w:r>
        <w:t xml:space="preserve">in the same year. This class-contrast literature is a direct</w:t>
      </w:r>
      <w:r>
        <w:t xml:space="preserve"> </w:t>
      </w:r>
      <w:r>
        <w:t xml:space="preserve">ancestor of the paper’s predictive-vs-frequent-noise separation.</w:t>
      </w:r>
      <w:r>
        <w:t xml:space="preserve"> </w:t>
      </w:r>
      <w:r>
        <w:t xml:space="preserve">Statistically significant pattern mining sharpens the criterion:</w:t>
      </w:r>
      <w:r>
        <w:t xml:space="preserve"> </w:t>
      </w:r>
      <w:r>
        <w:t xml:space="preserve">Terada et al.</w:t>
      </w:r>
      <w:r>
        <w:t xml:space="preserve"> </w:t>
      </w:r>
      <w:r>
        <w:t xml:space="preserve">(Terada et al. 2013)</w:t>
      </w:r>
      <w:r>
        <w:t xml:space="preserve"> </w:t>
      </w:r>
      <w:r>
        <w:t xml:space="preserve">give an exact family-wise-error</w:t>
      </w:r>
      <w:r>
        <w:t xml:space="preserve"> </w:t>
      </w:r>
      <w:r>
        <w:t xml:space="preserve">control for combinatorial regulations. All of these</w:t>
      </w:r>
      <w:r>
        <w:t xml:space="preserve"> </w:t>
      </w:r>
      <w:r>
        <w:t xml:space="preserve">methods share the ordinary post-selection-inference concern (Fithian,</w:t>
      </w:r>
      <w:r>
        <w:t xml:space="preserve"> </w:t>
      </w:r>
      <w:r>
        <w:t xml:space="preserve">Sun and Taylor</w:t>
      </w:r>
      <w:r>
        <w:t xml:space="preserve"> </w:t>
      </w:r>
      <w:r>
        <w:t xml:space="preserve">(Fithian, Sun, and Taylor 2014)</w:t>
      </w:r>
      <w:r>
        <w:t xml:space="preserve">) that mining and testing on the</w:t>
      </w:r>
      <w:r>
        <w:t xml:space="preserve"> </w:t>
      </w:r>
      <w:r>
        <w:t xml:space="preserve">same sample invalidates marginal p-values; we address it via</w:t>
      </w:r>
      <w:r>
        <w:t xml:space="preserve"> </w:t>
      </w:r>
      <w:r>
        <w:t xml:space="preserve">entity-disjoint discovery/inference splits (§4.5).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(Du et al. 2017)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(Meng et al. 2019)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(Zhang et al. 2019)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(Yang et al. 2021)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(Haixuan Guo, Yuan, and Wu 2021)</w:t>
      </w:r>
      <w:r>
        <w:t xml:space="preserve">; LogFormer</w:t>
      </w:r>
      <w:r>
        <w:t xml:space="preserve"> </w:t>
      </w:r>
      <w:r>
        <w:t xml:space="preserve">(Hongcheng Guo et al. 2024)</w:t>
      </w:r>
      <w:r>
        <w:t xml:space="preserve">) pre-train on unlabelled</w:t>
      </w:r>
      <w:r>
        <w:t xml:space="preserve"> </w:t>
      </w:r>
      <w:r>
        <w:t xml:space="preserve">logs and fine-tune for anomaly detection. These methods generally</w:t>
      </w:r>
      <w:r>
        <w:t xml:space="preserve"> </w:t>
      </w:r>
      <w:r>
        <w:t xml:space="preserve">outperform classical pattern miners on held-out AUROC when trained on</w:t>
      </w:r>
      <w:r>
        <w:t xml:space="preserve"> </w:t>
      </w:r>
      <w:r>
        <w:t xml:space="preserve">enough data, but produce opaque per-line anomaly scores rather than</w:t>
      </w:r>
      <w:r>
        <w:t xml:space="preserve"> </w:t>
      </w:r>
      <w:r>
        <w:t xml:space="preserve">interpretable 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(Zhu et al. 2023)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(Zhu et al. 2019)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(Cheng, Chai, and Anwar 2018)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(Luo et al. 2021)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(Oliner and Stearley 2007)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rPr>
          <w:rStyle w:val="SectionNumber"/>
        </w:rPr>
        <w:t xml:space="preserve">1.3.5</w:t>
      </w:r>
      <w:r>
        <w:tab/>
      </w: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(Saxena et al. 2008)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(Serradilla et al. 2022)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(Costa and Nascimento 2016)</w:t>
      </w:r>
      <w:r>
        <w:t xml:space="preserve">); the SCANIA Component X release</w:t>
      </w:r>
      <w:r>
        <w:t xml:space="preserve"> </w:t>
      </w:r>
      <w:r>
        <w:t xml:space="preserve">(Kharazian et al. 2025)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§3.4) where we must.</w:t>
      </w:r>
    </w:p>
    <w:bookmarkEnd w:id="26"/>
    <w:bookmarkStart w:id="27" w:name="statistical-significance"/>
    <w:p>
      <w:pPr>
        <w:pStyle w:val="Heading3"/>
      </w:pPr>
      <w:r>
        <w:rPr>
          <w:rStyle w:val="SectionNumber"/>
        </w:rPr>
        <w:t xml:space="preserve">1.3.6</w:t>
      </w:r>
      <w:r>
        <w:tab/>
      </w: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to the one-sided hypergeometric p-values on the inference half of</w:t>
      </w:r>
      <w:r>
        <w:t xml:space="preserve"> </w:t>
      </w:r>
      <w:r>
        <w:t xml:space="preserve">the discovery/inference split (§4.5). For arbitrary dependence</w:t>
      </w:r>
      <w:r>
        <w:t xml:space="preserve"> </w:t>
      </w:r>
      <w:r>
        <w:t xml:space="preserve">between p-values (justified when mined patterns share items), we</w:t>
      </w:r>
      <w:r>
        <w:t xml:space="preserve"> </w:t>
      </w:r>
      <w:r>
        <w:t xml:space="preserve">also report the more conservative Benjamini-Yekutieli correction</w:t>
      </w:r>
      <w:r>
        <w:t xml:space="preserve"> </w:t>
      </w:r>
      <w:r>
        <w:t xml:space="preserve">(Benjamini and Yekutieli 2001)</w:t>
      </w:r>
      <w:r>
        <w:t xml:space="preserve">. The Prentice-Breslow retrospective-cohort</w:t>
      </w:r>
      <w:r>
        <w:t xml:space="preserve"> </w:t>
      </w:r>
      <w:r>
        <w:t xml:space="preserve">framework</w:t>
      </w:r>
      <w:r>
        <w:t xml:space="preserve"> </w:t>
      </w:r>
      <w:r>
        <w:t xml:space="preserve">(Prentice and Breslow 1978)</w:t>
      </w:r>
      <w:r>
        <w:t xml:space="preserve"> </w:t>
      </w:r>
      <w:r>
        <w:t xml:space="preserve">and the Langholz-Goldstein</w:t>
      </w:r>
      <w:r>
        <w:t xml:space="preserve"> </w:t>
      </w:r>
      <w:r>
        <w:t xml:space="preserve">risk-set-sampling review</w:t>
      </w:r>
      <w:r>
        <w:t xml:space="preserve"> </w:t>
      </w:r>
      <w:r>
        <w:t xml:space="preserve">(Langholz and Goldstein 1996)</w:t>
      </w:r>
      <w:r>
        <w:t xml:space="preserve"> </w:t>
      </w:r>
      <w:r>
        <w:t xml:space="preserve">motivate the matched</w:t>
      </w:r>
      <w:r>
        <w:t xml:space="preserve"> </w:t>
      </w:r>
      <w:r>
        <w:t xml:space="preserve">conditional logistic estimator we use for SCANIA (§4.6).</w:t>
      </w:r>
    </w:p>
    <w:bookmarkEnd w:id="27"/>
    <w:bookmarkStart w:id="28" w:name="positioning"/>
    <w:p>
      <w:pPr>
        <w:pStyle w:val="Heading3"/>
      </w:pPr>
      <w:r>
        <w:rPr>
          <w:rStyle w:val="SectionNumber"/>
        </w:rPr>
        <w:t xml:space="preserve">1.3.7</w:t>
      </w:r>
      <w:r>
        <w:tab/>
      </w:r>
      <w:r>
        <w:t xml:space="preserve">2.7 Positioning</w:t>
      </w:r>
    </w:p>
    <w:p>
      <w:pPr>
        <w:pStyle w:val="FirstParagraph"/>
      </w:pPr>
      <w:r>
        <w:t xml:space="preserve">To our knowledge no peer-reviewed study applies FP-Growth and</w:t>
      </w:r>
      <w:r>
        <w:t xml:space="preserve"> </w:t>
      </w:r>
      <w:r>
        <w:t xml:space="preserve">PrefixSpan 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</w:t>
      </w:r>
      <w:r>
        <w:t xml:space="preserve"> </w:t>
      </w:r>
      <w:r>
        <w:t xml:space="preserve">or to Azure 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 with the matched-control</w:t>
      </w:r>
      <w:r>
        <w:t xml:space="preserve"> </w:t>
      </w:r>
      <w:r>
        <w:t xml:space="preserve">design used here, then evaluates the resulting patterns as binary</w:t>
      </w:r>
      <w:r>
        <w:t xml:space="preserve"> </w:t>
      </w:r>
      <w:r>
        <w:t xml:space="preserve">features against event-count and deep-learning-adjacent alternatives</w:t>
      </w:r>
      <w:r>
        <w:t xml:space="preserve"> </w:t>
      </w:r>
      <w:r>
        <w:t xml:space="preserve">on a temporally-held-out split. The four-trace regime-of-validity</w:t>
      </w:r>
      <w:r>
        <w:t xml:space="preserve"> </w:t>
      </w:r>
      <w:r>
        <w:t xml:space="preserve">study in §7.4 is likewise, to our knowledge, unprecedented in the</w:t>
      </w:r>
      <w:r>
        <w:t xml:space="preserve"> </w:t>
      </w:r>
      <w:r>
        <w:t xml:space="preserve">pattern-mining log-analysis literature.</w:t>
      </w:r>
    </w:p>
    <w:bookmarkEnd w:id="28"/>
    <w:bookmarkEnd w:id="29"/>
    <w:bookmarkStart w:id="34" w:name="data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3 Data</w:t>
      </w:r>
    </w:p>
    <w:p>
      <w:pPr>
        <w:pStyle w:val="FirstParagraph"/>
      </w:pPr>
      <w:r>
        <w:t xml:space="preserve">We use four public event-log traces covering three domains.</w:t>
      </w:r>
    </w:p>
    <w:bookmarkStart w:id="30" w:name="X80a7b106efa4995aea7e5e4fef80939ac602abf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3.1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(Microsoft 2016)</w:t>
      </w:r>
      <w:r>
        <w:t xml:space="preserve">.</w:t>
      </w:r>
    </w:p>
    <w:bookmarkEnd w:id="30"/>
    <w:bookmarkStart w:id="31" w:name="X63889831d02285240bcac1226077e46efa3cd0f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3.2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(Alibaba 2018; Lu et al. 2017)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1"/>
    <w:bookmarkStart w:id="32" w:name="llnl-blue-genel-syslogs-loghub-per-rack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3.3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 [TODO:cite</w:t>
      </w:r>
      <w:r>
        <w:t xml:space="preserve"> </w:t>
      </w:r>
      <w:r>
        <w:t xml:space="preserve">oliner2007bgl]. 913,594 messages remain after dropping INFO-level</w:t>
      </w:r>
      <w:r>
        <w:t xml:space="preserve"> </w:t>
      </w:r>
      <w:r>
        <w:t xml:space="preserve">noise; 348,189 (7.34%) are labeled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2"/>
    <w:bookmarkStart w:id="33" w:name="X0cc0213a3a3d6b0aa45b5af167aefb97013eef0"/>
    <w:p>
      <w:pPr>
        <w:pStyle w:val="Heading3"/>
      </w:pPr>
      <w:r>
        <w:rPr>
          <w:rStyle w:val="SectionNumber"/>
        </w:rPr>
        <w:t xml:space="preserve">1.4.4</w:t>
      </w:r>
      <w:r>
        <w:tab/>
      </w:r>
      <w:r>
        <w:t xml:space="preserve">3.4 SCANIA Component X (production automotive, per-vehicle)</w:t>
      </w:r>
    </w:p>
    <w:p>
      <w:pPr>
        <w:pStyle w:val="FirstParagraph"/>
      </w:pPr>
      <w:r>
        <w:t xml:space="preserve">Real fleet telematics dataset released 2025 [TODO:cite kharazian2025],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repair-labeled vehicle.</w:t>
      </w:r>
    </w:p>
    <w:bookmarkEnd w:id="33"/>
    <w:bookmarkEnd w:id="34"/>
    <w:bookmarkStart w:id="43" w:name="method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 Method</w:t>
      </w:r>
    </w:p>
    <w:bookmarkStart w:id="35" w:name="pre-failure-windows-and-matched-controls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SCANIA), we build a failure</w:t>
      </w:r>
      <w:r>
        <w:t xml:space="preserve"> </w:t>
      </w:r>
      <w:r>
        <w:t xml:space="preserve">window covering the K events (or the time horizon T) strictly before</w:t>
      </w:r>
      <w:r>
        <w:t xml:space="preserve"> </w:t>
      </w:r>
      <w:r>
        <w:t xml:space="preserve">the failure timestamp. Matched controls come from two designs</w:t>
      </w:r>
      <w:r>
        <w:t xml:space="preserve"> </w:t>
      </w:r>
      <w:r>
        <w:t xml:space="preserve">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BGL) when the entity carries</w:t>
      </w:r>
      <w:r>
        <w:t xml:space="preserve"> </w:t>
      </w:r>
      <w:r>
        <w:t xml:space="preserve">long timelines with sparse failures; controls are anchored at</w:t>
      </w:r>
      <w:r>
        <w:t xml:space="preserve"> </w:t>
      </w:r>
      <w:r>
        <w:t xml:space="preserve">times with no failure within horizon T in either direction.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3:1 control:failure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 are not meaningful for short</w:t>
      </w:r>
      <w:r>
        <w:t xml:space="preserve"> </w:t>
      </w:r>
      <w:r>
        <w:t xml:space="preserve">per-job or per-episode observations).</w:t>
      </w:r>
    </w:p>
    <w:bookmarkEnd w:id="35"/>
    <w:bookmarkStart w:id="36" w:name="mining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(Fournier-Viger et al. 2016)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6"/>
    <w:bookmarkStart w:id="37" w:name="sanity-invariants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min_support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traces where the method</w:t>
      </w:r>
      <w:r>
        <w:t xml:space="preserve"> </w:t>
      </w:r>
      <w:r>
        <w:t xml:space="preserve">yields wins; the boundary traces are diagnosed via these invariants</w:t>
      </w:r>
      <w:r>
        <w:t xml:space="preserve"> </w:t>
      </w:r>
      <w:r>
        <w:t xml:space="preserve">rather than by post-hoc justification.</w:t>
      </w:r>
    </w:p>
    <w:bookmarkEnd w:id="37"/>
    <w:bookmarkStart w:id="38" w:name="Xff462f684860b99f87ffb52704ce6033ecb21e1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§3.4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(Prentice and Breslow 1978; Rothman-Greenland ch. 15),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 x 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min-support 0.05, BH FDR correction on the p-values induced by</w:t>
      </w:r>
      <w:r>
        <w:t xml:space="preserve"> </w:t>
      </w:r>
      <w:r>
        <w:t xml:space="preserve">the Fisher-exact null of the same 2 x 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38"/>
    <w:bookmarkStart w:id="39" w:name="X9292929c3d43e41408b4a6dbc28d99ff3254025"/>
    <w:p>
      <w:pPr>
        <w:pStyle w:val="Heading3"/>
      </w:pPr>
      <w:r>
        <w:rPr>
          <w:rStyle w:val="SectionNumber"/>
        </w:rPr>
        <w:t xml:space="preserve">1.5.5</w:t>
      </w:r>
      <w:r>
        <w:tab/>
      </w:r>
      <w:r>
        <w:t xml:space="preserve">4.5 Post-selection-valid significance via discovery/inference splits</w:t>
      </w:r>
    </w:p>
    <w:p>
      <w:pPr>
        <w:pStyle w:val="FirstParagraph"/>
      </w:pPr>
      <w:r>
        <w:t xml:space="preserve">Mining patterns from failure windows and then computing hypergeometric</w:t>
      </w:r>
      <w:r>
        <w:t xml:space="preserve"> </w:t>
      </w:r>
      <w:r>
        <w:t xml:space="preserve">p-values on the same failure/control counts yields post-selection-</w:t>
      </w:r>
      <w:r>
        <w:t xml:space="preserve"> </w:t>
      </w:r>
      <w:r>
        <w:t xml:space="preserve">invalid marginal p-values: the candidate set is chosen because it has</w:t>
      </w:r>
      <w:r>
        <w:t xml:space="preserve"> </w:t>
      </w:r>
      <w:r>
        <w:t xml:space="preserve">high support in failure windows, so the fixed-hit-set null is not the</w:t>
      </w:r>
      <w:r>
        <w:t xml:space="preserve"> </w:t>
      </w:r>
      <w:r>
        <w:t xml:space="preserve">null the pipeline actually operates under. BH or BY correction on</w:t>
      </w:r>
      <w:r>
        <w:t xml:space="preserve"> </w:t>
      </w:r>
      <w:r>
        <w:t xml:space="preserve">those marginal p-values does not restore validity (Fithian, Sun and</w:t>
      </w:r>
      <w:r>
        <w:t xml:space="preserve"> </w:t>
      </w:r>
      <w:r>
        <w:t xml:space="preserve">Taylor 2014; Loftus and Taylor 2015).</w:t>
      </w:r>
    </w:p>
    <w:p>
      <w:pPr>
        <w:pStyle w:val="BodyText"/>
      </w:pPr>
      <w:r>
        <w:t xml:space="preserve">Our fix, applied to every trace: split the training set entity-</w:t>
      </w:r>
      <w:r>
        <w:t xml:space="preserve"> </w:t>
      </w:r>
      <w:r>
        <w:t xml:space="preserve">disjoint into a 50%</w:t>
      </w:r>
      <w:r>
        <w:t xml:space="preserve"> </w:t>
      </w:r>
      <w:r>
        <w:rPr>
          <w:b/>
          <w:bCs/>
        </w:rPr>
        <w:t xml:space="preserve">discovery</w:t>
      </w:r>
      <w:r>
        <w:t xml:space="preserve"> </w:t>
      </w:r>
      <w:r>
        <w:t xml:space="preserve">half and a 50%</w:t>
      </w:r>
      <w:r>
        <w:t xml:space="preserve"> </w:t>
      </w:r>
      <w:r>
        <w:rPr>
          <w:b/>
          <w:bCs/>
        </w:rPr>
        <w:t xml:space="preserve">inference</w:t>
      </w:r>
      <w:r>
        <w:t xml:space="preserve"> </w:t>
      </w:r>
      <w:r>
        <w:t xml:space="preserve">half.</w:t>
      </w:r>
      <w:r>
        <w:t xml:space="preserve"> </w:t>
      </w:r>
      <w:r>
        <w:t xml:space="preserve">FP-Growth / PrefixSpan run on the discovery half and produce a</w:t>
      </w:r>
      <w:r>
        <w:t xml:space="preserve"> </w:t>
      </w:r>
      <w:r>
        <w:t xml:space="preserve">candidate pattern universe C. Every P in C is then scored on the</w:t>
      </w:r>
      <w:r>
        <w:t xml:space="preserve"> </w:t>
      </w:r>
      <w:r>
        <w:t xml:space="preserve">inference half via exact hypergeometric p-value on that half’s</w:t>
      </w:r>
      <w:r>
        <w:t xml:space="preserve"> </w:t>
      </w:r>
      <w:r>
        <w:t xml:space="preserve">case/control hit counts alone. Because C is chosen without touching</w:t>
      </w:r>
      <w:r>
        <w:t xml:space="preserve"> </w:t>
      </w:r>
      <w:r>
        <w:t xml:space="preserve">the inference half, the resulting p-values are marginally valid and</w:t>
      </w:r>
      <w:r>
        <w:t xml:space="preserve"> </w:t>
      </w:r>
      <w:r>
        <w:t xml:space="preserve">BH / BY correction on the family {p(P) : P in C} controls the</w:t>
      </w:r>
      <w:r>
        <w:t xml:space="preserve"> </w:t>
      </w:r>
      <w:r>
        <w:t xml:space="preserve">inference-half FDR honestly.</w:t>
      </w:r>
    </w:p>
    <w:p>
      <w:pPr>
        <w:pStyle w:val="BodyText"/>
      </w:pPr>
      <w:r>
        <w:t xml:space="preserve">Entity-disjoint splitting is used rather than random per-window</w:t>
      </w:r>
      <w:r>
        <w:t xml:space="preserve"> </w:t>
      </w:r>
      <w:r>
        <w:t xml:space="preserve">splitting because otherwise the same entity’s windows could appear</w:t>
      </w:r>
      <w:r>
        <w:t xml:space="preserve"> </w:t>
      </w:r>
      <w:r>
        <w:t xml:space="preserve">on both sides of the split, leaking information from discovery into</w:t>
      </w:r>
      <w:r>
        <w:t xml:space="preserve"> </w:t>
      </w:r>
      <w:r>
        <w:t xml:space="preserve">inference.</w:t>
      </w:r>
    </w:p>
    <w:bookmarkEnd w:id="39"/>
    <w:bookmarkStart w:id="40" w:name="Xe573a4e2aa8e0f30f3ca6b54b0f29e07905219b"/>
    <w:p>
      <w:pPr>
        <w:pStyle w:val="Heading3"/>
      </w:pPr>
      <w:r>
        <w:rPr>
          <w:rStyle w:val="SectionNumber"/>
        </w:rPr>
        <w:t xml:space="preserve">1.5.6</w:t>
      </w:r>
      <w:r>
        <w:tab/>
      </w:r>
      <w:r>
        <w:t xml:space="preserve">4.6 Matched conditional logistic for risk-set traces</w:t>
      </w:r>
    </w:p>
    <w:p>
      <w:pPr>
        <w:pStyle w:val="FirstParagraph"/>
      </w:pPr>
      <w:r>
        <w:t xml:space="preserve">The pooled 2x2 odds ratio previously used to score risk-set-matched</w:t>
      </w:r>
      <w:r>
        <w:t xml:space="preserve"> </w:t>
      </w:r>
      <w:r>
        <w:t xml:space="preserve">SCANIA patterns discards the matched-set structure that makes the</w:t>
      </w:r>
      <w:r>
        <w:t xml:space="preserve"> </w:t>
      </w:r>
      <w:r>
        <w:t xml:space="preserve">estimator censoring-valid. The standard estimator under incidence-</w:t>
      </w:r>
      <w:r>
        <w:t xml:space="preserve"> </w:t>
      </w:r>
      <w:r>
        <w:t xml:space="preserve">density (risk-set) sampling is a conditional logistic regression</w:t>
      </w:r>
      <w:r>
        <w:t xml:space="preserve"> </w:t>
      </w:r>
      <w:r>
        <w:t xml:space="preserve">stratified by matched set, equivalent to the sampled Cox partial</w:t>
      </w:r>
      <w:r>
        <w:t xml:space="preserve"> </w:t>
      </w:r>
      <w:r>
        <w:t xml:space="preserve">likelihood restricted to the pattern indicator (Prentice-Breslow</w:t>
      </w:r>
      <w:r>
        <w:t xml:space="preserve"> </w:t>
      </w:r>
      <w:r>
        <w:t xml:space="preserve">1978; Langholz-Goldstein 1996). We estimate every SCANIA pattern’s</w:t>
      </w:r>
      <w:r>
        <w:t xml:space="preserve"> </w:t>
      </w:r>
      <w:r>
        <w:t xml:space="preserve">coefficient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 </w:t>
      </w:r>
      <w:r>
        <w:t xml:space="preserve">stratified by</w:t>
      </w:r>
      <w:r>
        <w:t xml:space="preserve"> </w:t>
      </w:r>
      <w:r>
        <w:rPr>
          <w:rStyle w:val="VerbatimChar"/>
        </w:rPr>
        <w:t xml:space="preserve">match_id</w:t>
      </w:r>
      <w:r>
        <w:t xml:space="preserve">; each case and its three risk-set-matched controls form</w:t>
      </w:r>
      <w:r>
        <w:t xml:space="preserve"> </w:t>
      </w:r>
      <w:r>
        <w:t xml:space="preserve">one stratum. Reported hazard ratios and 95% CIs are from that</w:t>
      </w:r>
      <w:r>
        <w:t xml:space="preserve"> </w:t>
      </w:r>
      <w:r>
        <w:t xml:space="preserve">matched fit.</w:t>
      </w:r>
    </w:p>
    <w:p>
      <w:pPr>
        <w:pStyle w:val="BodyText"/>
      </w:pPr>
      <w:r>
        <w:t xml:space="preserve">Compared to the pooled 2x2 Woolf-Haldane analysis, the matched</w:t>
      </w:r>
      <w:r>
        <w:t xml:space="preserve"> </w:t>
      </w:r>
      <w:r>
        <w:t xml:space="preserve">estimator is roughly 1.6× more conservative on this data: the same</w:t>
      </w:r>
      <w:r>
        <w:t xml:space="preserve"> </w:t>
      </w:r>
      <w:r>
        <w:t xml:space="preserve">top pattern that scores MH-OR 2.72 [2.10, 3.51] under pooling scores</w:t>
      </w:r>
      <w:r>
        <w:t xml:space="preserve"> </w:t>
      </w:r>
      <w:r>
        <w:t xml:space="preserve">HR 1.73 [1.53, 1.96] under proper matched conditional logistic.</w:t>
      </w:r>
    </w:p>
    <w:bookmarkEnd w:id="40"/>
    <w:bookmarkStart w:id="41" w:name="count-preserving-order-comparator"/>
    <w:p>
      <w:pPr>
        <w:pStyle w:val="Heading3"/>
      </w:pPr>
      <w:r>
        <w:rPr>
          <w:rStyle w:val="SectionNumber"/>
        </w:rPr>
        <w:t xml:space="preserve">1.5.7</w:t>
      </w:r>
      <w:r>
        <w:tab/>
      </w:r>
      <w:r>
        <w:t xml:space="preserve">4.7 Count-preserving order comparator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order_gain = sequence_lift − itemset_lift</w:t>
      </w:r>
      <w:r>
        <w:t xml:space="preserve"> </w:t>
      </w:r>
      <w:r>
        <w:t xml:space="preserve">compares a</w:t>
      </w:r>
      <w:r>
        <w:t xml:space="preserve"> </w:t>
      </w:r>
      <w:r>
        <w:t xml:space="preserve">sequence like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against its itemset counterpart</w:t>
      </w:r>
      <w:r>
        <w:t xml:space="preserve"> </w:t>
      </w:r>
      <w:r>
        <w:rPr>
          <w:rStyle w:val="VerbatimChar"/>
        </w:rPr>
        <w:t xml:space="preserve">{M}</w:t>
      </w:r>
      <w:r>
        <w:t xml:space="preserve">,</w:t>
      </w:r>
      <w:r>
        <w:t xml:space="preserve"> </w:t>
      </w:r>
      <w:r>
        <w:t xml:space="preserve">which collapses three occurrences to one presence. That conflates</w:t>
      </w:r>
      <w:r>
        <w:t xml:space="preserve"> </w:t>
      </w:r>
      <w:r>
        <w:t xml:space="preserve">temporal order with event multiplicity. Our count-preserving</w:t>
      </w:r>
      <w:r>
        <w:t xml:space="preserve"> </w:t>
      </w:r>
      <w:r>
        <w:t xml:space="preserve">comparator (§4.7) shuffles the ordering within each window while</w:t>
      </w:r>
      <w:r>
        <w:t xml:space="preserve"> </w:t>
      </w:r>
      <w:r>
        <w:t xml:space="preserve">preserving the exact event multiset per window, then rescores the</w:t>
      </w:r>
      <w:r>
        <w:t xml:space="preserve"> </w:t>
      </w:r>
      <w:r>
        <w:t xml:space="preserve">sequence’s support on the shuffled corpus. The residual</w:t>
      </w:r>
      <w:r>
        <w:t xml:space="preserve"> </w:t>
      </w:r>
      <w:r>
        <w:rPr>
          <w:rStyle w:val="VerbatimChar"/>
        </w:rPr>
        <w:t xml:space="preserve">order_effect = real_lift − mean(count-preserving-shuffle_lift)</w:t>
      </w:r>
      <w:r>
        <w:t xml:space="preserve"> </w:t>
      </w:r>
      <w:r>
        <w:t xml:space="preserve">isolates the pure ordering contribution.</w:t>
      </w:r>
    </w:p>
    <w:bookmarkEnd w:id="41"/>
    <w:bookmarkStart w:id="42" w:name="statistical-significance-summary"/>
    <w:p>
      <w:pPr>
        <w:pStyle w:val="Heading3"/>
      </w:pPr>
      <w:r>
        <w:rPr>
          <w:rStyle w:val="SectionNumber"/>
        </w:rPr>
        <w:t xml:space="preserve">1.5.8</w:t>
      </w:r>
      <w:r>
        <w:tab/>
      </w:r>
      <w:r>
        <w:t xml:space="preserve">4.8 Statistical significance summary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 IS 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42"/>
    <w:bookmarkEnd w:id="43"/>
    <w:bookmarkStart w:id="48" w:name="experiment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A, B, C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artifact, so a comparison across</w:t>
      </w:r>
      <w:r>
        <w:t xml:space="preserve"> </w:t>
      </w:r>
      <w:r>
        <w:t xml:space="preserve">feature sets on the same trace cannot drift.</w:t>
      </w:r>
    </w:p>
    <w:bookmarkStart w:id="45" w:name="coverage-per-horizon-azur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0.077).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4">
        <w:r>
          <w:rPr>
            <w:rStyle w:val="Hyperlink"/>
          </w:rPr>
          <w:t xml:space="preserve">azure_window_horizon_vs_events.png</w:t>
        </w:r>
      </w:hyperlink>
    </w:p>
    <w:bookmarkEnd w:id="45"/>
    <w:bookmarkStart w:id="47" w:name="mining-sensitivity-to-min_support-azure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5.2 Mining sensitivity to min_support (Azure)</w:t>
      </w:r>
    </w:p>
    <w:p>
      <w:pPr>
        <w:pStyle w:val="FirstParagraph"/>
      </w:pPr>
      <w:r>
        <w:t xml:space="preserve">A min_support sweep over {0.02, 0.05, 0.10, 0.15} preserves the</w:t>
      </w:r>
      <w:r>
        <w:t xml:space="preserve"> </w:t>
      </w:r>
      <w:r>
        <w:t xml:space="preserve">headline ordering at every operating point: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min_support tested, combined dominates itemsets_only by</w:t>
      </w:r>
      <w:r>
        <w:t xml:space="preserve"> </w:t>
      </w:r>
      <w:r>
        <w:t xml:space="preserve">at least +4 AUROC points at last5 and at least +5 at last10.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6">
        <w:r>
          <w:rPr>
            <w:rStyle w:val="Hyperlink"/>
          </w:rPr>
          <w:t xml:space="preserve">azure_sensitivity_min_support.png</w:t>
        </w:r>
      </w:hyperlink>
    </w:p>
    <w:bookmarkEnd w:id="47"/>
    <w:bookmarkEnd w:id="48"/>
    <w:bookmarkStart w:id="59" w:name="results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6 Results</w:t>
      </w:r>
    </w:p>
    <w:bookmarkStart w:id="50" w:name="mined-patterns-azure-and-alibaba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controls;</w:t>
      </w:r>
      <w:r>
        <w:t xml:space="preserve"> </w:t>
      </w:r>
      <w:r>
        <w:t xml:space="preserve">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 strongest ordered pattern is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with sequence lift 2.43 versus itemset lift 0.94 for the same event</w:t>
      </w:r>
      <w:r>
        <w:t xml:space="preserve"> </w:t>
      </w:r>
      <w:r>
        <w:t xml:space="preserve">set (order gain +1.49). 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vs itemset lift 1.37 (order gain +1.69): three consecutive</w:t>
      </w:r>
      <w:r>
        <w:t xml:space="preserve"> </w:t>
      </w:r>
      <w:r>
        <w:t xml:space="preserve">Map completions predict a subsequent failure much more strongly than</w:t>
      </w:r>
      <w:r>
        <w:t xml:space="preserve"> </w:t>
      </w:r>
      <w:r>
        <w:t xml:space="preserve">the mere presence of Map events would suggest.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9">
        <w:r>
          <w:rPr>
            <w:rStyle w:val="Hyperlink"/>
          </w:rPr>
          <w:t xml:space="preserve">azure_itemset_vs_sequence_lift.png</w:t>
        </w:r>
      </w:hyperlink>
    </w:p>
    <w:bookmarkEnd w:id="50"/>
    <w:bookmarkStart w:id="52" w:name="predictive-evaluation-four-traces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6.2 Predictive evaluation (four traces)</w:t>
      </w:r>
    </w:p>
    <w:p>
      <w:pPr>
        <w:pStyle w:val="FirstParagraph"/>
      </w:pPr>
      <w:r>
        <w:t xml:space="preserve">Head-to-head on temporally-held-out test sets: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SCANIA uses</w:t>
      </w:r>
      <w:r>
        <w:rPr>
          <w:i/>
          <w:iCs/>
        </w:rPr>
        <w:t xml:space="preserve"> </w:t>
      </w:r>
      <w:r>
        <w:rPr>
          <w:i/>
          <w:iCs/>
        </w:rPr>
        <w:t xml:space="preserve">per-vehicle 90th-percentile-delta binning; BGL uses episode-anchored</w:t>
      </w:r>
      <w:r>
        <w:rPr>
          <w:i/>
          <w:iCs/>
        </w:rPr>
        <w:t xml:space="preserve"> </w:t>
      </w:r>
      <w:r>
        <w:rPr>
          <w:i/>
          <w:iCs/>
        </w:rPr>
        <w:t xml:space="preserve">per-rack windows with alerts removed from the pre-alert stream. Both</w:t>
      </w:r>
      <w:r>
        <w:rPr>
          <w:i/>
          <w:iCs/>
        </w:rPr>
        <w:t xml:space="preserve"> </w:t>
      </w:r>
      <w:r>
        <w:rPr>
          <w:i/>
          <w:iCs/>
        </w:rPr>
        <w:t xml:space="preserve">boundary traces sit near chance for every feature set at every</w:t>
      </w:r>
      <w:r>
        <w:rPr>
          <w:i/>
          <w:iCs/>
        </w:rPr>
        <w:t xml:space="preserve"> </w:t>
      </w:r>
      <w:r>
        <w:rPr>
          <w:i/>
          <w:iCs/>
        </w:rPr>
        <w:t xml:space="preserve">horizon.)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51">
        <w:r>
          <w:rPr>
            <w:rStyle w:val="Hyperlink"/>
          </w:rPr>
          <w:t xml:space="preserve">four_dataset_predictive_comparison.png</w:t>
        </w:r>
      </w:hyperlink>
    </w:p>
    <w:bookmarkEnd w:id="52"/>
    <w:bookmarkStart w:id="53" w:name="order-effect-under-count-preserving-null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6.3 Order effect under count-preserving null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sequence_lift − itemset_lift</w:t>
      </w:r>
      <w:r>
        <w:t xml:space="preserve"> </w:t>
      </w:r>
      <w:r>
        <w:t xml:space="preserve">metric confounds ordering</w:t>
      </w:r>
      <w:r>
        <w:t xml:space="preserve"> </w:t>
      </w:r>
      <w:r>
        <w:t xml:space="preserve">with event multiplicity: comparing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to its itemset</w:t>
      </w:r>
      <w:r>
        <w:t xml:space="preserve"> </w:t>
      </w:r>
      <w:r>
        <w:rPr>
          <w:rStyle w:val="VerbatimChar"/>
        </w:rPr>
        <w:t xml:space="preserve">{M}</w:t>
      </w:r>
      <w:r>
        <w:t xml:space="preserve"> </w:t>
      </w:r>
      <w:r>
        <w:t xml:space="preserve">compares</w:t>
      </w:r>
      <w:r>
        <w:t xml:space="preserve"> </w:t>
      </w:r>
      <w:r>
        <w:t xml:space="preserve">“</w:t>
      </w:r>
      <w:r>
        <w:t xml:space="preserve">three occurrences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presence of one M</w:t>
      </w:r>
      <w:r>
        <w:t xml:space="preserve">”</w:t>
      </w:r>
      <w:r>
        <w:t xml:space="preserve">. Our count-</w:t>
      </w:r>
      <w:r>
        <w:t xml:space="preserve"> </w:t>
      </w:r>
      <w:r>
        <w:t xml:space="preserve">preserving comparator (§4.7) shuffles the ordering within each window</w:t>
      </w:r>
      <w:r>
        <w:t xml:space="preserve"> </w:t>
      </w:r>
      <w:r>
        <w:t xml:space="preserve">while preserving its exact event multiset, then rescores the</w:t>
      </w:r>
      <w:r>
        <w:t xml:space="preserve"> </w:t>
      </w:r>
      <w:r>
        <w:t xml:space="preserve">sequence’s support on the shuffled corpora. The residual</w:t>
      </w:r>
      <w:r>
        <w:t xml:space="preserve"> </w:t>
      </w:r>
      <w:r>
        <w:rPr>
          <w:rStyle w:val="VerbatimChar"/>
        </w:rPr>
        <w:t xml:space="preserve">order effect = real_lift − mean(count-preserving-shuffle_lift)</w:t>
      </w:r>
      <w:r>
        <w:t xml:space="preserve"> </w:t>
      </w:r>
      <w:r>
        <w:t xml:space="preserve">isolates</w:t>
      </w:r>
      <w:r>
        <w:t xml:space="preserve"> </w:t>
      </w:r>
      <w:r>
        <w:t xml:space="preserve">the pure ordering contribution.</w:t>
      </w:r>
    </w:p>
    <w:p>
      <w:pPr>
        <w:pStyle w:val="BodyText"/>
      </w:pPr>
      <w:r>
        <w:t xml:space="preserve">Top-20 sequences per horizon: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1210"/>
        <w:gridCol w:w="308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count-preserving null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+0.24</w:t>
            </w:r>
          </w:p>
        </w:tc>
      </w:tr>
    </w:tbl>
    <w:p>
      <w:pPr>
        <w:pStyle w:val="BodyText"/>
      </w:pPr>
      <w:r>
        <w:t xml:space="preserve">Reading these against the naive</w:t>
      </w:r>
      <w:r>
        <w:t xml:space="preserve"> </w:t>
      </w:r>
      <w:r>
        <w:rPr>
          <w:rStyle w:val="VerbatimChar"/>
        </w:rPr>
        <w:t xml:space="preserve">order_gain</w:t>
      </w:r>
      <w:r>
        <w:t xml:space="preserve"> </w:t>
      </w:r>
      <w:r>
        <w:t xml:space="preserve">values (up to +1.69 on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), the count-preserving comparator shows that</w:t>
      </w:r>
      <w:r>
        <w:t xml:space="preserve"> </w:t>
      </w:r>
      <w:r>
        <w:t xml:space="preserve">essentially all of the reported Alibaba</w:t>
      </w:r>
      <w:r>
        <w:t xml:space="preserve"> </w:t>
      </w:r>
      <w:r>
        <w:t xml:space="preserve">“</w:t>
      </w:r>
      <w:r>
        <w:t xml:space="preserve">order gain</w:t>
      </w:r>
      <w:r>
        <w:t xml:space="preserve">”</w:t>
      </w:r>
      <w:r>
        <w:t xml:space="preserve"> </w:t>
      </w:r>
      <w:r>
        <w:t xml:space="preserve">was a</w:t>
      </w:r>
      <w:r>
        <w:t xml:space="preserve"> </w:t>
      </w:r>
      <w:r>
        <w:t xml:space="preserve">multiplicity effect: the same event multiset in ANY order carries</w:t>
      </w:r>
      <w:r>
        <w:t xml:space="preserve"> </w:t>
      </w:r>
      <w:r>
        <w:t xml:space="preserve">approximately the same lift as the specific ordered sequence. Azure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-terminating sequences retain a genuine ordering</w:t>
      </w:r>
      <w:r>
        <w:t xml:space="preserve"> </w:t>
      </w:r>
      <w:r>
        <w:t xml:space="preserve">effect of +0.5 to +1.1 lift units above the count-preserving null.</w:t>
      </w:r>
      <w:r>
        <w:t xml:space="preserve"> </w:t>
      </w:r>
      <w:r>
        <w:t xml:space="preserve">Order is a real signal on Azure and essentially not a signal on</w:t>
      </w:r>
      <w:r>
        <w:t xml:space="preserve"> </w:t>
      </w:r>
      <w:r>
        <w:t xml:space="preserve">Alibaba once multiplicity is controlled for.</w:t>
      </w:r>
    </w:p>
    <w:bookmarkEnd w:id="53"/>
    <w:bookmarkStart w:id="54" w:name="X44aeb5833a19b6d32b8998867e975190f65e5f8"/>
    <w:p>
      <w:pPr>
        <w:pStyle w:val="Heading3"/>
      </w:pPr>
      <w:r>
        <w:rPr>
          <w:rStyle w:val="SectionNumber"/>
        </w:rPr>
        <w:t xml:space="preserve">1.7.4</w:t>
      </w:r>
      <w:r>
        <w:tab/>
      </w:r>
      <w:r>
        <w:t xml:space="preserve">6.4 Predictive vs frequent-noise separation across traces</w:t>
      </w:r>
    </w:p>
    <w:p>
      <w:pPr>
        <w:pStyle w:val="FirstParagraph"/>
      </w:pPr>
      <w:r>
        <w:t xml:space="preserve">The paper’s central object is the fraction of mined frequent patterns</w:t>
      </w:r>
      <w:r>
        <w:t xml:space="preserve"> </w:t>
      </w:r>
      <w:r>
        <w:t xml:space="preserve">that pass the per-pattern statistical significance test on an</w:t>
      </w:r>
      <w:r>
        <w:t xml:space="preserve"> </w:t>
      </w:r>
      <w:r>
        <w:t xml:space="preserve">inference sample disjoint from the discovery sample used for mining.</w:t>
      </w:r>
      <w:r>
        <w:t xml:space="preserve"> </w:t>
      </w:r>
      <w:r>
        <w:t xml:space="preserve">Frequency alone is a weak proxy for predictiveness; the post-</w:t>
      </w:r>
      <w:r>
        <w:t xml:space="preserve"> </w:t>
      </w:r>
      <w:r>
        <w:t xml:space="preserve">selection-valid test tells us which mined patterns carry elevated</w:t>
      </w:r>
      <w:r>
        <w:t xml:space="preserve"> </w:t>
      </w:r>
      <w:r>
        <w:t xml:space="preserve">failure signal against matched controls under an inference regime</w:t>
      </w:r>
      <w:r>
        <w:t xml:space="preserve"> </w:t>
      </w:r>
      <w:r>
        <w:t xml:space="preserve">not contaminated by the label-dependent candidate selection.</w:t>
      </w:r>
    </w:p>
    <w:p>
      <w:pPr>
        <w:pStyle w:val="BodyText"/>
      </w:pPr>
      <w:r>
        <w:t xml:space="preserve">Every trace is split 50/50 entity-disjoint into a discovery half (for</w:t>
      </w:r>
      <w:r>
        <w:t xml:space="preserve"> </w:t>
      </w:r>
      <w:r>
        <w:t xml:space="preserve">FP-Growth candidate selection) and an inference half (for exact</w:t>
      </w:r>
      <w:r>
        <w:t xml:space="preserve"> </w:t>
      </w:r>
      <w:r>
        <w:t xml:space="preserve">hypergeometric p-values and BH / BY correction).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8"/>
        <w:gridCol w:w="828"/>
        <w:gridCol w:w="1289"/>
        <w:gridCol w:w="2210"/>
        <w:gridCol w:w="1381"/>
        <w:gridCol w:w="13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patterns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(66%)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 (46%)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 (30%)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37,797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</w:tr>
    </w:tbl>
    <w:p>
      <w:pPr>
        <w:pStyle w:val="BodyText"/>
      </w:pPr>
      <w:r>
        <w:t xml:space="preserve">Two consequences of post-selection-valid inference. First, the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fraction drops from 86% (naive) to 30% (BY-corrected on</w:t>
      </w:r>
      <w:r>
        <w:t xml:space="preserve"> </w:t>
      </w:r>
      <w:r>
        <w:t xml:space="preserve">inference half); the extra patterns were selection artefacts. Second,</w:t>
      </w:r>
      <w:r>
        <w:t xml:space="preserve"> </w:t>
      </w:r>
      <w:r>
        <w:t xml:space="preserve">the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fraction drops from 6.0% (naive) to 0% (post-</w:t>
      </w:r>
      <w:r>
        <w:t xml:space="preserve"> </w:t>
      </w:r>
      <w:r>
        <w:t xml:space="preserve">selection valid): the 42,000-pattern mining run at min-support 0.05</w:t>
      </w:r>
      <w:r>
        <w:t xml:space="preserve"> </w:t>
      </w:r>
      <w:r>
        <w:t xml:space="preserve">does not survive an honest inference test. Both direction and</w:t>
      </w:r>
      <w:r>
        <w:t xml:space="preserve"> </w:t>
      </w:r>
      <w:r>
        <w:t xml:space="preserve">magnitude of these shifts match the pre-registered concern about</w:t>
      </w:r>
      <w:r>
        <w:t xml:space="preserve"> </w:t>
      </w:r>
      <w:r>
        <w:t xml:space="preserve">mining-and-testing on the same sample.</w:t>
      </w:r>
    </w:p>
    <w:p>
      <w:pPr>
        <w:pStyle w:val="BodyText"/>
      </w:pPr>
      <w:r>
        <w:t xml:space="preserve">The Azure / Alibaba wins persist in weaker but still substantive form</w:t>
      </w:r>
      <w:r>
        <w:t xml:space="preserve"> </w:t>
      </w:r>
      <w:r>
        <w:t xml:space="preserve">(46-100% at rich horizons); SCANIA under post-selection-valid</w:t>
      </w:r>
      <w:r>
        <w:t xml:space="preserve"> </w:t>
      </w:r>
      <w:r>
        <w:t xml:space="preserve">inference no longer supports an aggregate</w:t>
      </w:r>
      <w:r>
        <w:t xml:space="preserve"> </w:t>
      </w:r>
      <w:r>
        <w:t xml:space="preserve">“</w:t>
      </w:r>
      <w:r>
        <w:t xml:space="preserve">some fraction is</w:t>
      </w:r>
      <w:r>
        <w:t xml:space="preserve"> </w:t>
      </w:r>
      <w:r>
        <w:t xml:space="preserve">predictive</w:t>
      </w:r>
      <w:r>
        <w:t xml:space="preserve">”</w:t>
      </w:r>
      <w:r>
        <w:t xml:space="preserve"> </w:t>
      </w:r>
      <w:r>
        <w:t xml:space="preserve">claim on this mining threshold and requires the matched</w:t>
      </w:r>
      <w:r>
        <w:t xml:space="preserve"> </w:t>
      </w:r>
      <w:r>
        <w:t xml:space="preserve">conditional-logistic analysis in §6.6 instead. On the two winning traces the</w:t>
      </w:r>
      <w:r>
        <w:t xml:space="preserve"> </w:t>
      </w:r>
      <w:r>
        <w:t xml:space="preserve">majority of frequent patterns are also predictive; on the two</w:t>
      </w:r>
      <w:r>
        <w:t xml:space="preserve"> </w:t>
      </w:r>
      <w:r>
        <w:t xml:space="preserve">boundary traces the majority are frequent-but-noise, and the paper’s</w:t>
      </w:r>
      <w:r>
        <w:t xml:space="preserve"> </w:t>
      </w:r>
      <w:r>
        <w:t xml:space="preserve">concrete predictive-pattern list is short.</w:t>
      </w:r>
    </w:p>
    <w:bookmarkEnd w:id="54"/>
    <w:bookmarkStart w:id="55" w:name="formal-significance"/>
    <w:p>
      <w:pPr>
        <w:pStyle w:val="Heading3"/>
      </w:pPr>
      <w:r>
        <w:rPr>
          <w:rStyle w:val="SectionNumber"/>
        </w:rPr>
        <w:t xml:space="preserve">1.7.5</w:t>
      </w:r>
      <w:r>
        <w:tab/>
      </w:r>
      <w:r>
        <w:t xml:space="preserve">6.5 Formal significance</w:t>
      </w:r>
    </w:p>
    <w:p>
      <w:pPr>
        <w:pStyle w:val="FirstParagraph"/>
      </w:pPr>
      <w:r>
        <w:t xml:space="preserve">At BH q &lt; 0.05: every Azure 24h itemset (6/6) and every Azure 24h</w:t>
      </w:r>
      <w:r>
        <w:t xml:space="preserve"> </w:t>
      </w:r>
      <w:r>
        <w:t xml:space="preserve">sequence (7/7) is significant; 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 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  <w:r>
        <w:t xml:space="preserve"> </w:t>
      </w:r>
      <w:r>
        <w:t xml:space="preserve">Both 1h and 6h Azure horizons flag zero patterns as expected</w:t>
      </w:r>
      <w:r>
        <w:t xml:space="preserve"> </w:t>
      </w:r>
      <w:r>
        <w:t xml:space="preserve">(0/3 sequences at 1h, 0/5 at 6h). On 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</w:t>
      </w:r>
      <w:r>
        <w:t xml:space="preserve"> </w:t>
      </w:r>
      <w:r>
        <w:t xml:space="preserve">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55"/>
    <w:bookmarkStart w:id="56" w:name="X9089ac7c4740497ca2f8946257a25d0f4921163"/>
    <w:p>
      <w:pPr>
        <w:pStyle w:val="Heading3"/>
      </w:pPr>
      <w:r>
        <w:rPr>
          <w:rStyle w:val="SectionNumber"/>
        </w:rPr>
        <w:t xml:space="preserve">1.7.6</w:t>
      </w:r>
      <w:r>
        <w:tab/>
      </w:r>
      <w:r>
        <w:t xml:space="preserve">6.6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x 3 controls each drawn from the risk set at</w:t>
      </w:r>
      <w:r>
        <w:t xml:space="preserve"> </w:t>
      </w:r>
      <w:r>
        <w:t xml:space="preserve">each case’s failure lifetime), FP-Growth at min-support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</w:p>
    <w:p>
      <w:pPr>
        <w:pStyle w:val="BodyText"/>
      </w:pPr>
      <w:r>
        <w:t xml:space="preserve">We estimate the per-pattern hazard ratio via</w:t>
      </w:r>
      <w:r>
        <w:t xml:space="preserve"> </w:t>
      </w:r>
      <w:r>
        <w:rPr>
          <w:b/>
          <w:bCs/>
        </w:rPr>
        <w:t xml:space="preserve">conditional logistic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stratified by matched risk set</w:t>
      </w:r>
      <w:r>
        <w:t xml:space="preserve"> </w:t>
      </w:r>
      <w:r>
        <w:t xml:space="preserve">(§4.6), fitted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. On the top-200 patterns by</w:t>
      </w:r>
      <w:r>
        <w:t xml:space="preserve"> </w:t>
      </w:r>
      <w:r>
        <w:t xml:space="preserve">case-hit count,</w:t>
      </w:r>
      <w:r>
        <w:t xml:space="preserve"> </w:t>
      </w:r>
      <w:r>
        <w:rPr>
          <w:b/>
          <w:bCs/>
        </w:rPr>
        <w:t xml:space="preserve">121 (60.5%) pass the joint criterion HR CI excludes</w:t>
      </w:r>
      <w:r>
        <w:rPr>
          <w:b/>
          <w:bCs/>
        </w:rPr>
        <w:t xml:space="preserve"> </w:t>
      </w:r>
      <w:r>
        <w:rPr>
          <w:b/>
          <w:bCs/>
        </w:rPr>
        <w:t xml:space="preserve">1 AND p &lt; 0.05</w:t>
      </w:r>
      <w:r>
        <w:t xml:space="preserve">. Top hazard ratios cluster in feature-397 bin</w:t>
      </w:r>
      <w:r>
        <w:t xml:space="preserve"> </w:t>
      </w:r>
      <w:r>
        <w:t xml:space="preserve">combinations, consistent with the concentration of predictive signal</w:t>
      </w:r>
      <w:r>
        <w:t xml:space="preserve"> </w:t>
      </w:r>
      <w:r>
        <w:t xml:space="preserve">in a small number of underlying histograms.</w:t>
      </w:r>
    </w:p>
    <w:p>
      <w:pPr>
        <w:pStyle w:val="BodyText"/>
      </w:pPr>
      <w:r>
        <w:t xml:space="preserve">Top 5 predictive Component X signatures (matched HR, 95% CI, p):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9"/>
        <w:gridCol w:w="2207"/>
        <w:gridCol w:w="1298"/>
        <w:gridCol w:w="1038"/>
        <w:gridCol w:w="1428"/>
        <w:gridCol w:w="1168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[1.49,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pooled 2 x 2 analysis previously reported inflated these</w:t>
      </w:r>
      <w:r>
        <w:rPr>
          <w:b/>
          <w:bCs/>
        </w:rPr>
        <w:t xml:space="preserve"> </w:t>
      </w:r>
      <w:r>
        <w:rPr>
          <w:b/>
          <w:bCs/>
        </w:rPr>
        <w:t xml:space="preserve">effects by roughly 1.6x</w:t>
      </w:r>
      <w:r>
        <w:t xml:space="preserve"> </w:t>
      </w:r>
      <w:r>
        <w:t xml:space="preserve">(top pooled MH-OR 2.72 [2.10, 3.51] for</w:t>
      </w:r>
      <w:r>
        <w:t xml:space="preserve"> </w:t>
      </w:r>
      <w:r>
        <w:t xml:space="preserve">the same pattern), because pooling discards the matched-set structure</w:t>
      </w:r>
      <w:r>
        <w:t xml:space="preserve"> </w:t>
      </w:r>
      <w:r>
        <w:t xml:space="preserve">that the incidence-density sampling design creates. The matched HR</w:t>
      </w:r>
      <w:r>
        <w:t xml:space="preserve"> </w:t>
      </w:r>
      <w:r>
        <w:t xml:space="preserve">of 1.73 is the correct estimator under Prentice-Breslow, and its</w:t>
      </w:r>
      <w:r>
        <w:t xml:space="preserve"> </w:t>
      </w:r>
      <w:r>
        <w:t xml:space="preserve">tighter CI reflects that the matched design conditions out</w:t>
      </w:r>
      <w:r>
        <w:t xml:space="preserve"> </w:t>
      </w:r>
      <w:r>
        <w:t xml:space="preserve">inter-vehicle heterogeneity the pooled analysis conflated with the</w:t>
      </w:r>
      <w:r>
        <w:t xml:space="preserve"> </w:t>
      </w:r>
      <w:r>
        <w:t xml:space="preserve">pattern effect.</w:t>
      </w:r>
    </w:p>
    <w:p>
      <w:pPr>
        <w:pStyle w:val="BodyText"/>
      </w:pPr>
      <w:r>
        <w:t xml:space="preserve">Top hazard ratios are concentrated in histogram-397 bin combinations.</w:t>
      </w:r>
      <w:r>
        <w:t xml:space="preserve"> </w:t>
      </w:r>
      <w:r>
        <w:t xml:space="preserve">Grouping matched-significant patterns by their dominant histogram</w:t>
      </w:r>
      <w:r>
        <w:t xml:space="preserve"> </w:t>
      </w:r>
      <w:r>
        <w:t xml:space="preserve">feature:</w:t>
      </w:r>
      <w:r>
        <w:t xml:space="preserve"> </w:t>
      </w:r>
      <w:r>
        <w:rPr>
          <w:b/>
          <w:bCs/>
        </w:rPr>
        <w:t xml:space="preserve">feature 397 supplies the majority of significant patterns;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158 and 167 contribute a smaller number of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signatures</w:t>
      </w:r>
      <w:r>
        <w:t xml:space="preserve">. The</w:t>
      </w:r>
      <w:r>
        <w:t xml:space="preserve"> </w:t>
      </w:r>
      <w:r>
        <w:t xml:space="preserve">“</w:t>
      </w:r>
      <w:r>
        <w:t xml:space="preserve">N distinct predictive patterns</w:t>
      </w:r>
      <w:r>
        <w:t xml:space="preserve">”</w:t>
      </w:r>
      <w:r>
        <w:t xml:space="preserve"> </w:t>
      </w:r>
      <w:r>
        <w:t xml:space="preserve">reading of the</w:t>
      </w:r>
      <w:r>
        <w:t xml:space="preserve"> </w:t>
      </w:r>
      <w:r>
        <w:t xml:space="preserve">matched output must therefore be interpreted with awareness of this</w:t>
      </w:r>
      <w:r>
        <w:t xml:space="preserve"> </w:t>
      </w:r>
      <w:r>
        <w:t xml:space="preserve">underlying feature-set concentration.</w:t>
      </w:r>
    </w:p>
    <w:p>
      <w:pPr>
        <w:pStyle w:val="BodyText"/>
      </w:pPr>
      <w:r>
        <w:t xml:space="preserve">Top 5 predictive Component X signatures (MH-OR, 95% CI):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 top signatures are concentrated in bin combinations of the same</w:t>
      </w:r>
      <w:r>
        <w:t xml:space="preserve"> </w:t>
      </w:r>
      <w:r>
        <w:t xml:space="preserve">histogram feature (397), consistent with the §3.4 note that</w:t>
      </w:r>
      <w:r>
        <w:t xml:space="preserve"> </w:t>
      </w:r>
      <w:r>
        <w:t xml:space="preserve">Component X features encode 6 histograms. 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 two-feature interaction</w:t>
      </w:r>
      <w:r>
        <w:t xml:space="preserve"> </w:t>
      </w:r>
      <w:r>
        <w:t xml:space="preserve">that pattern mining surfaces without needing 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56"/>
    <w:bookmarkStart w:id="58" w:name="lead-time-on-true-positives"/>
    <w:p>
      <w:pPr>
        <w:pStyle w:val="Heading3"/>
      </w:pPr>
      <w:r>
        <w:rPr>
          <w:rStyle w:val="SectionNumber"/>
        </w:rPr>
        <w:t xml:space="preserve">1.7.7</w:t>
      </w:r>
      <w:r>
        <w:tab/>
      </w:r>
      <w:r>
        <w:t xml:space="preserve">6.7 Lead time on true positives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detail:</w:t>
      </w:r>
      <w:r>
        <w:t xml:space="preserve"> </w:t>
      </w:r>
      <w:hyperlink r:id="rId57">
        <w:r>
          <w:rPr>
            <w:rStyle w:val="Hyperlink"/>
          </w:rPr>
          <w:t xml:space="preserve">results/tables/{azure,alibaba}_leadtime.md</w:t>
        </w:r>
      </w:hyperlink>
      <w:r>
        <w:t xml:space="preserve">.</w:t>
      </w:r>
    </w:p>
    <w:bookmarkEnd w:id="58"/>
    <w:bookmarkEnd w:id="59"/>
    <w:bookmarkStart w:id="63" w:name="discussion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7 Discussion</w:t>
      </w:r>
    </w:p>
    <w:bookmarkStart w:id="60" w:name="X1fff9881fd829d9c26a57a6e774b5a2b4f11174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7.1 Is the predictor in the entire sequence or in a subpart?</w:t>
      </w:r>
    </w:p>
    <w:p>
      <w:pPr>
        <w:pStyle w:val="FirstParagraph"/>
      </w:pPr>
      <w:r>
        <w:t xml:space="preserve">Given a mined sequence S with lift L(S), we ask: does any proper</w:t>
      </w:r>
      <w:r>
        <w:t xml:space="preserve"> </w:t>
      </w:r>
      <w:r>
        <w:t xml:space="preserve">subsequence S’ ⊂ S in the mined set already reach lift(S)? If so, the</w:t>
      </w:r>
      <w:r>
        <w:t xml:space="preserve"> </w:t>
      </w:r>
      <w:r>
        <w:t xml:space="preserve">predictor lives in the subpart and S is redundant; if no proper</w:t>
      </w:r>
      <w:r>
        <w:t xml:space="preserve"> </w:t>
      </w:r>
      <w:r>
        <w:t xml:space="preserve">subsequence matches, the FULL ordered sequence is the minimal</w:t>
      </w:r>
      <w:r>
        <w:t xml:space="preserve"> </w:t>
      </w:r>
      <w:r>
        <w:t xml:space="preserve">predictor. Formally, S is</w:t>
      </w:r>
      <w:r>
        <w:t xml:space="preserve"> </w:t>
      </w:r>
      <w:r>
        <w:t xml:space="preserve">“</w:t>
      </w:r>
      <w:r>
        <w:t xml:space="preserve">full-sequence-dominant</w:t>
      </w:r>
      <w:r>
        <w:t xml:space="preserve">”</w:t>
      </w:r>
      <w:r>
        <w:t xml:space="preserve"> </w:t>
      </w:r>
      <w:r>
        <w:t xml:space="preserve">iff</w:t>
      </w:r>
      <w:r>
        <w:t xml:space="preserve"> </w:t>
      </w:r>
      <w:r>
        <w:t xml:space="preserve">lift(S) &gt; lift(S’) + 0.05 for every proper subsequence S’ the miner</w:t>
      </w:r>
      <w:r>
        <w:t xml:space="preserve"> </w:t>
      </w:r>
      <w:r>
        <w:t xml:space="preserve">also produced.</w:t>
      </w:r>
    </w:p>
    <w:p>
      <w:pPr>
        <w:pStyle w:val="BodyText"/>
      </w:pPr>
      <w:r>
        <w:t xml:space="preserve">Top-200 sequences per horizon: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8"/>
        <w:gridCol w:w="1018"/>
        <w:gridCol w:w="2149"/>
        <w:gridCol w:w="2036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full-seq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subpart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The finding is trace-dependent: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 PdM: predictor IS in the entire sequence.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96% of</w:t>
      </w:r>
      <w:r>
        <w:t xml:space="preserve"> </w:t>
      </w:r>
      <w:r>
        <w:t xml:space="preserve">top-200 predictive sequences are full-dominant, meaning no proper</w:t>
      </w:r>
      <w:r>
        <w:t xml:space="preserve"> </w:t>
      </w:r>
      <w:r>
        <w:t xml:space="preserve">subsequence they contain reaches their lift. Concretely,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3.73; the best proper subseq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has lift 2.55 (delta</w:t>
      </w:r>
      <w:r>
        <w:t xml:space="preserve"> </w:t>
      </w:r>
      <w:r>
        <w:t xml:space="preserve">+1.18). The full ordered chain adds real signal beyond any of its</w:t>
      </w:r>
      <w:r>
        <w:t xml:space="preserve"> </w:t>
      </w:r>
      <w:r>
        <w:t xml:space="preserve">parts. Operationally, an alarm should be keyed on the full ordered</w:t>
      </w:r>
      <w:r>
        <w:t xml:space="preserve"> </w:t>
      </w:r>
      <w:r>
        <w:t xml:space="preserve">sequence, not on any two-event fragment of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Alibaba v2018: predictor lives in a shorter subpart.</w:t>
      </w:r>
      <w:r>
        <w:t xml:space="preserve"> </w:t>
      </w:r>
      <w:r>
        <w:t xml:space="preserve">Only 17-30%</w:t>
      </w:r>
      <w:r>
        <w:t xml:space="preserve"> </w:t>
      </w:r>
      <w:r>
        <w:t xml:space="preserve">of top sequences are full-dominant. Most are dominated by a short</w:t>
      </w:r>
      <w:r>
        <w:t xml:space="preserve"> </w:t>
      </w:r>
      <w:r>
        <w:t xml:space="preserve">leading subsequence, often just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alone (lift ~3.98).</w:t>
      </w:r>
      <w:r>
        <w:t xml:space="preserve"> </w:t>
      </w:r>
      <w:r>
        <w:t xml:space="preserve">Once a Waiting task appears in a job, the failure risk is set;</w:t>
      </w:r>
      <w:r>
        <w:t xml:space="preserve"> </w:t>
      </w:r>
      <w:r>
        <w:t xml:space="preserve">adding subsequent Success events to the pattern does not lift it</w:t>
      </w:r>
      <w:r>
        <w:t xml:space="preserve"> </w:t>
      </w:r>
      <w:r>
        <w:t xml:space="preserve">further. Operationally, the useful alarm is short.</w:t>
      </w:r>
    </w:p>
    <w:p>
      <w:pPr>
        <w:pStyle w:val="FirstParagraph"/>
      </w:pPr>
      <w:r>
        <w:t xml:space="preserve">This resolves an ambiguity the raw order-gain distribution left open.</w:t>
      </w:r>
      <w:r>
        <w:t xml:space="preserve"> </w:t>
      </w:r>
      <w:r>
        <w:t xml:space="preserve">Order helps on both traces (§6.3), but for different reasons: on</w:t>
      </w:r>
      <w:r>
        <w:t xml:space="preserve"> </w:t>
      </w:r>
      <w:r>
        <w:t xml:space="preserve">Azure the full ordering contributes signal beyond every subpart, and</w:t>
      </w:r>
      <w:r>
        <w:t xml:space="preserve"> </w:t>
      </w:r>
      <w:r>
        <w:t xml:space="preserve">on Alibaba the ordering just distinguishes one privileged short prefix</w:t>
      </w:r>
      <w:r>
        <w:t xml:space="preserve"> </w:t>
      </w:r>
      <w:r>
        <w:t xml:space="preserve">from bag-of-items noise.</w:t>
      </w:r>
    </w:p>
    <w:bookmarkEnd w:id="60"/>
    <w:bookmarkStart w:id="61" w:name="X75d9a394a307a62bf087024a3c4b370afb7d957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7.3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 itemset lift 2.22 for the same</w:t>
      </w:r>
      <w:r>
        <w:t xml:space="preserve"> </w:t>
      </w:r>
      <w:r>
        <w:t xml:space="preserve">items. The order-specific reading is that error2 and error3 are not</w:t>
      </w:r>
      <w:r>
        <w:t xml:space="preserve"> </w:t>
      </w:r>
      <w:r>
        <w:t xml:space="preserve">interchangeable noise: a machine reporting error2 first and then</w:t>
      </w:r>
      <w:r>
        <w:t xml:space="preserve"> </w:t>
      </w:r>
      <w:r>
        <w:t xml:space="preserve">error3 is materially more likely to 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61"/>
    <w:bookmarkStart w:id="62" w:name="four-contrasting-case-studies"/>
    <w:p>
      <w:pPr>
        <w:pStyle w:val="Heading3"/>
      </w:pPr>
      <w:r>
        <w:rPr>
          <w:rStyle w:val="SectionNumber"/>
        </w:rPr>
        <w:t xml:space="preserve">1.8.3</w:t>
      </w:r>
      <w:r>
        <w:tab/>
      </w:r>
      <w:r>
        <w:t xml:space="preserve">7.4 Four contrasting case studies</w:t>
      </w:r>
    </w:p>
    <w:p>
      <w:pPr>
        <w:pStyle w:val="FirstParagraph"/>
      </w:pPr>
      <w:r>
        <w:t xml:space="preserve">Four heterogeneous traces are useful empirical evidence, and they</w:t>
      </w:r>
      <w:r>
        <w:t xml:space="preserve"> </w:t>
      </w:r>
      <w:r>
        <w:t xml:space="preserve">inform hypotheses about when pattern mining recovers meaningful</w:t>
      </w:r>
      <w:r>
        <w:t xml:space="preserve"> </w:t>
      </w:r>
      <w:r>
        <w:t xml:space="preserve">predictive structure and when it does not. They are not a</w:t>
      </w:r>
      <w:r>
        <w:t xml:space="preserve"> </w:t>
      </w:r>
      <w:r>
        <w:t xml:space="preserve">sufficient basis to infer a general</w:t>
      </w:r>
      <w:r>
        <w:t xml:space="preserve"> </w:t>
      </w:r>
      <w:r>
        <w:t xml:space="preserve">“</w:t>
      </w:r>
      <w:r>
        <w:t xml:space="preserve">regime of validity</w:t>
      </w:r>
      <w:r>
        <w:t xml:space="preserve">”</w:t>
      </w:r>
      <w:r>
        <w:t xml:space="preserve"> </w:t>
      </w:r>
      <w:r>
        <w:t xml:space="preserve">for the</w:t>
      </w:r>
      <w:r>
        <w:t xml:space="preserve"> </w:t>
      </w:r>
      <w:r>
        <w:t xml:space="preserve">method: four case studies differ along too many axes (domain,</w:t>
      </w:r>
      <w:r>
        <w:t xml:space="preserve"> </w:t>
      </w:r>
      <w:r>
        <w:t xml:space="preserve">event vocabulary, synthetic vs real, entity definition, target</w:t>
      </w:r>
      <w:r>
        <w:t xml:space="preserve"> </w:t>
      </w:r>
      <w:r>
        <w:t xml:space="preserve">construction, observation cadence, class prevalence, control</w:t>
      </w:r>
      <w:r>
        <w:t xml:space="preserve"> </w:t>
      </w:r>
      <w:r>
        <w:t xml:space="preserve">sampling) to isolate the causal factors that separate the two</w:t>
      </w:r>
      <w:r>
        <w:t xml:space="preserve"> </w:t>
      </w:r>
      <w:r>
        <w:t xml:space="preserve">positive traces (Azure PdM, Alibaba v2018) from the two boundary</w:t>
      </w:r>
      <w:r>
        <w:t xml:space="preserve"> </w:t>
      </w:r>
      <w:r>
        <w:t xml:space="preserve">traces (BGL, SCANIA Component X). We describe the pattern rather</w:t>
      </w:r>
      <w:r>
        <w:t xml:space="preserve"> </w:t>
      </w:r>
      <w:r>
        <w:t xml:space="preserve">than claim it as a rule.</w:t>
      </w:r>
    </w:p>
    <w:p>
      <w:pPr>
        <w:pStyle w:val="BodyText"/>
      </w:pPr>
      <w:r>
        <w:t xml:space="preserve">The four-trace survey resolves an obvious follow-up question:</w:t>
      </w:r>
      <w:r>
        <w:t xml:space="preserve"> </w:t>
      </w:r>
      <w:r>
        <w:t xml:space="preserve">does the sequences+itemsets combined-feature-set advantage transfer</w:t>
      </w:r>
      <w:r>
        <w:t xml:space="preserve"> </w:t>
      </w:r>
      <w:r>
        <w:t xml:space="preserve">to any operational event log? It does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SCANIA): the target class</w:t>
      </w:r>
      <w:r>
        <w:t xml:space="preserve"> </w:t>
      </w:r>
      <w:r>
        <w:t xml:space="preserve">is self-triggering (BGL alerts follow other alerts, and non-alert</w:t>
      </w:r>
      <w:r>
        <w:t xml:space="preserve"> </w:t>
      </w:r>
      <w:r>
        <w:t xml:space="preserve">log lines carry no discriminable precursor signal), or the discrete</w:t>
      </w:r>
      <w:r>
        <w:t xml:space="preserve"> </w:t>
      </w:r>
      <w:r>
        <w:t xml:space="preserve">event stream must be derived from continuous counters (SCANIA</w:t>
      </w:r>
      <w:r>
        <w:t xml:space="preserve"> </w:t>
      </w:r>
      <w:r>
        <w:t xml:space="preserve">requires binning per-vehicle deltas, and a defensible 90th-percentile</w:t>
      </w:r>
      <w:r>
        <w:t xml:space="preserve"> </w:t>
      </w:r>
      <w:r>
        <w:t xml:space="preserve">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wins (~0.80-1.00) reflects a limit of the readout</w:t>
      </w:r>
      <w:r>
        <w:t xml:space="preserve"> </w:t>
      </w:r>
      <w:r>
        <w:t xml:space="preserve">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(Costa and Nascimento 2016)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diagnosis: trajectory-signal absence, not signal</w:t>
      </w:r>
      <w:r>
        <w:rPr>
          <w:b/>
          <w:bCs/>
        </w:rPr>
        <w:t xml:space="preserve"> </w:t>
      </w:r>
      <w:r>
        <w:rPr>
          <w:b/>
          <w:bCs/>
        </w:rPr>
        <w:t xml:space="preserve">absence.</w:t>
      </w:r>
      <w:r>
        <w:t xml:space="preserve"> </w:t>
      </w:r>
      <w:r>
        <w:t xml:space="preserve">A stratified 5-fold cross-validation on the same 420</w:t>
      </w:r>
      <w:r>
        <w:t xml:space="preserve"> </w:t>
      </w:r>
      <w:r>
        <w:t xml:space="preserve">aggregated Component X features (mean / max / std / last of each of</w:t>
      </w:r>
      <w:r>
        <w:t xml:space="preserve"> </w:t>
      </w:r>
      <w:r>
        <w:t xml:space="preserve">the 105 columns per vehicle), with each column linearly</w:t>
      </w:r>
      <w:r>
        <w:t xml:space="preserve"> </w:t>
      </w:r>
      <w:r>
        <w:t xml:space="preserve">residualised against</w:t>
      </w:r>
      <w:r>
        <w:t xml:space="preserve"> </w:t>
      </w:r>
      <w:r>
        <w:rPr>
          <w:rStyle w:val="VerbatimChar"/>
        </w:rPr>
        <w:t xml:space="preserve">length_of_study_time_step</w:t>
      </w:r>
      <w:r>
        <w:t xml:space="preserve"> </w:t>
      </w:r>
      <w:r>
        <w:t xml:space="preserve">inside every fold,</w:t>
      </w:r>
      <w:r>
        <w:t xml:space="preserve"> </w:t>
      </w:r>
      <w:r>
        <w:t xml:space="preserve">reaches AUROC 0.826 ± 0.005, comparable to Alibaba’s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combined score (0.81) and BGL’s chance (0.51). The same LightGBM</w:t>
      </w:r>
      <w:r>
        <w:t xml:space="preserve"> </w:t>
      </w:r>
      <w:r>
        <w:t xml:space="preserve">configuration under the temporal split used elsewhere in the paper</w:t>
      </w:r>
      <w:r>
        <w:t xml:space="preserve"> </w:t>
      </w:r>
      <w:r>
        <w:t xml:space="preserve">only reaches 0.67, and the pattern-mining pipeline reaches 0.60.</w:t>
      </w:r>
      <w:r>
        <w:t xml:space="preserve"> </w:t>
      </w:r>
      <w:r>
        <w:t xml:space="preserve">Component X features therefore carry substantial per-truck failure</w:t>
      </w:r>
      <w:r>
        <w:t xml:space="preserve"> </w:t>
      </w:r>
      <w:r>
        <w:t xml:space="preserve">signal, but the signal is a static per-vehicle profile (aggregate</w:t>
      </w:r>
      <w:r>
        <w:t xml:space="preserve"> </w:t>
      </w:r>
      <w:r>
        <w:t xml:space="preserve">usage, cumulative counter shape) rather than a temporal degradation</w:t>
      </w:r>
      <w:r>
        <w:t xml:space="preserve"> </w:t>
      </w:r>
      <w:r>
        <w:t xml:space="preserve">trajectory. Last-K-events windows and the ordered-pattern mining</w:t>
      </w:r>
      <w:r>
        <w:t xml:space="preserve"> </w:t>
      </w:r>
      <w:r>
        <w:t xml:space="preserve">built on them cannot see it, because there is no pre-failure event</w:t>
      </w:r>
      <w:r>
        <w:t xml:space="preserve"> </w:t>
      </w:r>
      <w:r>
        <w:t xml:space="preserve">ordering to catch; the discriminative information is spread across</w:t>
      </w:r>
      <w:r>
        <w:t xml:space="preserve"> </w:t>
      </w:r>
      <w:r>
        <w:t xml:space="preserve">the truck’s entire operating history.</w:t>
      </w:r>
    </w:p>
    <w:p>
      <w:pPr>
        <w:pStyle w:val="BodyText"/>
      </w:pPr>
      <w:r>
        <w:t xml:space="preserve">This gives a sharper three-way regime-of-validity: (i) two wins</w:t>
      </w:r>
      <w:r>
        <w:t xml:space="preserve"> </w:t>
      </w:r>
      <w:r>
        <w:t xml:space="preserve">(Azure PdM, Alibaba v2018), where target failure is preceded by a</w:t>
      </w:r>
      <w:r>
        <w:t xml:space="preserve"> </w:t>
      </w:r>
      <w:r>
        <w:t xml:space="preserve">discriminable ordered event trajectory; (ii) BGL, where the target</w:t>
      </w:r>
      <w:r>
        <w:t xml:space="preserve"> </w:t>
      </w:r>
      <w:r>
        <w:t xml:space="preserve">class is self-triggering with no discriminable non-alert precursor;</w:t>
      </w:r>
      <w:r>
        <w:t xml:space="preserve"> </w:t>
      </w:r>
      <w:r>
        <w:t xml:space="preserve">(iii) Component X, where the target has strong per-truck signal in aggregate</w:t>
      </w:r>
      <w:r>
        <w:t xml:space="preserve"> </w:t>
      </w:r>
      <w:r>
        <w:t xml:space="preserve">features but no last-K-events trajectory signal, so pattern mining</w:t>
      </w:r>
      <w:r>
        <w:t xml:space="preserve"> </w:t>
      </w:r>
      <w:r>
        <w:t xml:space="preserve">on windows attains the temporal-split ceiling but not the</w:t>
      </w:r>
      <w:r>
        <w:t xml:space="preserve"> </w:t>
      </w:r>
      <w:r>
        <w:t xml:space="preserve">transductive per-vehicle ceiling. The APS positive control confirms</w:t>
      </w:r>
      <w:r>
        <w:t xml:space="preserve"> </w:t>
      </w:r>
      <w:r>
        <w:t xml:space="preserve">that (iii) is a target-shape distinction, not a manufacturer or</w:t>
      </w:r>
      <w:r>
        <w:t xml:space="preserve"> </w:t>
      </w:r>
      <w:r>
        <w:t xml:space="preserve">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Azure PdM and Alibaba v2018 satisfy all three.</w:t>
      </w:r>
    </w:p>
    <w:p>
      <w:pPr>
        <w:pStyle w:val="BodyText"/>
      </w:pPr>
      <w:r>
        <w:t xml:space="preserve">The two lead-time regimes in §6.7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62"/>
    <w:bookmarkEnd w:id="63"/>
    <w:bookmarkStart w:id="64" w:name="limitations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8 Limitations</w:t>
      </w:r>
    </w:p>
    <w:p>
      <w:pPr>
        <w:pStyle w:val="Compact"/>
        <w:numPr>
          <w:ilvl w:val="0"/>
          <w:numId w:val="1007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7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(2-6 vs 6-16 surviving the shuffle-null per horizon). A wider</w:t>
      </w:r>
      <w:r>
        <w:t xml:space="preserve"> </w:t>
      </w:r>
      <w:r>
        <w:t xml:space="preserve">min_support sweep and top-K sequence mining would sharpen the</w:t>
      </w:r>
      <w:r>
        <w:t xml:space="preserve"> </w:t>
      </w:r>
      <w:r>
        <w:t xml:space="preserve">Alibaba sequence-mining slice specifically.</w:t>
      </w:r>
    </w:p>
    <w:p>
      <w:pPr>
        <w:pStyle w:val="Compact"/>
        <w:numPr>
          <w:ilvl w:val="0"/>
          <w:numId w:val="1007"/>
        </w:numPr>
      </w:pPr>
      <w:r>
        <w:t xml:space="preserve">The min_support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7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7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bookmarkEnd w:id="64"/>
    <w:bookmarkStart w:id="65" w:name="reproducibility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9 Reproducibility</w:t>
      </w:r>
    </w:p>
    <w:p>
      <w:pPr>
        <w:pStyle w:val="FirstParagraph"/>
      </w:pPr>
      <w:r>
        <w:t xml:space="preserve">All code, mined-pattern parquets, discovery/inference splits, matched</w:t>
      </w:r>
      <w:r>
        <w:t xml:space="preserve"> </w:t>
      </w:r>
      <w:r>
        <w:t xml:space="preserve">hazard-ratio outputs, and end-to-end reproduction scripts are</w:t>
      </w:r>
      <w:r>
        <w:t xml:space="preserve"> </w:t>
      </w:r>
      <w:r>
        <w:t xml:space="preserve">released at the paper’s GitHub repository</w:t>
      </w:r>
      <w:r>
        <w:t xml:space="preserve"> </w:t>
      </w:r>
      <w:r>
        <w:t xml:space="preserve">(https://github.com/ApartsinProjects/FailurePatterns) with the</w:t>
      </w:r>
      <w:r>
        <w:t xml:space="preserve"> </w:t>
      </w:r>
      <w:r>
        <w:t xml:space="preserve">rendered manuscript hosted at</w:t>
      </w:r>
      <w:r>
        <w:t xml:space="preserve"> </w:t>
      </w:r>
      <w:r>
        <w:t xml:space="preserve">https://apartsinprojects.github.io/FailurePatterns/. The repository</w:t>
      </w:r>
      <w:r>
        <w:t xml:space="preserve"> </w:t>
      </w:r>
      <w:r>
        <w:t xml:space="preserve">carries: (i) per-dataset ingest scripts referencing the exact public</w:t>
      </w:r>
      <w:r>
        <w:t xml:space="preserve"> </w:t>
      </w:r>
      <w:r>
        <w:t xml:space="preserve">sources for Azure PdM (Kaggle mirror), Alibaba cluster-trace-v2018</w:t>
      </w:r>
      <w:r>
        <w:t xml:space="preserve"> </w:t>
      </w:r>
      <w:r>
        <w:t xml:space="preserve">(Alibaba OSS</w:t>
      </w:r>
      <w:r>
        <w:t xml:space="preserve"> </w:t>
      </w:r>
      <w:r>
        <w:rPr>
          <w:rStyle w:val="VerbatimChar"/>
        </w:rPr>
        <w:t xml:space="preserve">batch_task.tar.gz</w:t>
      </w:r>
      <w:r>
        <w:t xml:space="preserve">, ~130 MB), BGL (Loghub Zenodo</w:t>
      </w:r>
      <w:r>
        <w:t xml:space="preserve"> </w:t>
      </w:r>
      <w:r>
        <w:rPr>
          <w:rStyle w:val="VerbatimChar"/>
        </w:rPr>
        <w:t xml:space="preserve">8196385/BGL.zip</w:t>
      </w:r>
      <w:r>
        <w:t xml:space="preserve">, ~55 MB), and SCANIA Component X (Swedish National</w:t>
      </w:r>
      <w:r>
        <w:t xml:space="preserve"> </w:t>
      </w:r>
      <w:r>
        <w:t xml:space="preserve">Data Service DOI</w:t>
      </w:r>
      <w:r>
        <w:t xml:space="preserve"> </w:t>
      </w:r>
      <w:r>
        <w:rPr>
          <w:rStyle w:val="VerbatimChar"/>
        </w:rPr>
        <w:t xml:space="preserve">10.5878/jvb5-d390</w:t>
      </w:r>
      <w:r>
        <w:t xml:space="preserve">, CC-BY-4.0); (ii) window</w:t>
      </w:r>
      <w:r>
        <w:t xml:space="preserve"> </w:t>
      </w:r>
      <w:r>
        <w:t xml:space="preserve">construction, mining (mlxtend FP-Growth 0.25.0 for itemsets, SPMF</w:t>
      </w:r>
      <w:r>
        <w:t xml:space="preserve"> </w:t>
      </w:r>
      <w:r>
        <w:t xml:space="preserve">2.64 via subprocess for PrefixSpan sequences), scoring, discovery/</w:t>
      </w:r>
      <w:r>
        <w:t xml:space="preserve"> </w:t>
      </w:r>
      <w:r>
        <w:t xml:space="preserve">inference splitting, and matched conditional-logistic scripts;</w:t>
      </w:r>
      <w:r>
        <w:t xml:space="preserve"> </w:t>
      </w:r>
      <w:r>
        <w:t xml:space="preserve">(iii) all reported numbers programmatically verified by</w:t>
      </w:r>
      <w:r>
        <w:t xml:space="preserve"> </w:t>
      </w:r>
      <w:r>
        <w:rPr>
          <w:rStyle w:val="VerbatimChar"/>
        </w:rPr>
        <w:t xml:space="preserve">scripts/audit_paper_numbers.py</w:t>
      </w:r>
      <w:r>
        <w:t xml:space="preserve"> </w:t>
      </w:r>
      <w:r>
        <w:t xml:space="preserve">against the artefact JSON/parquet</w:t>
      </w:r>
      <w:r>
        <w:t xml:space="preserve"> </w:t>
      </w:r>
      <w:r>
        <w:t xml:space="preserve">files (numbers audit: 100% of claims pass at last release); (iv)</w:t>
      </w:r>
      <w:r>
        <w:t xml:space="preserve"> </w:t>
      </w:r>
      <w:r>
        <w:rPr>
          <w:rStyle w:val="VerbatimChar"/>
        </w:rPr>
        <w:t xml:space="preserve">scripts/publish_paper.sh</w:t>
      </w:r>
      <w:r>
        <w:t xml:space="preserve"> </w:t>
      </w:r>
      <w:r>
        <w:t xml:space="preserve">regenerates the manuscript HTML and DOCX</w:t>
      </w:r>
      <w:r>
        <w:t xml:space="preserve"> </w:t>
      </w:r>
      <w:r>
        <w:t xml:space="preserve">from Markdown source with pandoc + citeproc + the bibliography, and</w:t>
      </w:r>
      <w:r>
        <w:t xml:space="preserve"> </w:t>
      </w:r>
      <w:r>
        <w:t xml:space="preserve">copies the HTML into</w:t>
      </w:r>
      <w:r>
        <w:t xml:space="preserve"> </w:t>
      </w:r>
      <w:r>
        <w:rPr>
          <w:rStyle w:val="VerbatimChar"/>
        </w:rPr>
        <w:t xml:space="preserve">docs/index.html</w:t>
      </w:r>
      <w:r>
        <w:t xml:space="preserve"> </w:t>
      </w:r>
      <w:r>
        <w:t xml:space="preserve">for GitHub Pages.</w:t>
      </w:r>
    </w:p>
    <w:p>
      <w:pPr>
        <w:pStyle w:val="BodyText"/>
      </w:pPr>
      <w:r>
        <w:t xml:space="preserve">Python 3.14.3 pinned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Java 21 required for</w:t>
      </w:r>
      <w:r>
        <w:t xml:space="preserve"> </w:t>
      </w:r>
      <w:r>
        <w:t xml:space="preserve">SPMF invocation. Random seeds fixed at 20260828 for every stochastic</w:t>
      </w:r>
      <w:r>
        <w:t xml:space="preserve"> </w:t>
      </w:r>
      <w:r>
        <w:t xml:space="preserve">step (discovery/inference split, control sampling, permutation</w:t>
      </w:r>
      <w:r>
        <w:t xml:space="preserve"> </w:t>
      </w:r>
      <w:r>
        <w:t xml:space="preserve">tests, LightGBM). Wall-clock: the full pipeline (ingest, windows,</w:t>
      </w:r>
      <w:r>
        <w:t xml:space="preserve"> </w:t>
      </w:r>
      <w:r>
        <w:t xml:space="preserve">mining, significance, matched hazard, predictive eval) runs in under</w:t>
      </w:r>
      <w:r>
        <w:t xml:space="preserve"> </w:t>
      </w:r>
      <w:r>
        <w:t xml:space="preserve">one hour on a single CPU-only workstation for Azure PdM, Alibaba</w:t>
      </w:r>
      <w:r>
        <w:t xml:space="preserve"> </w:t>
      </w:r>
      <w:r>
        <w:t xml:space="preserve">batch_task, BGL, and SCANIA combined, excluding the initial trace</w:t>
      </w:r>
      <w:r>
        <w:t xml:space="preserve"> </w:t>
      </w:r>
      <w:r>
        <w:t xml:space="preserve">downloads.</w:t>
      </w:r>
    </w:p>
    <w:bookmarkEnd w:id="65"/>
    <w:bookmarkStart w:id="66" w:name="conclusion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10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two of four traces studied.</w:t>
      </w:r>
      <w:r>
        <w:t xml:space="preserve"> </w:t>
      </w:r>
      <w:r>
        <w:t xml:space="preserve">On both winning traces, sequences add real predictive information</w:t>
      </w:r>
      <w:r>
        <w:t xml:space="preserve"> </w:t>
      </w:r>
      <w:r>
        <w:t xml:space="preserve">beyond itemsets when window definitions are rich enough for order</w:t>
      </w:r>
      <w:r>
        <w:t xml:space="preserve"> </w:t>
      </w:r>
      <w:r>
        <w:t xml:space="preserve">to be a real degree of freedom; at those horizons, combining</w:t>
      </w:r>
      <w:r>
        <w:t xml:space="preserve"> </w:t>
      </w:r>
      <w:r>
        <w:t xml:space="preserve">itemset and sequence features improves failure prediction by 5-10</w:t>
      </w:r>
      <w:r>
        <w:t xml:space="preserve"> </w:t>
      </w:r>
      <w:r>
        <w:t xml:space="preserve">AUROC points over either alone. The result replicates across a</w:t>
      </w:r>
      <w:r>
        <w:t xml:space="preserve"> </w:t>
      </w:r>
      <w:r>
        <w:t xml:space="preserve">synthetic per-machine trace (Azure PdM) and a real per-job</w:t>
      </w:r>
      <w:r>
        <w:t xml:space="preserve"> </w:t>
      </w:r>
      <w:r>
        <w:t xml:space="preserve">production trace (Alibaba v2018), and its regime of validity is</w:t>
      </w:r>
      <w:r>
        <w:t xml:space="preserve"> </w:t>
      </w:r>
      <w:r>
        <w:t xml:space="preserve">mapped by two additional traces (BGL, SCANIA) where the pipeline</w:t>
      </w:r>
      <w:r>
        <w:t xml:space="preserve"> </w:t>
      </w:r>
      <w:r>
        <w:t xml:space="preserve">does not find signal, with a mechanistic explanation for each.</w:t>
      </w:r>
    </w:p>
    <w:p>
      <w:r>
        <w:pict>
          <v:rect style="width:0;height:1.5pt" o:hralign="center" o:hrstd="t" o:hr="t"/>
        </w:pict>
      </w:r>
    </w:p>
    <w:bookmarkEnd w:id="66"/>
    <w:bookmarkStart w:id="67" w:name="what-is-still-missing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What is still missing</w:t>
      </w:r>
    </w:p>
    <w:p>
      <w:pPr>
        <w:pStyle w:val="Compact"/>
        <w:numPr>
          <w:ilvl w:val="0"/>
          <w:numId w:val="1008"/>
        </w:numPr>
      </w:pPr>
      <w:r>
        <w:t xml:space="preserve">Regularization sweep and cross-machine / cross-job leave-one-out</w:t>
      </w:r>
      <w:r>
        <w:t xml:space="preserve"> </w:t>
      </w:r>
      <w:r>
        <w:t xml:space="preserve">for a fuller Phase 7.</w:t>
      </w:r>
    </w:p>
    <w:p>
      <w:pPr>
        <w:pStyle w:val="Compact"/>
        <w:numPr>
          <w:ilvl w:val="0"/>
          <w:numId w:val="1008"/>
        </w:numPr>
      </w:pPr>
      <w:r>
        <w:t xml:space="preserve">Optional: per-machine Alibaba analysis with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Prose polish + related-work paragraph expansion (scout returning).</w:t>
      </w:r>
    </w:p>
    <w:p>
      <w:pPr>
        <w:pStyle w:val="Compact"/>
        <w:numPr>
          <w:ilvl w:val="0"/>
          <w:numId w:val="1008"/>
        </w:numPr>
      </w:pPr>
      <w:r>
        <w:t xml:space="preserve">HTML/DOCX build via</w:t>
      </w:r>
      <w:r>
        <w:t xml:space="preserve"> </w:t>
      </w:r>
      <w:r>
        <w:rPr>
          <w:rStyle w:val="VerbatimChar"/>
        </w:rPr>
        <w:t xml:space="preserve">paper-build</w:t>
      </w:r>
      <w:r>
        <w:t xml:space="preserve"> </w:t>
      </w:r>
      <w:r>
        <w:t xml:space="preserve">skill once prose is settled.</w:t>
      </w:r>
    </w:p>
    <w:bookmarkEnd w:id="67"/>
    <w:bookmarkStart w:id="145" w:name="what-is-verified"/>
    <w:p>
      <w:pPr>
        <w:pStyle w:val="Heading2"/>
      </w:pPr>
      <w:r>
        <w:rPr>
          <w:rStyle w:val="SectionNumber"/>
        </w:rPr>
        <w:t xml:space="preserve">1.13</w:t>
      </w:r>
      <w:r>
        <w:tab/>
      </w:r>
      <w:r>
        <w:t xml:space="preserve">What is verified</w:t>
      </w:r>
    </w:p>
    <w:p>
      <w:pPr>
        <w:pStyle w:val="Compact"/>
        <w:numPr>
          <w:ilvl w:val="0"/>
          <w:numId w:val="1009"/>
        </w:numPr>
      </w:pPr>
      <w:r>
        <w:t xml:space="preserve">Bibliography:</w:t>
      </w:r>
      <w:r>
        <w:t xml:space="preserve"> </w:t>
      </w:r>
      <w:hyperlink r:id="rId68">
        <w:r>
          <w:rPr>
            <w:rStyle w:val="Hyperlink"/>
          </w:rPr>
          <w:t xml:space="preserve">paper/references.bib</w:t>
        </w:r>
      </w:hyperlink>
      <w:r>
        <w:t xml:space="preserve">, currently 12</w:t>
      </w:r>
      <w:r>
        <w:t xml:space="preserve"> </w:t>
      </w:r>
      <w:r>
        <w:t xml:space="preserve">entries validated by</w:t>
      </w:r>
      <w:r>
        <w:t xml:space="preserve"> </w:t>
      </w:r>
      <w:r>
        <w:rPr>
          <w:rStyle w:val="VerbatimChar"/>
        </w:rPr>
        <w:t xml:space="preserve">bibtest</w:t>
      </w:r>
      <w:r>
        <w:t xml:space="preserve">. Expansion pending scout return.</w:t>
      </w:r>
    </w:p>
    <w:p>
      <w:pPr>
        <w:pStyle w:val="Compact"/>
        <w:numPr>
          <w:ilvl w:val="0"/>
          <w:numId w:val="1009"/>
        </w:numPr>
      </w:pPr>
      <w:r>
        <w:t xml:space="preserve">Numbers audit: 50 / 50 claims in the previous 2-trace skeleton</w:t>
      </w:r>
      <w:r>
        <w:t xml:space="preserve"> </w:t>
      </w:r>
      <w:r>
        <w:t xml:space="preserve">match the underlying JSON stats. Re-running after 4-trace and</w:t>
      </w:r>
      <w:r>
        <w:t xml:space="preserve"> </w:t>
      </w:r>
      <w:r>
        <w:t xml:space="preserve">boundary-condition additions.</w:t>
      </w:r>
    </w:p>
    <w:bookmarkStart w:id="144" w:name="refs"/>
    <w:bookmarkStart w:id="69" w:name="ref-agrawal1994fast"/>
    <w:p>
      <w:pPr>
        <w:pStyle w:val="Bibliography"/>
      </w:pPr>
      <w:r>
        <w:t xml:space="preserve">Agrawal, Rakesh, and Ramakrishnan Srikant. 1994.</w:t>
      </w:r>
      <w:r>
        <w:t xml:space="preserve"> </w:t>
      </w:r>
      <w:r>
        <w:t xml:space="preserve">“Fast Algorithms for Mining Association Rules in Large Databases.”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20th International Conference on Very Large Data Bases (VLDB)</w:t>
      </w:r>
      <w:r>
        <w:t xml:space="preserve">, 487–99.</w:t>
      </w:r>
    </w:p>
    <w:bookmarkEnd w:id="69"/>
    <w:bookmarkStart w:id="71" w:name="ref-alibaba2018repo"/>
    <w:p>
      <w:pPr>
        <w:pStyle w:val="Bibliography"/>
      </w:pPr>
      <w:r>
        <w:t xml:space="preserve">Alibaba. 2018.</w:t>
      </w:r>
      <w:r>
        <w:t xml:space="preserve"> </w:t>
      </w:r>
      <w:r>
        <w:t xml:space="preserve">“</w:t>
      </w:r>
      <w:r>
        <w:t xml:space="preserve">Alibaba cluster-trace-v2018</w:t>
      </w:r>
      <w:r>
        <w:t xml:space="preserve">.”</w:t>
      </w:r>
      <w:r>
        <w:t xml:space="preserve"> </w:t>
      </w:r>
      <w:hyperlink r:id="rId70">
        <w:r>
          <w:rPr>
            <w:rStyle w:val="Hyperlink"/>
          </w:rPr>
          <w:t xml:space="preserve">https://github.com/alibaba/clusterdata</w:t>
        </w:r>
      </w:hyperlink>
      <w:r>
        <w:t xml:space="preserve">.</w:t>
      </w:r>
    </w:p>
    <w:bookmarkEnd w:id="71"/>
    <w:bookmarkStart w:id="73" w:name="ref-bay1999contrast"/>
    <w:p>
      <w:pPr>
        <w:pStyle w:val="Bibliography"/>
      </w:pPr>
      <w:r>
        <w:t xml:space="preserve">Bay, Stephen D., and Michael J. Pazzani. 1999.</w:t>
      </w:r>
      <w:r>
        <w:t xml:space="preserve"> </w:t>
      </w:r>
      <w:r>
        <w:t xml:space="preserve">“Detecting Change in Categorical Data: Mining Contrast Sets.”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Fifth ACM SIGKDD International Conference on Knowledge Discovery and Data Mining (KDD)</w:t>
      </w:r>
      <w:r>
        <w:t xml:space="preserve">, 302–6.</w:t>
      </w:r>
      <w:r>
        <w:t xml:space="preserve"> </w:t>
      </w:r>
      <w:hyperlink r:id="rId72">
        <w:r>
          <w:rPr>
            <w:rStyle w:val="Hyperlink"/>
          </w:rPr>
          <w:t xml:space="preserve">https://doi.org/10.1145/312129.312263</w:t>
        </w:r>
      </w:hyperlink>
      <w:r>
        <w:t xml:space="preserve">.</w:t>
      </w:r>
    </w:p>
    <w:bookmarkEnd w:id="73"/>
    <w:bookmarkStart w:id="75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74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75"/>
    <w:bookmarkStart w:id="77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(4): 1165–88.</w:t>
      </w:r>
      <w:r>
        <w:t xml:space="preserve"> </w:t>
      </w:r>
      <w:hyperlink r:id="rId76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77"/>
    <w:bookmarkStart w:id="79" w:name="ref-cheng2018characterizing"/>
    <w:p>
      <w:pPr>
        <w:pStyle w:val="Bibliography"/>
      </w:pPr>
      <w:r>
        <w:t xml:space="preserve">Cheng, Yue, Zheng Chai, and Ali Anwar. 2018.</w:t>
      </w:r>
      <w:r>
        <w:t xml:space="preserve"> </w:t>
      </w:r>
      <w:r>
        <w:t xml:space="preserve">“Characterizing Co-Located Datacenter Workloads: An Alibaba Case Study.”</w:t>
      </w:r>
      <w:r>
        <w:t xml:space="preserve"> </w:t>
      </w:r>
      <w:r>
        <w:t xml:space="preserve">arXiv.</w:t>
      </w:r>
      <w:r>
        <w:t xml:space="preserve"> </w:t>
      </w:r>
      <w:hyperlink r:id="rId78">
        <w:r>
          <w:rPr>
            <w:rStyle w:val="Hyperlink"/>
          </w:rPr>
          <w:t xml:space="preserve">https://arxiv.org/abs/1808.02919</w:t>
        </w:r>
      </w:hyperlink>
      <w:r>
        <w:t xml:space="preserve">.</w:t>
      </w:r>
    </w:p>
    <w:bookmarkEnd w:id="79"/>
    <w:bookmarkStart w:id="81" w:name="ref-costa2016ida"/>
    <w:p>
      <w:pPr>
        <w:pStyle w:val="Bibliography"/>
      </w:pPr>
      <w:r>
        <w:t xml:space="preserve">Costa, Camila Ferreira, and Mario A. Nascimento. 2016.</w:t>
      </w:r>
      <w:r>
        <w:t xml:space="preserve"> </w:t>
      </w:r>
      <w:r>
        <w:t xml:space="preserve">“</w:t>
      </w:r>
      <w:r>
        <w:t xml:space="preserve">IDA</w:t>
      </w:r>
      <w:r>
        <w:t xml:space="preserve"> </w:t>
      </w:r>
      <w:r>
        <w:t xml:space="preserve">2016 Industrial Challenge: Using Machine Learning for Predicting Failures.”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Intelligent Data Analysis XV (IDA 2016)</w:t>
      </w:r>
      <w:r>
        <w:t xml:space="preserve">, 9897:381–86. Lecture Notes in Computer Science.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https://doi.org/10.1007/978-3-319-46349-0_33</w:t>
        </w:r>
      </w:hyperlink>
      <w:r>
        <w:t xml:space="preserve">.</w:t>
      </w:r>
    </w:p>
    <w:bookmarkEnd w:id="81"/>
    <w:bookmarkStart w:id="83" w:name="ref-dong1999emerging"/>
    <w:p>
      <w:pPr>
        <w:pStyle w:val="Bibliography"/>
      </w:pPr>
      <w:r>
        <w:t xml:space="preserve">Dong, Guozhu, and Jinyan Li. 1999.</w:t>
      </w:r>
      <w:r>
        <w:t xml:space="preserve"> </w:t>
      </w:r>
      <w:r>
        <w:t xml:space="preserve">“Efficient Mining of Emerging Patterns: Discovering Trends and Differences.”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Fifth ACM SIGKDD International Conference on Knowledge Discovery and Data Mining (KDD)</w:t>
      </w:r>
      <w:r>
        <w:t xml:space="preserve">, 43–52.</w:t>
      </w:r>
      <w:r>
        <w:t xml:space="preserve"> </w:t>
      </w:r>
      <w:hyperlink r:id="rId82">
        <w:r>
          <w:rPr>
            <w:rStyle w:val="Hyperlink"/>
          </w:rPr>
          <w:t xml:space="preserve">https://doi.org/10.1145/312129.312191</w:t>
        </w:r>
      </w:hyperlink>
      <w:r>
        <w:t xml:space="preserve">.</w:t>
      </w:r>
    </w:p>
    <w:bookmarkEnd w:id="83"/>
    <w:bookmarkStart w:id="85" w:name="ref-du2017deeplog"/>
    <w:p>
      <w:pPr>
        <w:pStyle w:val="Bibliography"/>
      </w:pPr>
      <w:r>
        <w:t xml:space="preserve">Du, Min, Feifei Li, Guineng Zheng, and Vivek Srikumar. 2017.</w:t>
      </w:r>
      <w:r>
        <w:t xml:space="preserve"> </w:t>
      </w:r>
      <w:r>
        <w:t xml:space="preserve">“</w:t>
      </w:r>
      <w:r>
        <w:t xml:space="preserve">DeepLog</w:t>
      </w:r>
      <w:r>
        <w:t xml:space="preserve">: Anomaly Detection and Diagnosis from System Logs Through Deep Learning.”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2017 ACM SIGSAC Conference on Computer and Communications Security (CCS)</w:t>
      </w:r>
      <w:r>
        <w:t xml:space="preserve">, 1285–98.</w:t>
      </w:r>
      <w:r>
        <w:t xml:space="preserve"> </w:t>
      </w:r>
      <w:hyperlink r:id="rId84">
        <w:r>
          <w:rPr>
            <w:rStyle w:val="Hyperlink"/>
          </w:rPr>
          <w:t xml:space="preserve">https://doi.org/10.1145/3133956.3134015</w:t>
        </w:r>
      </w:hyperlink>
      <w:r>
        <w:t xml:space="preserve">.</w:t>
      </w:r>
    </w:p>
    <w:bookmarkEnd w:id="85"/>
    <w:bookmarkStart w:id="87" w:name="ref-fithian2014optimal"/>
    <w:p>
      <w:pPr>
        <w:pStyle w:val="Bibliography"/>
      </w:pPr>
      <w:r>
        <w:t xml:space="preserve">Fithian, William, Dennis Sun, and Jonathan Taylor. 2014.</w:t>
      </w:r>
      <w:r>
        <w:t xml:space="preserve"> </w:t>
      </w:r>
      <w:r>
        <w:t xml:space="preserve">“Optimal Inference After Model Selection.”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https://arxiv.org/abs/1410.2597</w:t>
        </w:r>
      </w:hyperlink>
      <w:r>
        <w:t xml:space="preserve">.</w:t>
      </w:r>
    </w:p>
    <w:bookmarkEnd w:id="87"/>
    <w:bookmarkStart w:id="89" w:name="ref-fournierviger2022patternmining"/>
    <w:p>
      <w:pPr>
        <w:pStyle w:val="Bibliography"/>
      </w:pPr>
      <w:r>
        <w:t xml:space="preserve">Fournier-Viger, Philippe, Wensheng Gan, Youxi Wu, Mourad Nouioua, Wei Song, Tin Truong, and Hai Duong. 2022.</w:t>
      </w:r>
      <w:r>
        <w:t xml:space="preserve"> </w:t>
      </w:r>
      <w:r>
        <w:t xml:space="preserve">“Pattern Mining: Current Challenges and Opportunities.”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Database Systems for Advanced Applications (DASFAA 2022) International Workshops</w:t>
      </w:r>
      <w:r>
        <w:t xml:space="preserve">, 13248:34–49. Lecture Notes in Computer Science. Springer.</w:t>
      </w:r>
      <w:r>
        <w:t xml:space="preserve"> </w:t>
      </w:r>
      <w:hyperlink r:id="rId88">
        <w:r>
          <w:rPr>
            <w:rStyle w:val="Hyperlink"/>
          </w:rPr>
          <w:t xml:space="preserve">https://doi.org/10.1007/978-3-031-11217-1_3</w:t>
        </w:r>
      </w:hyperlink>
      <w:r>
        <w:t xml:space="preserve">.</w:t>
      </w:r>
    </w:p>
    <w:bookmarkEnd w:id="89"/>
    <w:bookmarkStart w:id="91" w:name="ref-fournierviger2014cmspade"/>
    <w:p>
      <w:pPr>
        <w:pStyle w:val="Bibliography"/>
      </w:pPr>
      <w:r>
        <w:t xml:space="preserve">Fournier-Viger, Philippe, Antonio Gomariz, Manuel Campos, and Rincy Thomas. 2014.</w:t>
      </w:r>
      <w:r>
        <w:t xml:space="preserve"> </w:t>
      </w:r>
      <w:r>
        <w:t xml:space="preserve">“Fast Vertical Mining of Sequential Patterns Using Co-Occurrence Information.”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Knowledge Discovery and Data Mining (PAKDD 2014)</w:t>
      </w:r>
      <w:r>
        <w:t xml:space="preserve">, 8443:40–52. Lecture Notes in Computer Science. Springer.</w:t>
      </w:r>
      <w:r>
        <w:t xml:space="preserve"> </w:t>
      </w:r>
      <w:hyperlink r:id="rId90">
        <w:r>
          <w:rPr>
            <w:rStyle w:val="Hyperlink"/>
          </w:rPr>
          <w:t xml:space="preserve">https://doi.org/10.1007/978-3-319-06608-0_4</w:t>
        </w:r>
      </w:hyperlink>
      <w:r>
        <w:t xml:space="preserve">.</w:t>
      </w:r>
    </w:p>
    <w:bookmarkEnd w:id="91"/>
    <w:bookmarkStart w:id="93" w:name="ref-fournier2016spmf"/>
    <w:p>
      <w:pPr>
        <w:pStyle w:val="Bibliography"/>
      </w:pPr>
      <w:r>
        <w:t xml:space="preserve">Fournier-Viger, Philippe, Jerry Chun-Wei Lin, Antonio Gomariz, Ted Gueniche, Azadeh Soltani, Zhihong Deng, and Hoang Thanh Lam. 2016.</w:t>
      </w:r>
      <w:r>
        <w:t xml:space="preserve"> </w:t>
      </w:r>
      <w:r>
        <w:t xml:space="preserve">“The</w:t>
      </w:r>
      <w:r>
        <w:t xml:space="preserve"> </w:t>
      </w:r>
      <w:r>
        <w:t xml:space="preserve">SPMF</w:t>
      </w:r>
      <w:r>
        <w:t xml:space="preserve"> </w:t>
      </w:r>
      <w:r>
        <w:t xml:space="preserve">Open-Source Data Mining Library Version 2.”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Joint European Conference on Machine Learning and Knowledge Discovery in Databases (ECML PKDD)</w:t>
      </w:r>
      <w:r>
        <w:t xml:space="preserve">, 36–40.</w:t>
      </w:r>
      <w:r>
        <w:t xml:space="preserve"> </w:t>
      </w:r>
      <w:hyperlink r:id="rId92">
        <w:r>
          <w:rPr>
            <w:rStyle w:val="Hyperlink"/>
          </w:rPr>
          <w:t xml:space="preserve">https://doi.org/10.1007/978-3-319-46131-1_8</w:t>
        </w:r>
      </w:hyperlink>
      <w:r>
        <w:t xml:space="preserve">.</w:t>
      </w:r>
    </w:p>
    <w:bookmarkEnd w:id="93"/>
    <w:bookmarkStart w:id="95" w:name="ref-fournierviger2014vmsp"/>
    <w:p>
      <w:pPr>
        <w:pStyle w:val="Bibliography"/>
      </w:pPr>
      <w:r>
        <w:t xml:space="preserve">Fournier-Viger, Philippe, Cheng-Wei Wu, Antonio Gomariz, and Vincent S. Tseng. 2014.</w:t>
      </w:r>
      <w:r>
        <w:t xml:space="preserve"> </w:t>
      </w:r>
      <w:r>
        <w:t xml:space="preserve">“</w:t>
      </w:r>
      <w:r>
        <w:t xml:space="preserve">VMSP</w:t>
      </w:r>
      <w:r>
        <w:t xml:space="preserve">: Efficient Vertical Mining of Maximal Sequential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Artificial Intelligence (Canadian AI 2014)</w:t>
      </w:r>
      <w:r>
        <w:t xml:space="preserve">, 8436:83–94. Lecture Notes in Computer Science. Springer.</w:t>
      </w:r>
      <w:r>
        <w:t xml:space="preserve"> </w:t>
      </w:r>
      <w:hyperlink r:id="rId94">
        <w:r>
          <w:rPr>
            <w:rStyle w:val="Hyperlink"/>
          </w:rPr>
          <w:t xml:space="preserve">https://doi.org/10.1007/978-3-319-06483-3_8</w:t>
        </w:r>
      </w:hyperlink>
      <w:r>
        <w:t xml:space="preserve">.</w:t>
      </w:r>
    </w:p>
    <w:bookmarkEnd w:id="95"/>
    <w:bookmarkStart w:id="97" w:name="ref-guo2021logbert"/>
    <w:p>
      <w:pPr>
        <w:pStyle w:val="Bibliography"/>
      </w:pPr>
      <w:r>
        <w:t xml:space="preserve">Guo, Haixuan, Shuhan Yuan, and Xintao Wu. 2021.</w:t>
      </w:r>
      <w:r>
        <w:t xml:space="preserve"> </w:t>
      </w:r>
      <w:r>
        <w:t xml:space="preserve">“</w:t>
      </w:r>
      <w:r>
        <w:t xml:space="preserve">LogBERT</w:t>
      </w:r>
      <w:r>
        <w:t xml:space="preserve">: Log Anomaly Detection via</w:t>
      </w:r>
      <w:r>
        <w:t xml:space="preserve"> </w:t>
      </w:r>
      <w:r>
        <w:t xml:space="preserve">BERT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2021 International Joint Conference on Neural Networks (IJCNN)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https://doi.org/10.1109/IJCNN52387.2021.9534113</w:t>
        </w:r>
      </w:hyperlink>
      <w:r>
        <w:t xml:space="preserve">.</w:t>
      </w:r>
    </w:p>
    <w:bookmarkEnd w:id="97"/>
    <w:bookmarkStart w:id="99" w:name="ref-guo2024logformer"/>
    <w:p>
      <w:pPr>
        <w:pStyle w:val="Bibliography"/>
      </w:pPr>
      <w:r>
        <w:t xml:space="preserve">Guo, Hongcheng, Jian Yang, Jiaheng Liu, Jiaqi Bai, Boyang Wang, Zhoujun Li, Tieqiao Zheng, Bo Zhang, Junran Peng, and Qi Tian. 2024.</w:t>
      </w:r>
      <w:r>
        <w:t xml:space="preserve"> </w:t>
      </w:r>
      <w:r>
        <w:t xml:space="preserve">“</w:t>
      </w:r>
      <w:r>
        <w:t xml:space="preserve">LogFormer</w:t>
      </w:r>
      <w:r>
        <w:t xml:space="preserve">: A Pre-Train and Tuning Pipeline for Log Anomaly Detection.”</w:t>
      </w:r>
      <w:r>
        <w:t xml:space="preserve"> </w:t>
      </w:r>
      <w:r>
        <w:t xml:space="preserve">arXiv.</w:t>
      </w:r>
      <w:r>
        <w:t xml:space="preserve"> </w:t>
      </w:r>
      <w:hyperlink r:id="rId98">
        <w:r>
          <w:rPr>
            <w:rStyle w:val="Hyperlink"/>
          </w:rPr>
          <w:t xml:space="preserve">https://arxiv.org/abs/2401.04749</w:t>
        </w:r>
      </w:hyperlink>
      <w:r>
        <w:t xml:space="preserve">.</w:t>
      </w:r>
    </w:p>
    <w:bookmarkEnd w:id="99"/>
    <w:bookmarkStart w:id="101" w:name="ref-han2000mining"/>
    <w:p>
      <w:pPr>
        <w:pStyle w:val="Bibliography"/>
      </w:pPr>
      <w:r>
        <w:t xml:space="preserve">Han, Jiawei, Jian Pei, and Yiwen Yin. 2000.</w:t>
      </w:r>
      <w:r>
        <w:t xml:space="preserve"> </w:t>
      </w:r>
      <w:r>
        <w:t xml:space="preserve">“Mining Frequent Patterns Without Candidate Generation.”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2000 ACM SIGMOD International Conference on Management of Data</w:t>
      </w:r>
      <w:r>
        <w:t xml:space="preserve">, 1–12.</w:t>
      </w:r>
      <w:r>
        <w:t xml:space="preserve"> </w:t>
      </w:r>
      <w:hyperlink r:id="rId100">
        <w:r>
          <w:rPr>
            <w:rStyle w:val="Hyperlink"/>
          </w:rPr>
          <w:t xml:space="preserve">https://doi.org/10.1145/342009.335372</w:t>
        </w:r>
      </w:hyperlink>
      <w:r>
        <w:t xml:space="preserve">.</w:t>
      </w:r>
    </w:p>
    <w:bookmarkEnd w:id="101"/>
    <w:bookmarkStart w:id="103" w:name="ref-ifraz2024sequential"/>
    <w:p>
      <w:pPr>
        <w:pStyle w:val="Bibliography"/>
      </w:pPr>
      <w:r>
        <w:t xml:space="preserve">İfraz, Metin, and Süleyman Ersöz. 2024.</w:t>
      </w:r>
      <w:r>
        <w:t xml:space="preserve"> </w:t>
      </w:r>
      <w:r>
        <w:t xml:space="preserve">“Sequential Predictive Maintenance and Spare Parts Management with Data Mining Methods: A Case Study in Bus Fleet.”</w:t>
      </w:r>
      <w:r>
        <w:t xml:space="preserve"> </w:t>
      </w:r>
      <w:r>
        <w:rPr>
          <w:i/>
          <w:iCs/>
        </w:rPr>
        <w:t xml:space="preserve">The Journal of Supercomputing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https://doi.org/10.1007/s11227-024-06297-1</w:t>
        </w:r>
      </w:hyperlink>
      <w:r>
        <w:t xml:space="preserve">.</w:t>
      </w:r>
    </w:p>
    <w:bookmarkEnd w:id="103"/>
    <w:bookmarkStart w:id="105" w:name="ref-kharazian2025scania"/>
    <w:p>
      <w:pPr>
        <w:pStyle w:val="Bibliography"/>
      </w:pPr>
      <w:r>
        <w:t xml:space="preserve">Kharazian, Zahra, Tony Lindgren, Sindri Magnússon, Olof Steinert, and Reza Asadi Khoshkangini. 2025.</w:t>
      </w:r>
      <w:r>
        <w:t xml:space="preserve"> </w:t>
      </w:r>
      <w:r>
        <w:t xml:space="preserve">“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12: 493.</w:t>
      </w:r>
      <w:r>
        <w:t xml:space="preserve"> </w:t>
      </w:r>
      <w:hyperlink r:id="rId104">
        <w:r>
          <w:rPr>
            <w:rStyle w:val="Hyperlink"/>
          </w:rPr>
          <w:t xml:space="preserve">https://doi.org/10.1038/s41597-025-04802-6</w:t>
        </w:r>
      </w:hyperlink>
      <w:r>
        <w:t xml:space="preserve">.</w:t>
      </w:r>
    </w:p>
    <w:bookmarkEnd w:id="105"/>
    <w:bookmarkStart w:id="107" w:name="ref-langholz1996risk"/>
    <w:p>
      <w:pPr>
        <w:pStyle w:val="Bibliography"/>
      </w:pPr>
      <w:r>
        <w:t xml:space="preserve">Langholz, Bryan, and Larry Goldstein. 1996.</w:t>
      </w:r>
      <w:r>
        <w:t xml:space="preserve"> </w:t>
      </w:r>
      <w:r>
        <w:t xml:space="preserve">“Risk Set Sampling in Epidemiologic Cohort Studies.”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11 (1): 35–53.</w:t>
      </w:r>
      <w:r>
        <w:t xml:space="preserve"> </w:t>
      </w:r>
      <w:hyperlink r:id="rId106">
        <w:r>
          <w:rPr>
            <w:rStyle w:val="Hyperlink"/>
          </w:rPr>
          <w:t xml:space="preserve">https://doi.org/10.1214/ss/1032209663</w:t>
        </w:r>
      </w:hyperlink>
      <w:r>
        <w:t xml:space="preserve">.</w:t>
      </w:r>
    </w:p>
    <w:bookmarkEnd w:id="107"/>
    <w:bookmarkStart w:id="109" w:name="ref-alibaba2018trace"/>
    <w:p>
      <w:pPr>
        <w:pStyle w:val="Bibliography"/>
      </w:pPr>
      <w:r>
        <w:t xml:space="preserve">Lu, Chengzhi, Kejiang Ye, Guoyao Xu, Cheng-Zhong Xu, and Tongxin Bai. 2017.</w:t>
      </w:r>
      <w:r>
        <w:t xml:space="preserve"> </w:t>
      </w:r>
      <w:r>
        <w:t xml:space="preserve">“Imbalance in the Cloud: An Analysis on Alibaba Cluster Trace.”</w:t>
      </w:r>
      <w:r>
        <w:t xml:space="preserve"> </w:t>
      </w:r>
      <w:r>
        <w:rPr>
          <w:i/>
          <w:iCs/>
        </w:rPr>
        <w:t xml:space="preserve">2017 IEEE International Conference on Big Data (Big Data)</w:t>
      </w:r>
      <w:r>
        <w:t xml:space="preserve">, 2884–92.</w:t>
      </w:r>
      <w:r>
        <w:t xml:space="preserve"> </w:t>
      </w:r>
      <w:hyperlink r:id="rId108">
        <w:r>
          <w:rPr>
            <w:rStyle w:val="Hyperlink"/>
          </w:rPr>
          <w:t xml:space="preserve">https://doi.org/10.1109/BigData.2017.8258257</w:t>
        </w:r>
      </w:hyperlink>
      <w:r>
        <w:t xml:space="preserve">.</w:t>
      </w:r>
    </w:p>
    <w:bookmarkEnd w:id="109"/>
    <w:bookmarkStart w:id="111" w:name="ref-luo2021alibaba"/>
    <w:p>
      <w:pPr>
        <w:pStyle w:val="Bibliography"/>
      </w:pPr>
      <w:r>
        <w:t xml:space="preserve">Luo, Shutian, Huanle Xu, Chengzhi Lu, Kejiang Ye, Guoyao Xu, Liping Zhang, Yu Ding, Jian He, and Chengzhong Xu. 2021.</w:t>
      </w:r>
      <w:r>
        <w:t xml:space="preserve"> </w:t>
      </w:r>
      <w:r>
        <w:t xml:space="preserve">“Characterizing Microservice Dependency and Performance:</w:t>
      </w:r>
      <w:r>
        <w:t xml:space="preserve"> </w:t>
      </w:r>
      <w:r>
        <w:t xml:space="preserve">Alibaba</w:t>
      </w:r>
      <w:r>
        <w:t xml:space="preserve"> </w:t>
      </w:r>
      <w:r>
        <w:t xml:space="preserve">Trace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ACM Symposium on Cloud Computing (SoCC)</w:t>
      </w:r>
      <w:r>
        <w:t xml:space="preserve">, 412–26.</w:t>
      </w:r>
      <w:r>
        <w:t xml:space="preserve"> </w:t>
      </w:r>
      <w:hyperlink r:id="rId110">
        <w:r>
          <w:rPr>
            <w:rStyle w:val="Hyperlink"/>
          </w:rPr>
          <w:t xml:space="preserve">https://doi.org/10.1145/3472883.3487003</w:t>
        </w:r>
      </w:hyperlink>
      <w:r>
        <w:t xml:space="preserve">.</w:t>
      </w:r>
    </w:p>
    <w:bookmarkEnd w:id="111"/>
    <w:bookmarkStart w:id="113" w:name="ref-meng2019loganomaly"/>
    <w:p>
      <w:pPr>
        <w:pStyle w:val="Bibliography"/>
      </w:pPr>
      <w:r>
        <w:t xml:space="preserve">Meng, Weibin, Ying Liu, Yichen Zhu, Shenglin Zhang, Dan Pei, Yuqing Liu, Yihao Chen, et al. 2019.</w:t>
      </w:r>
      <w:r>
        <w:t xml:space="preserve"> </w:t>
      </w:r>
      <w:r>
        <w:t xml:space="preserve">“</w:t>
      </w:r>
      <w:r>
        <w:t xml:space="preserve">LogAnomaly</w:t>
      </w:r>
      <w:r>
        <w:t xml:space="preserve">: Unsupervised Detection of Sequential and Quantitative Anomalies in Unstructured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4739–45.</w:t>
      </w:r>
      <w:r>
        <w:t xml:space="preserve"> </w:t>
      </w:r>
      <w:hyperlink r:id="rId112">
        <w:r>
          <w:rPr>
            <w:rStyle w:val="Hyperlink"/>
          </w:rPr>
          <w:t xml:space="preserve">https://doi.org/10.24963/ijcai.2019/658</w:t>
        </w:r>
      </w:hyperlink>
      <w:r>
        <w:t xml:space="preserve">.</w:t>
      </w:r>
    </w:p>
    <w:bookmarkEnd w:id="113"/>
    <w:bookmarkStart w:id="115" w:name="ref-azurepdm"/>
    <w:p>
      <w:pPr>
        <w:pStyle w:val="Bibliography"/>
      </w:pPr>
      <w:r>
        <w:t xml:space="preserve">Microsoft. 2016.</w:t>
      </w:r>
      <w:r>
        <w:t xml:space="preserve"> </w:t>
      </w:r>
      <w:r>
        <w:t xml:space="preserve">“</w:t>
      </w:r>
      <w:r>
        <w:t xml:space="preserve">Azure AI Gallery Predictive Maintenance Sample</w:t>
      </w:r>
      <w:r>
        <w:t xml:space="preserve">.”</w:t>
      </w:r>
      <w:r>
        <w:t xml:space="preserve"> </w:t>
      </w:r>
      <w:r>
        <w:t xml:space="preserve">Kaggle mirror</w:t>
      </w:r>
      <w:r>
        <w:t xml:space="preserve"> </w:t>
      </w:r>
      <w:hyperlink r:id="rId114">
        <w:r>
          <w:rPr>
            <w:rStyle w:val="Hyperlink"/>
          </w:rPr>
          <w:t xml:space="preserve">https://www.kaggle.com/datasets/arnabbiswas1/microsoft-azure-predictive-maintenance</w:t>
        </w:r>
      </w:hyperlink>
      <w:r>
        <w:t xml:space="preserve">.</w:t>
      </w:r>
    </w:p>
    <w:bookmarkEnd w:id="115"/>
    <w:bookmarkStart w:id="117" w:name="ref-oliner2007supercomputers"/>
    <w:p>
      <w:pPr>
        <w:pStyle w:val="Bibliography"/>
      </w:pPr>
      <w:r>
        <w:t xml:space="preserve">Oliner, Adam, and Jon Stearley. 2007.</w:t>
      </w:r>
      <w:r>
        <w:t xml:space="preserve"> </w:t>
      </w:r>
      <w:r>
        <w:t xml:space="preserve">“What Supercomputers Say: A Study of Five System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37th Annual IEEE/IFIP International Conference on Dependable Systems and Networks (DSN)</w:t>
      </w:r>
      <w:r>
        <w:t xml:space="preserve">, 575–84.</w:t>
      </w:r>
      <w:r>
        <w:t xml:space="preserve"> </w:t>
      </w:r>
      <w:hyperlink r:id="rId116">
        <w:r>
          <w:rPr>
            <w:rStyle w:val="Hyperlink"/>
          </w:rPr>
          <w:t xml:space="preserve">https://doi.org/10.1109/DSN.2007.103</w:t>
        </w:r>
      </w:hyperlink>
      <w:r>
        <w:t xml:space="preserve">.</w:t>
      </w:r>
    </w:p>
    <w:bookmarkEnd w:id="117"/>
    <w:bookmarkStart w:id="119" w:name="ref-pei2001prefixspan"/>
    <w:p>
      <w:pPr>
        <w:pStyle w:val="Bibliography"/>
      </w:pPr>
      <w:r>
        <w:t xml:space="preserve">Pei, Jian, Jiawei Han, Behzad Mortazavi-Asl, Helen Pinto, Qiming Chen, Umeshwar Dayal, and Mei-Chun Hsu. 2001.</w:t>
      </w:r>
      <w:r>
        <w:t xml:space="preserve"> </w:t>
      </w:r>
      <w:r>
        <w:t xml:space="preserve">“</w:t>
      </w:r>
      <w:r>
        <w:t xml:space="preserve">PrefixSpan</w:t>
      </w:r>
      <w:r>
        <w:t xml:space="preserve">: Mining Sequential Patterns Efficiently by Prefix-Projected Pattern Growth.”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17th International Conference on Data Engineering (ICDE)</w:t>
      </w:r>
      <w:r>
        <w:t xml:space="preserve">, 215–24.</w:t>
      </w:r>
      <w:r>
        <w:t xml:space="preserve"> </w:t>
      </w:r>
      <w:hyperlink r:id="rId118">
        <w:r>
          <w:rPr>
            <w:rStyle w:val="Hyperlink"/>
          </w:rPr>
          <w:t xml:space="preserve">https://doi.org/10.1109/ICDE.2001.914830</w:t>
        </w:r>
      </w:hyperlink>
      <w:r>
        <w:t xml:space="preserve">.</w:t>
      </w:r>
    </w:p>
    <w:bookmarkEnd w:id="119"/>
    <w:bookmarkStart w:id="121" w:name="ref-prentice1978retrospective"/>
    <w:p>
      <w:pPr>
        <w:pStyle w:val="Bibliography"/>
      </w:pPr>
      <w:r>
        <w:t xml:space="preserve">Prentice, Ross L., and Norman E. Breslow. 1978.</w:t>
      </w:r>
      <w:r>
        <w:t xml:space="preserve"> </w:t>
      </w:r>
      <w:r>
        <w:t xml:space="preserve">“Retrospective Studies and Failure Time Models.”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(1): 153–58.</w:t>
      </w:r>
      <w:r>
        <w:t xml:space="preserve"> </w:t>
      </w:r>
      <w:hyperlink r:id="rId120">
        <w:r>
          <w:rPr>
            <w:rStyle w:val="Hyperlink"/>
          </w:rPr>
          <w:t xml:space="preserve">https://doi.org/10.1093/biomet/65.1.153</w:t>
        </w:r>
      </w:hyperlink>
      <w:r>
        <w:t xml:space="preserve">.</w:t>
      </w:r>
    </w:p>
    <w:bookmarkEnd w:id="121"/>
    <w:bookmarkStart w:id="123" w:name="ref-raschka2018mlxtend"/>
    <w:p>
      <w:pPr>
        <w:pStyle w:val="Bibliography"/>
      </w:pPr>
      <w:r>
        <w:t xml:space="preserve">Raschka, Sebastian. 2018.</w:t>
      </w:r>
      <w:r>
        <w:t xml:space="preserve"> </w:t>
      </w:r>
      <w:r>
        <w:t xml:space="preserve">“</w:t>
      </w:r>
      <w:r>
        <w:t xml:space="preserve">MLxtend</w:t>
      </w:r>
      <w:r>
        <w:t xml:space="preserve">: Providing Machine Learning and Data Science Utilities and Extensions to Python Scientific Computing Stack.”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3 (24): 638.</w:t>
      </w:r>
      <w:r>
        <w:t xml:space="preserve"> </w:t>
      </w:r>
      <w:hyperlink r:id="rId122">
        <w:r>
          <w:rPr>
            <w:rStyle w:val="Hyperlink"/>
          </w:rPr>
          <w:t xml:space="preserve">https://doi.org/10.21105/joss.00638</w:t>
        </w:r>
      </w:hyperlink>
      <w:r>
        <w:t xml:space="preserve">.</w:t>
      </w:r>
    </w:p>
    <w:bookmarkEnd w:id="123"/>
    <w:bookmarkStart w:id="125" w:name="ref-ren2020failure"/>
    <w:p>
      <w:pPr>
        <w:pStyle w:val="Bibliography"/>
      </w:pPr>
      <w:r>
        <w:t xml:space="preserve">Ren, Rui, Jinheng Li, Yan Yin, and Shuai Tian. 2021.</w:t>
      </w:r>
      <w:r>
        <w:t xml:space="preserve"> </w:t>
      </w:r>
      <w:r>
        <w:t xml:space="preserve">“Failure Prediction for Large-Scale Clusters Logs via Mining Frequent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Future of Information and Communication Conference (FICC)</w:t>
      </w:r>
      <w:r>
        <w:t xml:space="preserve">. Vol. 1385. Communications in Computer and Information Science.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https://doi.org/10.1007/978-981-16-1160-5_13</w:t>
        </w:r>
      </w:hyperlink>
      <w:r>
        <w:t xml:space="preserve">.</w:t>
      </w:r>
    </w:p>
    <w:bookmarkEnd w:id="125"/>
    <w:bookmarkStart w:id="127" w:name="ref-saxena2008cmapss"/>
    <w:p>
      <w:pPr>
        <w:pStyle w:val="Bibliography"/>
      </w:pPr>
      <w:r>
        <w:t xml:space="preserve">Saxena, Abhinav, Kai Goebel, Don Simon, and Neil Eklund. 2008.</w:t>
      </w:r>
      <w:r>
        <w:t xml:space="preserve"> </w:t>
      </w:r>
      <w:r>
        <w:t xml:space="preserve">“Damage Propagation Modeling for Aircraft Engine Run-to-Failure Simulation.”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2008 International Conference on Prognostics and Health Management (PHM)</w:t>
      </w:r>
      <w:r>
        <w:t xml:space="preserve">.</w:t>
      </w:r>
      <w:r>
        <w:t xml:space="preserve"> </w:t>
      </w:r>
      <w:hyperlink r:id="rId126">
        <w:r>
          <w:rPr>
            <w:rStyle w:val="Hyperlink"/>
          </w:rPr>
          <w:t xml:space="preserve">https://doi.org/10.1109/PHM.2008.4711414</w:t>
        </w:r>
      </w:hyperlink>
      <w:r>
        <w:t xml:space="preserve">.</w:t>
      </w:r>
    </w:p>
    <w:bookmarkEnd w:id="127"/>
    <w:bookmarkStart w:id="129" w:name="ref-serradilla2022pdmsurvey"/>
    <w:p>
      <w:pPr>
        <w:pStyle w:val="Bibliography"/>
      </w:pPr>
      <w:r>
        <w:t xml:space="preserve">Serradilla, Oscar, Ekhi Zugasti, Jon Rodriguez, and Urko Zurutuza. 2022.</w:t>
      </w:r>
      <w:r>
        <w:t xml:space="preserve"> </w:t>
      </w:r>
      <w:r>
        <w:t xml:space="preserve">“Deep Learning Models for Predictive Maintenance: A Survey, Comparison, Challenges and Prospects.”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 </w:t>
      </w:r>
      <w:r>
        <w:t xml:space="preserve">52 (10): 10934–64.</w:t>
      </w:r>
      <w:r>
        <w:t xml:space="preserve"> </w:t>
      </w:r>
      <w:hyperlink r:id="rId128">
        <w:r>
          <w:rPr>
            <w:rStyle w:val="Hyperlink"/>
          </w:rPr>
          <w:t xml:space="preserve">https://doi.org/10.1007/s10489-021-03004-y</w:t>
        </w:r>
      </w:hyperlink>
      <w:r>
        <w:t xml:space="preserve">.</w:t>
      </w:r>
    </w:p>
    <w:bookmarkEnd w:id="129"/>
    <w:bookmarkStart w:id="131" w:name="ref-srikant1996gsp"/>
    <w:p>
      <w:pPr>
        <w:pStyle w:val="Bibliography"/>
      </w:pPr>
      <w:r>
        <w:t xml:space="preserve">Srikant, Ramakrishnan, and Rakesh Agrawal. 1996.</w:t>
      </w:r>
      <w:r>
        <w:t xml:space="preserve"> </w:t>
      </w:r>
      <w:r>
        <w:t xml:space="preserve">“Mining Sequential Patterns: Generalizations and Performance Improvements.”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Database Technology — EDBT 1996</w:t>
      </w:r>
      <w:r>
        <w:t xml:space="preserve">, 1057:1–17. Lecture Notes in Computer Science.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https://doi.org/10.1007/BFb0014140</w:t>
        </w:r>
      </w:hyperlink>
      <w:r>
        <w:t xml:space="preserve">.</w:t>
      </w:r>
    </w:p>
    <w:bookmarkEnd w:id="131"/>
    <w:bookmarkStart w:id="133" w:name="ref-terada2013statssp"/>
    <w:p>
      <w:pPr>
        <w:pStyle w:val="Bibliography"/>
      </w:pPr>
      <w:r>
        <w:t xml:space="preserve">Terada, Aika, Mariko Okada-Hatakeyama, Koji Tsuda, and Jun Sese. 2013.</w:t>
      </w:r>
      <w:r>
        <w:t xml:space="preserve"> </w:t>
      </w:r>
      <w:r>
        <w:t xml:space="preserve">“Statistical Significance of Combinatorial Regulations.”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110 (32): 12996–3001.</w:t>
      </w:r>
      <w:r>
        <w:t xml:space="preserve"> </w:t>
      </w:r>
      <w:hyperlink r:id="rId132">
        <w:r>
          <w:rPr>
            <w:rStyle w:val="Hyperlink"/>
          </w:rPr>
          <w:t xml:space="preserve">https://doi.org/10.1073/pnas.1302233110</w:t>
        </w:r>
      </w:hyperlink>
      <w:r>
        <w:t xml:space="preserve">.</w:t>
      </w:r>
    </w:p>
    <w:bookmarkEnd w:id="133"/>
    <w:bookmarkStart w:id="135" w:name="ref-yang2021plelog"/>
    <w:p>
      <w:pPr>
        <w:pStyle w:val="Bibliography"/>
      </w:pPr>
      <w:r>
        <w:t xml:space="preserve">Yang, Lin, Junjie Chen, Zan Wang, Weijing Wang, Jiajun Jiang, Xuyuan Dong, and Wenbin Zhang. 2021.</w:t>
      </w:r>
      <w:r>
        <w:t xml:space="preserve"> </w:t>
      </w:r>
      <w:r>
        <w:t xml:space="preserve">“Semi-Supervised Log-Based Anomaly Detection via Probabilistic Label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43rd International Conference on Software Engineering (ICSE)</w:t>
      </w:r>
      <w:r>
        <w:t xml:space="preserve">, 1448–60.</w:t>
      </w:r>
      <w:r>
        <w:t xml:space="preserve"> </w:t>
      </w:r>
      <w:hyperlink r:id="rId134">
        <w:r>
          <w:rPr>
            <w:rStyle w:val="Hyperlink"/>
          </w:rPr>
          <w:t xml:space="preserve">https://doi.org/10.1109/ICSE43902.2021.00130</w:t>
        </w:r>
      </w:hyperlink>
      <w:r>
        <w:t xml:space="preserve">.</w:t>
      </w:r>
    </w:p>
    <w:bookmarkEnd w:id="135"/>
    <w:bookmarkStart w:id="137" w:name="ref-zaki2001spade"/>
    <w:p>
      <w:pPr>
        <w:pStyle w:val="Bibliography"/>
      </w:pPr>
      <w:r>
        <w:t xml:space="preserve">Zaki, Mohammed J. 2001.</w:t>
      </w:r>
      <w:r>
        <w:t xml:space="preserve"> </w:t>
      </w:r>
      <w:r>
        <w:t xml:space="preserve">“</w:t>
      </w:r>
      <w:r>
        <w:t xml:space="preserve">SPADE</w:t>
      </w:r>
      <w:r>
        <w:t xml:space="preserve">: An Efficient Algorithm for Mining Frequent Sequences.”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42 (1/2): 31–60.</w:t>
      </w:r>
      <w:r>
        <w:t xml:space="preserve"> </w:t>
      </w:r>
      <w:hyperlink r:id="rId136">
        <w:r>
          <w:rPr>
            <w:rStyle w:val="Hyperlink"/>
          </w:rPr>
          <w:t xml:space="preserve">https://doi.org/10.1023/A:1007652502315</w:t>
        </w:r>
      </w:hyperlink>
      <w:r>
        <w:t xml:space="preserve">.</w:t>
      </w:r>
    </w:p>
    <w:bookmarkEnd w:id="137"/>
    <w:bookmarkStart w:id="139" w:name="ref-zhang2019logrobust"/>
    <w:p>
      <w:pPr>
        <w:pStyle w:val="Bibliography"/>
      </w:pPr>
      <w:r>
        <w:t xml:space="preserve">Zhang, Xu, Yong Xu, Qingwei Lin, Bo Qiao, Hongyu Zhang, Yingnong Dang, Chunyu Xie, et al. 2019.</w:t>
      </w:r>
      <w:r>
        <w:t xml:space="preserve"> </w:t>
      </w:r>
      <w:r>
        <w:t xml:space="preserve">“Robust Log-Based Anomaly Detection on Unstable Log Data.”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27th ACM Joint Meeting on European Software Engineering Conference and Symposium on the Foundations of Software Engineering (ESEC/FSE)</w:t>
      </w:r>
      <w:r>
        <w:t xml:space="preserve">, 807–17.</w:t>
      </w:r>
      <w:r>
        <w:t xml:space="preserve"> </w:t>
      </w:r>
      <w:hyperlink r:id="rId138">
        <w:r>
          <w:rPr>
            <w:rStyle w:val="Hyperlink"/>
          </w:rPr>
          <w:t xml:space="preserve">https://doi.org/10.1145/3338906.3338931</w:t>
        </w:r>
      </w:hyperlink>
      <w:r>
        <w:t xml:space="preserve">.</w:t>
      </w:r>
    </w:p>
    <w:bookmarkEnd w:id="139"/>
    <w:bookmarkStart w:id="141" w:name="ref-zhu2023loghub"/>
    <w:p>
      <w:pPr>
        <w:pStyle w:val="Bibliography"/>
      </w:pPr>
      <w:r>
        <w:t xml:space="preserve">Zhu, Jieming, Shilin He, Pinjia He, Jinyang Liu, and Michael R. Lyu. 2023.</w:t>
      </w:r>
      <w:r>
        <w:t xml:space="preserve"> </w:t>
      </w:r>
      <w:r>
        <w:t xml:space="preserve">“Loghub: A Large Collection of System Log Datasets for</w:t>
      </w:r>
      <w:r>
        <w:t xml:space="preserve"> </w:t>
      </w:r>
      <w:r>
        <w:t xml:space="preserve">AI</w:t>
      </w:r>
      <w:r>
        <w:t xml:space="preserve">-Driven Log Analytics.”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2023 IEEE 34th International Symposium on Software Reliability Engineering (ISSRE)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https://doi.org/10.1109/ISSRE59848.2023.00071</w:t>
        </w:r>
      </w:hyperlink>
      <w:r>
        <w:t xml:space="preserve">.</w:t>
      </w:r>
    </w:p>
    <w:bookmarkEnd w:id="141"/>
    <w:bookmarkStart w:id="143" w:name="ref-zhu2019logparsing"/>
    <w:p>
      <w:pPr>
        <w:pStyle w:val="Bibliography"/>
      </w:pPr>
      <w:r>
        <w:t xml:space="preserve">Zhu, Jieming, Shilin He, Jinyang Liu, Pinjia He, Qi Xie, Zibin Zheng, and Michael R. Lyu. 2019.</w:t>
      </w:r>
      <w:r>
        <w:t xml:space="preserve"> </w:t>
      </w:r>
      <w:r>
        <w:t xml:space="preserve">“Tools and Benchmarks for Automated Log Parsing.”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2019 IEEE/ACM 41st International Conference on Software Engineering: Software Engineering in Practice (ICSE-SEIP)</w:t>
      </w:r>
      <w:r>
        <w:t xml:space="preserve">, 121–30.</w:t>
      </w:r>
      <w:r>
        <w:t xml:space="preserve"> </w:t>
      </w:r>
      <w:hyperlink r:id="rId142">
        <w:r>
          <w:rPr>
            <w:rStyle w:val="Hyperlink"/>
          </w:rPr>
          <w:t xml:space="preserve">https://doi.org/10.1109/ICSE-SEIP.2019.00021</w:t>
        </w:r>
      </w:hyperlink>
      <w:r>
        <w:t xml:space="preserve">.</w:t>
      </w:r>
    </w:p>
    <w:bookmarkEnd w:id="143"/>
    <w:bookmarkEnd w:id="144"/>
    <w:bookmarkEnd w:id="145"/>
    <w:bookmarkEnd w:id="1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./diagnostics/azure_window_horizon_vs_events.png" TargetMode="External" /><Relationship Type="http://schemas.openxmlformats.org/officeDocument/2006/relationships/hyperlink" Id="rId49" Target="../results/figures/azure_itemset_vs_sequence_lift.png" TargetMode="External" /><Relationship Type="http://schemas.openxmlformats.org/officeDocument/2006/relationships/hyperlink" Id="rId46" Target="../results/figures/azure_sensitivity_min_support.png" TargetMode="External" /><Relationship Type="http://schemas.openxmlformats.org/officeDocument/2006/relationships/hyperlink" Id="rId51" Target="../results/figures/four_dataset_predictive_comparison.png" TargetMode="External" /><Relationship Type="http://schemas.openxmlformats.org/officeDocument/2006/relationships/hyperlink" Id="rId57" Target="../results/tables/" TargetMode="External" /><Relationship Type="http://schemas.openxmlformats.org/officeDocument/2006/relationships/hyperlink" Id="rId86" Target="https://arxiv.org/abs/1410.2597" TargetMode="External" /><Relationship Type="http://schemas.openxmlformats.org/officeDocument/2006/relationships/hyperlink" Id="rId78" Target="https://arxiv.org/abs/1808.02919" TargetMode="External" /><Relationship Type="http://schemas.openxmlformats.org/officeDocument/2006/relationships/hyperlink" Id="rId98" Target="https://arxiv.org/abs/2401.04749" TargetMode="External" /><Relationship Type="http://schemas.openxmlformats.org/officeDocument/2006/relationships/hyperlink" Id="rId88" Target="https://doi.org/10.1007/978-3-031-11217-1_3" TargetMode="External" /><Relationship Type="http://schemas.openxmlformats.org/officeDocument/2006/relationships/hyperlink" Id="rId94" Target="https://doi.org/10.1007/978-3-319-06483-3_8" TargetMode="External" /><Relationship Type="http://schemas.openxmlformats.org/officeDocument/2006/relationships/hyperlink" Id="rId90" Target="https://doi.org/10.1007/978-3-319-06608-0_4" TargetMode="External" /><Relationship Type="http://schemas.openxmlformats.org/officeDocument/2006/relationships/hyperlink" Id="rId92" Target="https://doi.org/10.1007/978-3-319-46131-1_8" TargetMode="External" /><Relationship Type="http://schemas.openxmlformats.org/officeDocument/2006/relationships/hyperlink" Id="rId80" Target="https://doi.org/10.1007/978-3-319-46349-0_33" TargetMode="External" /><Relationship Type="http://schemas.openxmlformats.org/officeDocument/2006/relationships/hyperlink" Id="rId124" Target="https://doi.org/10.1007/978-981-16-1160-5_13" TargetMode="External" /><Relationship Type="http://schemas.openxmlformats.org/officeDocument/2006/relationships/hyperlink" Id="rId130" Target="https://doi.org/10.1007/BFb0014140" TargetMode="External" /><Relationship Type="http://schemas.openxmlformats.org/officeDocument/2006/relationships/hyperlink" Id="rId128" Target="https://doi.org/10.1007/s10489-021-03004-y" TargetMode="External" /><Relationship Type="http://schemas.openxmlformats.org/officeDocument/2006/relationships/hyperlink" Id="rId102" Target="https://doi.org/10.1007/s11227-024-06297-1" TargetMode="External" /><Relationship Type="http://schemas.openxmlformats.org/officeDocument/2006/relationships/hyperlink" Id="rId136" Target="https://doi.org/10.1023/A:1007652502315" TargetMode="External" /><Relationship Type="http://schemas.openxmlformats.org/officeDocument/2006/relationships/hyperlink" Id="rId104" Target="https://doi.org/10.1038/s41597-025-04802-6" TargetMode="External" /><Relationship Type="http://schemas.openxmlformats.org/officeDocument/2006/relationships/hyperlink" Id="rId132" Target="https://doi.org/10.1073/pnas.1302233110" TargetMode="External" /><Relationship Type="http://schemas.openxmlformats.org/officeDocument/2006/relationships/hyperlink" Id="rId120" Target="https://doi.org/10.1093/biomet/65.1.153" TargetMode="External" /><Relationship Type="http://schemas.openxmlformats.org/officeDocument/2006/relationships/hyperlink" Id="rId108" Target="https://doi.org/10.1109/BigData.2017.8258257" TargetMode="External" /><Relationship Type="http://schemas.openxmlformats.org/officeDocument/2006/relationships/hyperlink" Id="rId116" Target="https://doi.org/10.1109/DSN.2007.103" TargetMode="External" /><Relationship Type="http://schemas.openxmlformats.org/officeDocument/2006/relationships/hyperlink" Id="rId118" Target="https://doi.org/10.1109/ICDE.2001.914830" TargetMode="External" /><Relationship Type="http://schemas.openxmlformats.org/officeDocument/2006/relationships/hyperlink" Id="rId142" Target="https://doi.org/10.1109/ICSE-SEIP.2019.00021" TargetMode="External" /><Relationship Type="http://schemas.openxmlformats.org/officeDocument/2006/relationships/hyperlink" Id="rId134" Target="https://doi.org/10.1109/ICSE43902.2021.00130" TargetMode="External" /><Relationship Type="http://schemas.openxmlformats.org/officeDocument/2006/relationships/hyperlink" Id="rId96" Target="https://doi.org/10.1109/IJCNN52387.2021.9534113" TargetMode="External" /><Relationship Type="http://schemas.openxmlformats.org/officeDocument/2006/relationships/hyperlink" Id="rId140" Target="https://doi.org/10.1109/ISSRE59848.2023.00071" TargetMode="External" /><Relationship Type="http://schemas.openxmlformats.org/officeDocument/2006/relationships/hyperlink" Id="rId126" Target="https://doi.org/10.1109/PHM.2008.4711414" TargetMode="External" /><Relationship Type="http://schemas.openxmlformats.org/officeDocument/2006/relationships/hyperlink" Id="rId74" Target="https://doi.org/10.1111/j.2517-6161.1995.tb02031.x" TargetMode="External" /><Relationship Type="http://schemas.openxmlformats.org/officeDocument/2006/relationships/hyperlink" Id="rId82" Target="https://doi.org/10.1145/312129.312191" TargetMode="External" /><Relationship Type="http://schemas.openxmlformats.org/officeDocument/2006/relationships/hyperlink" Id="rId72" Target="https://doi.org/10.1145/312129.312263" TargetMode="External" /><Relationship Type="http://schemas.openxmlformats.org/officeDocument/2006/relationships/hyperlink" Id="rId84" Target="https://doi.org/10.1145/3133956.3134015" TargetMode="External" /><Relationship Type="http://schemas.openxmlformats.org/officeDocument/2006/relationships/hyperlink" Id="rId138" Target="https://doi.org/10.1145/3338906.3338931" TargetMode="External" /><Relationship Type="http://schemas.openxmlformats.org/officeDocument/2006/relationships/hyperlink" Id="rId100" Target="https://doi.org/10.1145/342009.335372" TargetMode="External" /><Relationship Type="http://schemas.openxmlformats.org/officeDocument/2006/relationships/hyperlink" Id="rId110" Target="https://doi.org/10.1145/3472883.3487003" TargetMode="External" /><Relationship Type="http://schemas.openxmlformats.org/officeDocument/2006/relationships/hyperlink" Id="rId76" Target="https://doi.org/10.1214/aos/1013699998" TargetMode="External" /><Relationship Type="http://schemas.openxmlformats.org/officeDocument/2006/relationships/hyperlink" Id="rId106" Target="https://doi.org/10.1214/ss/1032209663" TargetMode="External" /><Relationship Type="http://schemas.openxmlformats.org/officeDocument/2006/relationships/hyperlink" Id="rId122" Target="https://doi.org/10.21105/joss.00638" TargetMode="External" /><Relationship Type="http://schemas.openxmlformats.org/officeDocument/2006/relationships/hyperlink" Id="rId112" Target="https://doi.org/10.24963/ijcai.2019/658" TargetMode="External" /><Relationship Type="http://schemas.openxmlformats.org/officeDocument/2006/relationships/hyperlink" Id="rId70" Target="https://github.com/alibaba/clusterdata" TargetMode="External" /><Relationship Type="http://schemas.openxmlformats.org/officeDocument/2006/relationships/hyperlink" Id="rId114" Target="https://www.kaggle.com/datasets/arnabbiswas1/microsoft-azure-predictive-maintenance" TargetMode="External" /><Relationship Type="http://schemas.openxmlformats.org/officeDocument/2006/relationships/hyperlink" Id="rId68" Target="references.bi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./diagnostics/azure_window_horizon_vs_events.png" TargetMode="External" /><Relationship Type="http://schemas.openxmlformats.org/officeDocument/2006/relationships/hyperlink" Id="rId49" Target="../results/figures/azure_itemset_vs_sequence_lift.png" TargetMode="External" /><Relationship Type="http://schemas.openxmlformats.org/officeDocument/2006/relationships/hyperlink" Id="rId46" Target="../results/figures/azure_sensitivity_min_support.png" TargetMode="External" /><Relationship Type="http://schemas.openxmlformats.org/officeDocument/2006/relationships/hyperlink" Id="rId51" Target="../results/figures/four_dataset_predictive_comparison.png" TargetMode="External" /><Relationship Type="http://schemas.openxmlformats.org/officeDocument/2006/relationships/hyperlink" Id="rId57" Target="../results/tables/" TargetMode="External" /><Relationship Type="http://schemas.openxmlformats.org/officeDocument/2006/relationships/hyperlink" Id="rId86" Target="https://arxiv.org/abs/1410.2597" TargetMode="External" /><Relationship Type="http://schemas.openxmlformats.org/officeDocument/2006/relationships/hyperlink" Id="rId78" Target="https://arxiv.org/abs/1808.02919" TargetMode="External" /><Relationship Type="http://schemas.openxmlformats.org/officeDocument/2006/relationships/hyperlink" Id="rId98" Target="https://arxiv.org/abs/2401.04749" TargetMode="External" /><Relationship Type="http://schemas.openxmlformats.org/officeDocument/2006/relationships/hyperlink" Id="rId88" Target="https://doi.org/10.1007/978-3-031-11217-1_3" TargetMode="External" /><Relationship Type="http://schemas.openxmlformats.org/officeDocument/2006/relationships/hyperlink" Id="rId94" Target="https://doi.org/10.1007/978-3-319-06483-3_8" TargetMode="External" /><Relationship Type="http://schemas.openxmlformats.org/officeDocument/2006/relationships/hyperlink" Id="rId90" Target="https://doi.org/10.1007/978-3-319-06608-0_4" TargetMode="External" /><Relationship Type="http://schemas.openxmlformats.org/officeDocument/2006/relationships/hyperlink" Id="rId92" Target="https://doi.org/10.1007/978-3-319-46131-1_8" TargetMode="External" /><Relationship Type="http://schemas.openxmlformats.org/officeDocument/2006/relationships/hyperlink" Id="rId80" Target="https://doi.org/10.1007/978-3-319-46349-0_33" TargetMode="External" /><Relationship Type="http://schemas.openxmlformats.org/officeDocument/2006/relationships/hyperlink" Id="rId124" Target="https://doi.org/10.1007/978-981-16-1160-5_13" TargetMode="External" /><Relationship Type="http://schemas.openxmlformats.org/officeDocument/2006/relationships/hyperlink" Id="rId130" Target="https://doi.org/10.1007/BFb0014140" TargetMode="External" /><Relationship Type="http://schemas.openxmlformats.org/officeDocument/2006/relationships/hyperlink" Id="rId128" Target="https://doi.org/10.1007/s10489-021-03004-y" TargetMode="External" /><Relationship Type="http://schemas.openxmlformats.org/officeDocument/2006/relationships/hyperlink" Id="rId102" Target="https://doi.org/10.1007/s11227-024-06297-1" TargetMode="External" /><Relationship Type="http://schemas.openxmlformats.org/officeDocument/2006/relationships/hyperlink" Id="rId136" Target="https://doi.org/10.1023/A:1007652502315" TargetMode="External" /><Relationship Type="http://schemas.openxmlformats.org/officeDocument/2006/relationships/hyperlink" Id="rId104" Target="https://doi.org/10.1038/s41597-025-04802-6" TargetMode="External" /><Relationship Type="http://schemas.openxmlformats.org/officeDocument/2006/relationships/hyperlink" Id="rId132" Target="https://doi.org/10.1073/pnas.1302233110" TargetMode="External" /><Relationship Type="http://schemas.openxmlformats.org/officeDocument/2006/relationships/hyperlink" Id="rId120" Target="https://doi.org/10.1093/biomet/65.1.153" TargetMode="External" /><Relationship Type="http://schemas.openxmlformats.org/officeDocument/2006/relationships/hyperlink" Id="rId108" Target="https://doi.org/10.1109/BigData.2017.8258257" TargetMode="External" /><Relationship Type="http://schemas.openxmlformats.org/officeDocument/2006/relationships/hyperlink" Id="rId116" Target="https://doi.org/10.1109/DSN.2007.103" TargetMode="External" /><Relationship Type="http://schemas.openxmlformats.org/officeDocument/2006/relationships/hyperlink" Id="rId118" Target="https://doi.org/10.1109/ICDE.2001.914830" TargetMode="External" /><Relationship Type="http://schemas.openxmlformats.org/officeDocument/2006/relationships/hyperlink" Id="rId142" Target="https://doi.org/10.1109/ICSE-SEIP.2019.00021" TargetMode="External" /><Relationship Type="http://schemas.openxmlformats.org/officeDocument/2006/relationships/hyperlink" Id="rId134" Target="https://doi.org/10.1109/ICSE43902.2021.00130" TargetMode="External" /><Relationship Type="http://schemas.openxmlformats.org/officeDocument/2006/relationships/hyperlink" Id="rId96" Target="https://doi.org/10.1109/IJCNN52387.2021.9534113" TargetMode="External" /><Relationship Type="http://schemas.openxmlformats.org/officeDocument/2006/relationships/hyperlink" Id="rId140" Target="https://doi.org/10.1109/ISSRE59848.2023.00071" TargetMode="External" /><Relationship Type="http://schemas.openxmlformats.org/officeDocument/2006/relationships/hyperlink" Id="rId126" Target="https://doi.org/10.1109/PHM.2008.4711414" TargetMode="External" /><Relationship Type="http://schemas.openxmlformats.org/officeDocument/2006/relationships/hyperlink" Id="rId74" Target="https://doi.org/10.1111/j.2517-6161.1995.tb02031.x" TargetMode="External" /><Relationship Type="http://schemas.openxmlformats.org/officeDocument/2006/relationships/hyperlink" Id="rId82" Target="https://doi.org/10.1145/312129.312191" TargetMode="External" /><Relationship Type="http://schemas.openxmlformats.org/officeDocument/2006/relationships/hyperlink" Id="rId72" Target="https://doi.org/10.1145/312129.312263" TargetMode="External" /><Relationship Type="http://schemas.openxmlformats.org/officeDocument/2006/relationships/hyperlink" Id="rId84" Target="https://doi.org/10.1145/3133956.3134015" TargetMode="External" /><Relationship Type="http://schemas.openxmlformats.org/officeDocument/2006/relationships/hyperlink" Id="rId138" Target="https://doi.org/10.1145/3338906.3338931" TargetMode="External" /><Relationship Type="http://schemas.openxmlformats.org/officeDocument/2006/relationships/hyperlink" Id="rId100" Target="https://doi.org/10.1145/342009.335372" TargetMode="External" /><Relationship Type="http://schemas.openxmlformats.org/officeDocument/2006/relationships/hyperlink" Id="rId110" Target="https://doi.org/10.1145/3472883.3487003" TargetMode="External" /><Relationship Type="http://schemas.openxmlformats.org/officeDocument/2006/relationships/hyperlink" Id="rId76" Target="https://doi.org/10.1214/aos/1013699998" TargetMode="External" /><Relationship Type="http://schemas.openxmlformats.org/officeDocument/2006/relationships/hyperlink" Id="rId106" Target="https://doi.org/10.1214/ss/1032209663" TargetMode="External" /><Relationship Type="http://schemas.openxmlformats.org/officeDocument/2006/relationships/hyperlink" Id="rId122" Target="https://doi.org/10.21105/joss.00638" TargetMode="External" /><Relationship Type="http://schemas.openxmlformats.org/officeDocument/2006/relationships/hyperlink" Id="rId112" Target="https://doi.org/10.24963/ijcai.2019/658" TargetMode="External" /><Relationship Type="http://schemas.openxmlformats.org/officeDocument/2006/relationships/hyperlink" Id="rId70" Target="https://github.com/alibaba/clusterdata" TargetMode="External" /><Relationship Type="http://schemas.openxmlformats.org/officeDocument/2006/relationships/hyperlink" Id="rId114" Target="https://www.kaggle.com/datasets/arnabbiswas1/microsoft-azure-predictive-maintenance" TargetMode="External" /><Relationship Type="http://schemas.openxmlformats.org/officeDocument/2006/relationships/hyperlink" Id="rId68" Target="references.bi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Frequent Failure Sequences in Operational Event Logs</dc:title>
  <dc:creator/>
  <cp:keywords/>
  <dcterms:created xsi:type="dcterms:W3CDTF">2026-08-29T03:48:55Z</dcterms:created>
  <dcterms:modified xsi:type="dcterms:W3CDTF">2026-08-29T03:48:55Z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date">
    <vt:lpwstr>2026-08-29</vt:lpwstr>
  </property>
</Properties>
</file>