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</w:t>
      </w:r>
      <w:r>
        <w:t xml:space="preserve"> </w:t>
      </w:r>
      <w:r>
        <w:t xml:space="preserve">and</w:t>
      </w:r>
      <w:r>
        <w:t xml:space="preserve"> </w:t>
      </w:r>
      <w:r>
        <w:t xml:space="preserve">Validating</w:t>
      </w:r>
      <w:r>
        <w:t xml:space="preserve"> </w:t>
      </w:r>
      <w:r>
        <w:t xml:space="preserve">Pre-Failure</w:t>
      </w:r>
      <w:r>
        <w:t xml:space="preserve"> </w:t>
      </w:r>
      <w:r>
        <w:t xml:space="preserve">Signatures</w:t>
      </w:r>
      <w:r>
        <w:t xml:space="preserve"> </w:t>
      </w:r>
      <w:r>
        <w:t xml:space="preserve">in</w:t>
      </w:r>
      <w:r>
        <w:t xml:space="preserve"> </w:t>
      </w:r>
      <w:r>
        <w:t xml:space="preserve">Operational</w:t>
      </w:r>
      <w:r>
        <w:t xml:space="preserve"> </w:t>
      </w:r>
      <w:r>
        <w:t xml:space="preserve">Event</w:t>
      </w:r>
      <w:r>
        <w:t xml:space="preserve"> </w:t>
      </w:r>
      <w:r>
        <w:t xml:space="preserve">Logs</w:t>
      </w:r>
    </w:p>
    <w:p>
      <w:pPr>
        <w:pStyle w:val="Author"/>
      </w:pPr>
      <w:r>
        <w:t xml:space="preserve">Alexander</w:t>
      </w:r>
      <w:r>
        <w:t xml:space="preserve"> </w:t>
      </w:r>
      <w:r>
        <w:t xml:space="preserve">Apartsin</w:t>
      </w:r>
      <w:r>
        <w:rPr>
          <w:vertAlign w:val="superscript"/>
        </w:rPr>
        <w:t xml:space="preserve">1</w:t>
      </w:r>
    </w:p>
    <w:p>
      <w:pPr>
        <w:pStyle w:val="Author"/>
      </w:pPr>
      <w:r>
        <w:t xml:space="preserve">Yehudit</w:t>
      </w:r>
      <w:r>
        <w:t xml:space="preserve"> </w:t>
      </w:r>
      <w:r>
        <w:t xml:space="preserve">Aperstein</w:t>
      </w:r>
      <w:r>
        <w:rPr>
          <w:vertAlign w:val="superscript"/>
        </w:rPr>
        <w:t xml:space="preserve">2</w:t>
      </w:r>
    </w:p>
    <w:p>
      <w:pPr>
        <w:pStyle w:val="Date"/>
      </w:pPr>
      <w:r>
        <w:t xml:space="preserve">2026-08-31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School of Computer Science, Faculty of 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Intelligent Systems, Afeka Academic College of Engineering, Tel-Aviv, Israel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event patterns in these</w:t>
      </w:r>
      <w:r>
        <w:t xml:space="preserve"> </w:t>
      </w:r>
      <w:r>
        <w:t xml:space="preserve">logs. We test whether pattern mining recovers precursor signatures on</w:t>
      </w:r>
      <w:r>
        <w:t xml:space="preserve"> </w:t>
      </w:r>
      <w:r>
        <w:t xml:space="preserve">real industrial telemetry when the underlying failure process</w:t>
      </w:r>
      <w:r>
        <w:t xml:space="preserve"> </w:t>
      </w:r>
      <w:r>
        <w:t xml:space="preserve">advances through discrete stages. The result is a signature</w:t>
      </w:r>
      <w:r>
        <w:t xml:space="preserve"> </w:t>
      </w:r>
      <w:r>
        <w:t xml:space="preserve">catalog mined from six operational traces: two independent Senvion</w:t>
      </w:r>
      <w:r>
        <w:t xml:space="preserve"> </w:t>
      </w:r>
      <w:r>
        <w:t xml:space="preserve">wind-farm alarm logs (Kelmarsh, Penmanshiel), Azure PdM (synthetic),</w:t>
      </w:r>
      <w:r>
        <w:t xml:space="preserve"> </w:t>
      </w:r>
      <w:r>
        <w:t xml:space="preserve">Alibaba v2018 (production cloud), LLNL Blue Gene/L syslogs (HPC), and</w:t>
      </w:r>
      <w:r>
        <w:t xml:space="preserve"> </w:t>
      </w:r>
      <w:r>
        <w:t xml:space="preserve">SCANIA Component X (automotive). Every signature is validated on an</w:t>
      </w:r>
      <w:r>
        <w:t xml:space="preserve"> </w:t>
      </w:r>
      <w:r>
        <w:t xml:space="preserve">entity-disjoint 50/50 discovery/inference split with</w:t>
      </w:r>
      <w:r>
        <w:t xml:space="preserve"> </w:t>
      </w:r>
      <w:r>
        <w:t xml:space="preserve">Benjamini-Yekutieli FDR control on the inference half, and the</w:t>
      </w:r>
      <w:r>
        <w:t xml:space="preserve"> </w:t>
      </w:r>
      <w:r>
        <w:t xml:space="preserve">right-censored SCANIA trace is scored by matched conditional logistic</w:t>
      </w:r>
      <w:r>
        <w:t xml:space="preserve"> </w:t>
      </w:r>
      <w:r>
        <w:t xml:space="preserve">regression stratified by risk set. The central empirical result is a</w:t>
      </w:r>
      <w:r>
        <w:t xml:space="preserve"> </w:t>
      </w:r>
      <w:r>
        <w:t xml:space="preserve">replicated physical cascade:</w:t>
      </w:r>
      <w:r>
        <w:t xml:space="preserve"> </w:t>
      </w:r>
      <w:r>
        <w:rPr>
          <w:b/>
          <w:bCs/>
        </w:rPr>
        <w:t xml:space="preserve">two independent wind farms of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rotor size and site surface the same zero-control cascade signatures</w:t>
      </w:r>
      <w:r>
        <w:rPr>
          <w:b/>
          <w:bCs/>
        </w:rPr>
        <w:t xml:space="preserve"> </w:t>
      </w:r>
      <w:r>
        <w:rPr>
          <w:b/>
          <w:bCs/>
        </w:rPr>
        <w:t xml:space="preserve">at inference-half lift 4.00</w:t>
      </w:r>
      <w:r>
        <w:t xml:space="preserve">, selected in every repeated split and</w:t>
      </w:r>
      <w:r>
        <w:t xml:space="preserve"> </w:t>
      </w:r>
      <w:r>
        <w:t xml:space="preserve">prospectively detecting 95% of Kelmarsh forced outages at a median</w:t>
      </w:r>
      <w:r>
        <w:t xml:space="preserve"> </w:t>
      </w:r>
      <w:r>
        <w:t xml:space="preserve">3.3-hour lead. A decomposition of held-out prediction into event</w:t>
      </w:r>
      <w:r>
        <w:t xml:space="preserve"> </w:t>
      </w:r>
      <w:r>
        <w:t xml:space="preserve">presence, multiplicity, and order then places the two cloud/maintenance</w:t>
      </w:r>
      <w:r>
        <w:t xml:space="preserve"> </w:t>
      </w:r>
      <w:r>
        <w:t xml:space="preserve">traces in opposite corners: on Azure the distinguishing increment is</w:t>
      </w:r>
      <w:r>
        <w:t xml:space="preserve"> </w:t>
      </w:r>
      <w:r>
        <w:t xml:space="preserve">event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(+0.032, bootstrap CI excluding zero) while</w:t>
      </w:r>
      <w:r>
        <w:t xml:space="preserve"> </w:t>
      </w:r>
      <w:r>
        <w:t xml:space="preserve">multiplicity adds nothing; on Alibaba it is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(+0.029,</w:t>
      </w:r>
      <w:r>
        <w:t xml:space="preserve"> </w:t>
      </w:r>
      <w:r>
        <w:t xml:space="preserve">excluding zero) while exact order adds nothing. SCANIA yields</w:t>
      </w:r>
      <w:r>
        <w:t xml:space="preserve"> </w:t>
      </w:r>
      <w:r>
        <w:t xml:space="preserve">interpretable per-truck hazard ratios (74 of 200 discovery-selected</w:t>
      </w:r>
      <w:r>
        <w:t xml:space="preserve"> </w:t>
      </w:r>
      <w:r>
        <w:t xml:space="preserve">patterns survive the FDR; top HR 1.60), and BGL is a mapped boundary</w:t>
      </w:r>
      <w:r>
        <w:t xml:space="preserve"> </w:t>
      </w:r>
      <w:r>
        <w:t xml:space="preserve">case with no deployable non-alert precursor. Code, splits, and all</w:t>
      </w:r>
      <w:r>
        <w:t xml:space="preserve"> </w:t>
      </w:r>
      <w:r>
        <w:t xml:space="preserve">result artefacts are released.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failure prediction; frequent itemset mining; sequential</w:t>
      </w:r>
      <w:r>
        <w:t xml:space="preserve"> </w:t>
      </w:r>
      <w:r>
        <w:t xml:space="preserve">pattern mining; post-selection inference; false discovery rate;</w:t>
      </w:r>
      <w:r>
        <w:t xml:space="preserve"> </w:t>
      </w:r>
      <w:r>
        <w:t xml:space="preserve">predictive maintenance; operational event logs.</w:t>
      </w:r>
    </w:p>
    <w:bookmarkEnd w:id="20"/>
    <w:bookmarkStart w:id="2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recurrent ordered sequences</w:t>
      </w:r>
      <w:r>
        <w:t xml:space="preserve"> </w:t>
      </w:r>
      <w:r>
        <w:t xml:space="preserve">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One methodological question</w:t>
      </w:r>
      <w:r>
        <w:t xml:space="preserve"> </w:t>
      </w:r>
      <w:r>
        <w:t xml:space="preserve">runs through the paper: does the second family find anything the</w:t>
      </w:r>
      <w:r>
        <w:t xml:space="preserve"> </w:t>
      </w:r>
      <w:r>
        <w:t xml:space="preserve">first does not? Its central deliverable is a catalog of validated</w:t>
      </w:r>
      <w:r>
        <w:t xml:space="preserve"> </w:t>
      </w:r>
      <w:r>
        <w:t xml:space="preserve">pre-failure signatures, anchored by a physical cascade replicated</w:t>
      </w:r>
      <w:r>
        <w:t xml:space="preserve"> </w:t>
      </w:r>
      <w:r>
        <w:t xml:space="preserve">across two independent wind farms.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matched conditional logistic scoring stratified by risk set,</w:t>
      </w:r>
      <w:r>
        <w:t xml:space="preserve"> </w:t>
      </w:r>
      <w:r>
        <w:t xml:space="preserve">which estimates per-pattern hazard ratios without modifying the</w:t>
      </w:r>
      <w:r>
        <w:t xml:space="preserve"> </w:t>
      </w:r>
      <w:r>
        <w:t xml:space="preserve">mining stage. This is the tool that lets the pipeline apply to</w:t>
      </w:r>
      <w:r>
        <w:t xml:space="preserve"> </w:t>
      </w:r>
      <w:r>
        <w:t xml:space="preserve">traces where entities 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decomposition of pattern signal into event presence,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multiplicity, and order</w:t>
      </w:r>
      <w:r>
        <w:t xml:space="preserve">, measured directly in held-out</w:t>
      </w:r>
      <w:r>
        <w:t xml:space="preserve"> </w:t>
      </w:r>
      <w:r>
        <w:t xml:space="preserve">prediction with entity-bootstrap confidence intervals, so that a</w:t>
      </w:r>
      <w:r>
        <w:t xml:space="preserve"> </w:t>
      </w:r>
      <w:r>
        <w:t xml:space="preserve">repeated event folded into one itemset cannot be mistaken for an</w:t>
      </w:r>
      <w:r>
        <w:t xml:space="preserve"> </w:t>
      </w:r>
      <w:r>
        <w:t xml:space="preserve">ordering effect. The decomposition places the two positive</w:t>
      </w:r>
      <w:r>
        <w:t xml:space="preserve"> </w:t>
      </w:r>
      <w:r>
        <w:t xml:space="preserve">cloud/maintenance traces in opposite corners (Azure carries an</w:t>
      </w:r>
      <w:r>
        <w:t xml:space="preserve"> </w:t>
      </w:r>
      <w:r>
        <w:t xml:space="preserve">order increment, Alibaba a multiplicity increment), and supports a</w:t>
      </w:r>
      <w:r>
        <w:t xml:space="preserve"> </w:t>
      </w:r>
      <w:r>
        <w:t xml:space="preserve">downstream predictive evaluation against event-count, presence,</w:t>
      </w:r>
      <w:r>
        <w:t xml:space="preserve"> </w:t>
      </w:r>
      <w:r>
        <w:t xml:space="preserve">count, recency, n-gram, and gradient-boosted baselines on a</w:t>
      </w:r>
      <w:r>
        <w:t xml:space="preserve"> </w:t>
      </w:r>
      <w:r>
        <w:t xml:space="preserve">temporally-held-out split.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six public traces: two</w:t>
      </w:r>
      <w:r>
        <w:t xml:space="preserve"> </w:t>
      </w:r>
      <w:r>
        <w:t xml:space="preserve">production wind farms (Kelmarsh, Penmanshiel),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cluster-trace-v2018), real HPC per-rack (LLNL Blue Gene/L</w:t>
      </w:r>
      <w:r>
        <w:t xml:space="preserve"> </w:t>
      </w:r>
      <w:r>
        <w:t xml:space="preserve">syslogs), and real automotive per-vehicle (SCANIA Component X). We</w:t>
      </w:r>
      <w:r>
        <w:t xml:space="preserve"> </w:t>
      </w:r>
      <w:r>
        <w:t xml:space="preserve">report the fraction of mined patterns that pass significance on</w:t>
      </w:r>
      <w:r>
        <w:t xml:space="preserve"> </w:t>
      </w:r>
      <w:r>
        <w:t xml:space="preserve">each trace, the strongest predictive signatures, and the</w:t>
      </w:r>
      <w:r>
        <w:t xml:space="preserve"> </w:t>
      </w:r>
      <w:r>
        <w:t xml:space="preserve">mechanistic reason why the post-selection-valid fraction varies</w:t>
      </w:r>
      <w:r>
        <w:t xml:space="preserve"> </w:t>
      </w:r>
      <w:r>
        <w:t xml:space="preserve">from 100% (Azure 24h itemsets) through 45% (Alibaba, BY-corrected)</w:t>
      </w:r>
      <w:r>
        <w:t xml:space="preserve"> </w:t>
      </w:r>
      <w:r>
        <w:t xml:space="preserve">to 0% (SCANIA last20 under post-selection-valid inference).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validated signature catalog anchored by a replicated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cascade</w:t>
      </w:r>
      <w:r>
        <w:t xml:space="preserve">: two independent Senvion wind farms (Kelmarsh,</w:t>
      </w:r>
      <w:r>
        <w:t xml:space="preserve"> </w:t>
      </w:r>
      <w:r>
        <w:t xml:space="preserve">Penmanshiel) produce zero-control cascade signatures at</w:t>
      </w:r>
      <w:r>
        <w:t xml:space="preserve"> </w:t>
      </w:r>
      <w:r>
        <w:t xml:space="preserve">inference-half lift 4.00 under one mining protocol (§6.4), the</w:t>
      </w:r>
      <w:r>
        <w:t xml:space="preserve"> </w:t>
      </w:r>
      <w:r>
        <w:t xml:space="preserve">closest the study comes to a controlled cross-site replication.</w:t>
      </w:r>
    </w:p>
    <w:bookmarkEnd w:id="21"/>
    <w:bookmarkStart w:id="29" w:name="background-and-related-work"/>
    <w:p>
      <w:pPr>
        <w:pStyle w:val="Heading2"/>
      </w:pP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[</w:t>
      </w:r>
      <w:hyperlink w:anchor="ref-agrawal1994fast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[</w:t>
      </w:r>
      <w:hyperlink w:anchor="ref-han2000mining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[</w:t>
      </w:r>
      <w:hyperlink w:anchor="ref-srikant1996gsp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[</w:t>
      </w:r>
      <w:hyperlink w:anchor="ref-zaki2001spade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[</w:t>
      </w:r>
      <w:hyperlink w:anchor="ref-pei2001prefixspan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[</w:t>
      </w:r>
      <w:hyperlink w:anchor="ref-fournierviger2014cmspade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[</w:t>
      </w:r>
      <w:hyperlink w:anchor="ref-fournierviger2014vmsp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[</w:t>
      </w:r>
      <w:hyperlink w:anchor="ref-fournierviger2022patternmining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[</w:t>
      </w:r>
      <w:hyperlink w:anchor="ref-raschka2018mlxtend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[</w:t>
      </w:r>
      <w:hyperlink w:anchor="ref-ren2020failure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[</w:t>
      </w:r>
      <w:hyperlink w:anchor="ref-ifraz2024sequential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Industrial alarm-flood mining and wind-turbine alarm logs.</w:t>
      </w:r>
      <w:r>
        <w:t xml:space="preserve"> </w:t>
      </w:r>
      <w:r>
        <w:t xml:space="preserve">The</w:t>
      </w:r>
      <w:r>
        <w:t xml:space="preserve"> </w:t>
      </w:r>
      <w:r>
        <w:t xml:space="preserve">process-control community mines alarm sequences directly. Hu, Wang</w:t>
      </w:r>
      <w:r>
        <w:t xml:space="preserve"> </w:t>
      </w:r>
      <w:r>
        <w:t xml:space="preserve">and Wang</w:t>
      </w:r>
      <w:r>
        <w:t xml:space="preserve"> </w:t>
      </w:r>
      <w:r>
        <w:t xml:space="preserve">[</w:t>
      </w:r>
      <w:hyperlink w:anchor="ref-hu2023priority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mine priority-aware closed sequential</w:t>
      </w:r>
      <w:r>
        <w:t xml:space="preserve"> </w:t>
      </w:r>
      <w:r>
        <w:t xml:space="preserve">patterns to compress alarm floods into compact patterns; Hu et al.</w:t>
      </w:r>
      <w:r>
        <w:t xml:space="preserve"> </w:t>
      </w:r>
      <w:r>
        <w:t xml:space="preserve">[</w:t>
      </w:r>
      <w:hyperlink w:anchor="ref-hu2023frequent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adapt PrefixSpan to tolerate the short-term order</w:t>
      </w:r>
      <w:r>
        <w:t xml:space="preserve"> </w:t>
      </w:r>
      <w:r>
        <w:t xml:space="preserve">ambiguity of alarm timestamps. These methods are descriptive, keyed</w:t>
      </w:r>
      <w:r>
        <w:t xml:space="preserve"> </w:t>
      </w:r>
      <w:r>
        <w:t xml:space="preserve">to frequency and compactness rather than a validated pre-failure</w:t>
      </w:r>
      <w:r>
        <w:t xml:space="preserve"> </w:t>
      </w:r>
      <w:r>
        <w:t xml:space="preserve">claim; our count-preserving order comparator (§4.7) is the principled</w:t>
      </w:r>
      <w:r>
        <w:t xml:space="preserve"> </w:t>
      </w:r>
      <w:r>
        <w:t xml:space="preserve">test of exactly the order-vs-multiplicity ambiguity they handle</w:t>
      </w:r>
      <w:r>
        <w:t xml:space="preserve"> </w:t>
      </w:r>
      <w:r>
        <w:t xml:space="preserve">heuristically, and our matched controls turn each mined pattern into</w:t>
      </w:r>
      <w:r>
        <w:t xml:space="preserve"> </w:t>
      </w:r>
      <w:r>
        <w:t xml:space="preserve">an FDR-tested predictive hypothesis. On wind-turbine alarm logs</w:t>
      </w:r>
      <w:r>
        <w:t xml:space="preserve"> </w:t>
      </w:r>
      <w:r>
        <w:t xml:space="preserve">specifically, Chatterjee and Dethlefs</w:t>
      </w:r>
      <w:r>
        <w:t xml:space="preserve"> </w:t>
      </w:r>
      <w:r>
        <w:t xml:space="preserve">[</w:t>
      </w:r>
      <w:hyperlink w:anchor="ref-chatterjee2022deep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predict</w:t>
      </w:r>
      <w:r>
        <w:t xml:space="preserve"> </w:t>
      </w:r>
      <w:r>
        <w:t xml:space="preserve">repair actions with a bi-LSTM over turbine alarm sequences, and Shah</w:t>
      </w:r>
      <w:r>
        <w:t xml:space="preserve"> </w:t>
      </w:r>
      <w:r>
        <w:t xml:space="preserve">and Tan</w:t>
      </w:r>
      <w:r>
        <w:t xml:space="preserve"> </w:t>
      </w:r>
      <w:r>
        <w:t xml:space="preserve">[</w:t>
      </w:r>
      <w:hyperlink w:anchor="ref-shah2025alarm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forecast future turbine alarms with LSTM</w:t>
      </w:r>
      <w:r>
        <w:t xml:space="preserve"> </w:t>
      </w:r>
      <w:r>
        <w:t xml:space="preserve">regression. Both are black-box and forecast the alarm stream itself;</w:t>
      </w:r>
      <w:r>
        <w:t xml:space="preserve"> </w:t>
      </w:r>
      <w:r>
        <w:t xml:space="preserve">we mine auditable pre-failure signatures on the same class of Senvion</w:t>
      </w:r>
      <w:r>
        <w:t xml:space="preserve"> </w:t>
      </w:r>
      <w:r>
        <w:t xml:space="preserve">SCADA logs (Kelmarsh, Penmanshiel) with FDR guarantees and zero</w:t>
      </w:r>
      <w:r>
        <w:t xml:space="preserve"> </w:t>
      </w:r>
      <w:r>
        <w:t xml:space="preserve">control-window false alarms.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[</w:t>
      </w:r>
      <w:hyperlink w:anchor="ref-dong1999emerging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[</w:t>
      </w:r>
      <w:hyperlink w:anchor="ref-bay1999contrast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[</w:t>
      </w:r>
      <w:hyperlink w:anchor="ref-terada2013statssp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regulations, and the Hämäläinen-Webb</w:t>
      </w:r>
      <w:r>
        <w:t xml:space="preserve"> </w:t>
      </w:r>
      <w:r>
        <w:t xml:space="preserve">tutorial</w:t>
      </w:r>
      <w:r>
        <w:t xml:space="preserve"> </w:t>
      </w:r>
      <w:r>
        <w:t xml:space="preserve">[</w:t>
      </w:r>
      <w:hyperlink w:anchor="ref-hamalainen2019tutorial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is the canonical statement of the</w:t>
      </w:r>
      <w:r>
        <w:t xml:space="preserve"> </w:t>
      </w:r>
      <w:r>
        <w:t xml:space="preserve">multiple-testing pitfalls this class of method must handle. Recent</w:t>
      </w:r>
      <w:r>
        <w:t xml:space="preserve"> </w:t>
      </w:r>
      <w:r>
        <w:t xml:space="preserve">work controls the false discovery rate directly: Dalleiger and</w:t>
      </w:r>
      <w:r>
        <w:t xml:space="preserve"> </w:t>
      </w:r>
      <w:r>
        <w:t xml:space="preserve">Vreeken</w:t>
      </w:r>
      <w:r>
        <w:t xml:space="preserve"> </w:t>
      </w:r>
      <w:r>
        <w:t xml:space="preserve">[</w:t>
      </w:r>
      <w:hyperlink w:anchor="ref-dalleiger2022significant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test pattern significance against</w:t>
      </w:r>
      <w:r>
        <w:t xml:space="preserve"> </w:t>
      </w:r>
      <w:r>
        <w:t xml:space="preserve">an evolving data model under sequential FDR control, and Pellegrina</w:t>
      </w:r>
      <w:r>
        <w:t xml:space="preserve"> </w:t>
      </w:r>
      <w:r>
        <w:t xml:space="preserve">and Vandin</w:t>
      </w:r>
      <w:r>
        <w:t xml:space="preserve"> </w:t>
      </w:r>
      <w:r>
        <w:t xml:space="preserve">[</w:t>
      </w:r>
      <w:hyperlink w:anchor="ref-pellegrina2024efficient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mine significant itemsets,</w:t>
      </w:r>
      <w:r>
        <w:t xml:space="preserve"> </w:t>
      </w:r>
      <w:r>
        <w:t xml:space="preserve">sequential patterns, and subgroups with rigorous guarantees via</w:t>
      </w:r>
      <w:r>
        <w:t xml:space="preserve"> </w:t>
      </w:r>
      <w:r>
        <w:t xml:space="preserve">few-shot resampling. These are our closest methodological siblings.</w:t>
      </w:r>
      <w:r>
        <w:t xml:space="preserve"> </w:t>
      </w:r>
      <w:r>
        <w:t xml:space="preserve">All of these methods share the ordinary post-selection-inference</w:t>
      </w:r>
      <w:r>
        <w:t xml:space="preserve"> </w:t>
      </w:r>
      <w:r>
        <w:t xml:space="preserve">concern (Fithian, Sun and Taylor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) that mining</w:t>
      </w:r>
      <w:r>
        <w:t xml:space="preserve"> </w:t>
      </w:r>
      <w:r>
        <w:t xml:space="preserve">and testing on the same sample invalidates marginal p-values; we</w:t>
      </w:r>
      <w:r>
        <w:t xml:space="preserve"> </w:t>
      </w:r>
      <w:r>
        <w:t xml:space="preserve">address it via entity-disjoint discovery/inference splits (§4.5) and</w:t>
      </w:r>
      <w:r>
        <w:t xml:space="preserve"> </w:t>
      </w:r>
      <w:r>
        <w:t xml:space="preserve">add the pre-failure windowing and survival-matched design that the</w:t>
      </w:r>
      <w:r>
        <w:t xml:space="preserve"> </w:t>
      </w:r>
      <w:r>
        <w:t xml:space="preserve">general-purpose significance frameworks do not model.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[</w:t>
      </w:r>
      <w:hyperlink w:anchor="ref-du2017deeplog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[</w:t>
      </w:r>
      <w:hyperlink w:anchor="ref-meng2019loganomaly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[</w:t>
      </w:r>
      <w:hyperlink w:anchor="ref-zhang2019logrobust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[</w:t>
      </w:r>
      <w:hyperlink w:anchor="ref-yang2021plelog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[</w:t>
      </w:r>
      <w:hyperlink w:anchor="ref-guo2021logbert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; LogFormer</w:t>
      </w:r>
      <w:r>
        <w:t xml:space="preserve"> </w:t>
      </w:r>
      <w:r>
        <w:t xml:space="preserve">[</w:t>
      </w:r>
      <w:hyperlink w:anchor="ref-guo2024logformer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) pre-train on unlabelled</w:t>
      </w:r>
      <w:r>
        <w:t xml:space="preserve"> </w:t>
      </w:r>
      <w:r>
        <w:t xml:space="preserve">logs and fine-tune for anomaly detection; the Landauer et al. survey</w:t>
      </w:r>
      <w:r>
        <w:t xml:space="preserve"> </w:t>
      </w:r>
      <w:r>
        <w:t xml:space="preserve">[</w:t>
      </w:r>
      <w:hyperlink w:anchor="ref-landauer2023deep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catalogues this landscape and its benchmark</w:t>
      </w:r>
      <w:r>
        <w:t xml:space="preserve"> </w:t>
      </w:r>
      <w:r>
        <w:t xml:space="preserve">datasets (including BGL). Hadadi et al.</w:t>
      </w:r>
      <w:r>
        <w:t xml:space="preserve"> </w:t>
      </w:r>
      <w:r>
        <w:t xml:space="preserve">[</w:t>
      </w:r>
      <w:hyperlink w:anchor="ref-hadadi2024systematic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 </w:t>
      </w:r>
      <w:r>
        <w:t xml:space="preserve">give</w:t>
      </w:r>
      <w:r>
        <w:t xml:space="preserve"> </w:t>
      </w:r>
      <w:r>
        <w:t xml:space="preserve">the systematic controlled study of log-embedding by architecture</w:t>
      </w:r>
      <w:r>
        <w:t xml:space="preserve"> </w:t>
      </w:r>
      <w:r>
        <w:t xml:space="preserve">combinations for log-based failure prediction, the canonical modern</w:t>
      </w:r>
      <w:r>
        <w:t xml:space="preserve"> </w:t>
      </w:r>
      <w:r>
        <w:t xml:space="preserve">DL baseline framing. These methods generally outperform classical</w:t>
      </w:r>
      <w:r>
        <w:t xml:space="preserve"> </w:t>
      </w:r>
      <w:r>
        <w:t xml:space="preserve">pattern miners on held-out AUROC when trained on enough data, but</w:t>
      </w:r>
      <w:r>
        <w:t xml:space="preserve"> </w:t>
      </w:r>
      <w:r>
        <w:t xml:space="preserve">produce opaque per-line anomaly scores rather than interpretable</w:t>
      </w:r>
      <w:r>
        <w:t xml:space="preserve"> </w:t>
      </w:r>
      <w:r>
        <w:t xml:space="preserve">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[</w:t>
      </w:r>
      <w:hyperlink w:anchor="ref-zhu2019logparsing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[</w:t>
      </w:r>
      <w:hyperlink w:anchor="ref-cheng2018characterizing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[</w:t>
      </w:r>
      <w:hyperlink w:anchor="ref-luo2021alibaba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[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[</w:t>
      </w:r>
      <w:hyperlink w:anchor="ref-saxena2008cmapss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[</w:t>
      </w:r>
      <w:hyperlink w:anchor="ref-serradilla2022pdmsurvey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); the SCANIA Component X release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§3.6) where we must.</w:t>
      </w:r>
    </w:p>
    <w:bookmarkEnd w:id="26"/>
    <w:bookmarkStart w:id="27" w:name="statistical-significance"/>
    <w:p>
      <w:pPr>
        <w:pStyle w:val="Heading3"/>
      </w:pP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[</w:t>
      </w:r>
      <w:hyperlink w:anchor="ref-benjamini2001control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[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t xml:space="preserve">2.7 Positioning</w:t>
      </w:r>
    </w:p>
    <w:p>
      <w:pPr>
        <w:pStyle w:val="FirstParagraph"/>
      </w:pPr>
      <w:r>
        <w:t xml:space="preserve">The paper’s contribution is a single methodological package applied</w:t>
      </w:r>
      <w:r>
        <w:t xml:space="preserve"> </w:t>
      </w:r>
      <w:r>
        <w:t xml:space="preserve">uniformly across six traces: entity-disjoint post-selection-valid</w:t>
      </w:r>
      <w:r>
        <w:t xml:space="preserve"> </w:t>
      </w:r>
      <w:r>
        <w:t xml:space="preserve">mining, a count-preserving order null that separates ordering from</w:t>
      </w:r>
      <w:r>
        <w:t xml:space="preserve"> </w:t>
      </w:r>
      <w:r>
        <w:t xml:space="preserve">event multiplicity, and a censoring-valid matched conditional</w:t>
      </w:r>
      <w:r>
        <w:t xml:space="preserve"> </w:t>
      </w:r>
      <w:r>
        <w:t xml:space="preserve">logistic estimator for right-censored entities, evaluated against an</w:t>
      </w:r>
      <w:r>
        <w:t xml:space="preserve"> </w:t>
      </w:r>
      <w:r>
        <w:t xml:space="preserve">event-count baseline and each pattern family in turn on a temporally-</w:t>
      </w:r>
      <w:r>
        <w:t xml:space="preserve"> </w:t>
      </w:r>
      <w:r>
        <w:t xml:space="preserve">held-out split. To our knowledge, this package has not been applied</w:t>
      </w:r>
      <w:r>
        <w:t xml:space="preserve"> </w:t>
      </w:r>
      <w:r>
        <w:t xml:space="preserve">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 or to Azure</w:t>
      </w:r>
      <w:r>
        <w:t xml:space="preserve"> </w:t>
      </w:r>
      <w:r>
        <w:t xml:space="preserve">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sequences, and the six-trace regime-of-</w:t>
      </w:r>
      <w:r>
        <w:t xml:space="preserve"> </w:t>
      </w:r>
      <w:r>
        <w:t xml:space="preserve">validity study of §7.3, anchored by a cascade replicated across two</w:t>
      </w:r>
      <w:r>
        <w:t xml:space="preserve"> </w:t>
      </w:r>
      <w:r>
        <w:t xml:space="preserve">independent wind farms, is likewise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6" w:name="data"/>
    <w:p>
      <w:pPr>
        <w:pStyle w:val="Heading2"/>
      </w:pPr>
      <w:r>
        <w:t xml:space="preserve">3 Data</w:t>
      </w:r>
    </w:p>
    <w:p>
      <w:pPr>
        <w:pStyle w:val="FirstParagraph"/>
      </w:pPr>
      <w:r>
        <w:t xml:space="preserve">We use six public traces: two wind-farm alarm logs, one synthetic</w:t>
      </w:r>
      <w:r>
        <w:t xml:space="preserve"> </w:t>
      </w:r>
      <w:r>
        <w:t xml:space="preserve">industrial-maintenance trace, one production cloud trace, one HPC</w:t>
      </w:r>
      <w:r>
        <w:t xml:space="preserve"> </w:t>
      </w:r>
      <w:r>
        <w:t xml:space="preserve">syslog corpus, and one automotive fleet trace.</w:t>
      </w:r>
    </w:p>
    <w:bookmarkStart w:id="30" w:name="Xf76511c02de4b4a191c2516eb8af22e2ac8aa94"/>
    <w:p>
      <w:pPr>
        <w:pStyle w:val="Heading3"/>
      </w:pPr>
      <w:r>
        <w:t xml:space="preserve">3.1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[</w:t>
      </w:r>
      <w:hyperlink w:anchor="ref-plumley2022kelmarsh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the alarm-code progression is consistent with a</w:t>
      </w:r>
      <w:r>
        <w:t xml:space="preserve"> </w:t>
      </w:r>
      <w:r>
        <w:t xml:space="preserve">physical fault cascade, in which intermediate warning codes precede</w:t>
      </w:r>
      <w:r>
        <w:t xml:space="preserve"> </w:t>
      </w:r>
      <w:r>
        <w:t xml:space="preserve">a specific alarm that terminates as a Forced outage. We report the</w:t>
      </w:r>
      <w:r>
        <w:t xml:space="preserve"> </w:t>
      </w:r>
      <w:r>
        <w:t xml:space="preserve">statistical enrichment and the code semantics; the underlying wear</w:t>
      </w:r>
      <w:r>
        <w:t xml:space="preserve"> </w:t>
      </w:r>
      <w:r>
        <w:t xml:space="preserve">mechanism is an engineering interpretation, not something the logs</w:t>
      </w:r>
      <w:r>
        <w:t xml:space="preserve"> </w:t>
      </w:r>
      <w:r>
        <w:t xml:space="preserve">alone establish.</w:t>
      </w:r>
    </w:p>
    <w:bookmarkEnd w:id="30"/>
    <w:bookmarkStart w:id="31" w:name="Xe360e6971e355afaf3886fd596502bfcaf52cc4"/>
    <w:p>
      <w:pPr>
        <w:pStyle w:val="Heading3"/>
      </w:pPr>
      <w:r>
        <w:t xml:space="preserve">3.2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[</w:t>
      </w:r>
      <w:hyperlink w:anchor="ref-plumley2022penmanshiel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We use the nine turbines (of identifiers P01-P15, with P03</w:t>
      </w:r>
      <w:r>
        <w:t xml:space="preserve"> </w:t>
      </w:r>
      <w:r>
        <w:t xml:space="preserve">absent from the release) whose status logs cover the 2016 window;</w:t>
      </w:r>
      <w:r>
        <w:t xml:space="preserve"> </w:t>
      </w:r>
      <w:r>
        <w:t xml:space="preserve">for the second half of 2016 (2016-06 through 2016-12, when the site</w:t>
      </w:r>
      <w:r>
        <w:t xml:space="preserve"> </w:t>
      </w:r>
      <w:r>
        <w:t xml:space="preserve">went live) they produced 15,388 status events, of which 790 were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1"/>
    <w:bookmarkStart w:id="32" w:name="X80a7b106efa4995aea7e5e4fef80939ac602abf"/>
    <w:p>
      <w:pPr>
        <w:pStyle w:val="Heading3"/>
      </w:pPr>
      <w:r>
        <w:t xml:space="preserve">3.3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[</w:t>
      </w:r>
      <w:hyperlink w:anchor="ref-azurepdm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.</w:t>
      </w:r>
    </w:p>
    <w:bookmarkEnd w:id="32"/>
    <w:bookmarkStart w:id="33" w:name="X63889831d02285240bcac1226077e46efa3cd0f"/>
    <w:p>
      <w:pPr>
        <w:pStyle w:val="Heading3"/>
      </w:pPr>
      <w:r>
        <w:t xml:space="preserve">3.4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[</w:t>
      </w:r>
      <w:hyperlink w:anchor="ref-alibaba2018repo">
        <w:r>
          <w:rPr>
            <w:rStyle w:val="Hyperlink"/>
          </w:rPr>
          <w:t xml:space="preserve">48</w:t>
        </w:r>
      </w:hyperlink>
      <w:r>
        <w:t xml:space="preserve">,</w:t>
      </w:r>
      <w:r>
        <w:t xml:space="preserve"> </w:t>
      </w:r>
      <w:hyperlink w:anchor="ref-alibaba2018trace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3"/>
    <w:bookmarkStart w:id="34" w:name="llnl-blue-genel-syslogs-loghub-per-rack"/>
    <w:p>
      <w:pPr>
        <w:pStyle w:val="Heading3"/>
      </w:pPr>
      <w:r>
        <w:t xml:space="preserve">3.5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,</w:t>
      </w:r>
      <w:r>
        <w:t xml:space="preserve"> 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. 913,594 messages remain</w:t>
      </w:r>
      <w:r>
        <w:t xml:space="preserve"> </w:t>
      </w:r>
      <w:r>
        <w:t xml:space="preserve">after dropping INFO-level</w:t>
      </w:r>
      <w:r>
        <w:t xml:space="preserve"> </w:t>
      </w:r>
      <w:r>
        <w:t xml:space="preserve">noise; 348,189 (7.34%) are labelled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4"/>
    <w:bookmarkStart w:id="35" w:name="X0cc0213a3a3d6b0aa45b5af167aefb97013eef0"/>
    <w:p>
      <w:pPr>
        <w:pStyle w:val="Heading3"/>
      </w:pP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repair-labelled vehicle.</w:t>
      </w:r>
    </w:p>
    <w:bookmarkEnd w:id="35"/>
    <w:bookmarkEnd w:id="36"/>
    <w:bookmarkStart w:id="45" w:name="method"/>
    <w:p>
      <w:pPr>
        <w:pStyle w:val="Heading2"/>
      </w:pPr>
      <w:r>
        <w:t xml:space="preserve">4 Method</w:t>
      </w:r>
    </w:p>
    <w:p>
      <w:pPr>
        <w:pStyle w:val="FirstParagraph"/>
      </w:pPr>
      <w:r>
        <w:t xml:space="preserve">The same pipeline is applied to every trace (Figure 1): pre-failure</w:t>
      </w:r>
      <w:r>
        <w:t xml:space="preserve"> </w:t>
      </w:r>
      <w:r>
        <w:t xml:space="preserve">windows with matched controls, an entity-disjoint discovery/inference</w:t>
      </w:r>
      <w:r>
        <w:t xml:space="preserve"> </w:t>
      </w:r>
      <w:r>
        <w:t xml:space="preserve">split, mining on the discovery half, and post-selection-valid scoring</w:t>
      </w:r>
      <w:r>
        <w:t xml:space="preserve"> </w:t>
      </w:r>
      <w:r>
        <w:t xml:space="preserve">with FDR control on the inference half. The right-censored SCANIA</w:t>
      </w:r>
      <w:r>
        <w:t xml:space="preserve"> </w:t>
      </w:r>
      <w:r>
        <w:t xml:space="preserve">trace additionally uses risk-set matched sampling and matched</w:t>
      </w:r>
      <w:r>
        <w:t xml:space="preserve"> </w:t>
      </w:r>
      <w:r>
        <w:t xml:space="preserve">conditional logistic regression.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</w:r>
    </w:p>
    <w:bookmarkStart w:id="37" w:name="pre-failure-windows-and-matched-controls"/>
    <w:p>
      <w:pPr>
        <w:pStyle w:val="Heading3"/>
      </w:pP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SCANIA, turbine on Kelmarsh and</w:t>
      </w:r>
      <w:r>
        <w:t xml:space="preserve"> </w:t>
      </w:r>
      <w:r>
        <w:t xml:space="preserve">Penmanshiel), we build a failure window covering the K events (or the</w:t>
      </w:r>
      <w:r>
        <w:t xml:space="preserve"> </w:t>
      </w:r>
      <w:r>
        <w:t xml:space="preserve">time horizon T) strictly before the failure timestamp. Matched</w:t>
      </w:r>
      <w:r>
        <w:t xml:space="preserve"> </w:t>
      </w:r>
      <w:r>
        <w:t xml:space="preserve">controls come from two designs 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BGL, Kelmarsh, Penmanshiel)</w:t>
      </w:r>
      <w:r>
        <w:t xml:space="preserve"> </w:t>
      </w:r>
      <w:r>
        <w:t xml:space="preserve">when the entity carries long timelines with sparse failures;</w:t>
      </w:r>
      <w:r>
        <w:t xml:space="preserve"> </w:t>
      </w:r>
      <w:r>
        <w:t xml:space="preserve">controls are anchored at times on the same entity with no failure</w:t>
      </w:r>
      <w:r>
        <w:t xml:space="preserve"> </w:t>
      </w:r>
      <w:r>
        <w:t xml:space="preserve">within horizon T in either direction, sampled at a 1:3</w:t>
      </w:r>
      <w:r>
        <w:t xml:space="preserve"> </w:t>
      </w:r>
      <w:r>
        <w:t xml:space="preserve">case-to-control ratio.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1:3 case-to-control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The two wind farms use the same-entity design over each turbine’s</w:t>
      </w:r>
      <w:r>
        <w:t xml:space="preserve"> </w:t>
      </w:r>
      <w:r>
        <w:t xml:space="preserve">multi-year alarm timeline: failure windows are anchored on each</w:t>
      </w:r>
      <w:r>
        <w:t xml:space="preserve"> </w:t>
      </w:r>
      <w:r>
        <w:t xml:space="preserve">Forced-outage event and controls on same-turbine clean regions. The</w:t>
      </w:r>
      <w:r>
        <w:t xml:space="preserve"> </w:t>
      </w:r>
      <w:r>
        <w:t xml:space="preserve">entity-disjoint discovery/inference split (§4.5) partitions turbines</w:t>
      </w:r>
      <w:r>
        <w:t xml:space="preserve"> </w:t>
      </w:r>
      <w:r>
        <w:t xml:space="preserve">3-and-3 on Kelmarsh (6 turbines) and 4-and-5 on Penmanshiel (9</w:t>
      </w:r>
      <w:r>
        <w:t xml:space="preserve"> </w:t>
      </w:r>
      <w:r>
        <w:t xml:space="preserve">turbines), so no turbine contributes to both mining and inference;</w:t>
      </w:r>
      <w:r>
        <w:t xml:space="preserve"> </w:t>
      </w:r>
      <w:r>
        <w:t xml:space="preserve">the resulting inference half carries 233 failure and 699 control</w:t>
      </w:r>
      <w:r>
        <w:t xml:space="preserve"> </w:t>
      </w:r>
      <w:r>
        <w:t xml:space="preserve">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Kelmarsh and 448 failure and 1,344</w:t>
      </w:r>
      <w:r>
        <w:t xml:space="preserve"> </w:t>
      </w:r>
      <w:r>
        <w:t xml:space="preserve">control windows on Penmanshiel.</w:t>
      </w:r>
    </w:p>
    <w:p>
      <w:pPr>
        <w:pStyle w:val="BodyText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 and</w:t>
      </w:r>
      <w:r>
        <w:t xml:space="preserve"> </w:t>
      </w:r>
      <w:r>
        <w:t xml:space="preserve">on the two wind farms;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</w:t>
      </w:r>
      <w:r>
        <w:t xml:space="preserve"> </w:t>
      </w:r>
      <w:r>
        <w:t xml:space="preserve">are not meaningful for short per-job or per-episode observations).</w:t>
      </w:r>
    </w:p>
    <w:bookmarkEnd w:id="37"/>
    <w:bookmarkStart w:id="38" w:name="mining"/>
    <w:p>
      <w:pPr>
        <w:pStyle w:val="Heading3"/>
      </w:pP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minimum 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cloud and maintenance</w:t>
      </w:r>
      <w:r>
        <w:t xml:space="preserve"> </w:t>
      </w:r>
      <w:r>
        <w:t xml:space="preserve">traces (Azure, Alibaba); on the boundary</w:t>
      </w:r>
      <w:r>
        <w:t xml:space="preserve"> </w:t>
      </w:r>
      <w:r>
        <w:t xml:space="preserve">traces the same invariants localise where the signal fails, rather</w:t>
      </w:r>
      <w:r>
        <w:t xml:space="preserve"> </w:t>
      </w:r>
      <w:r>
        <w:t xml:space="preserve">than requiring post-hoc justification.</w:t>
      </w:r>
    </w:p>
    <w:bookmarkEnd w:id="39"/>
    <w:bookmarkStart w:id="40" w:name="Xff462f684860b99f87ffb52704ce6033ecb21e1"/>
    <w:p>
      <w:pPr>
        <w:pStyle w:val="Heading3"/>
      </w:pP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§3.6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rothman2008modern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2×2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minimum support 0.05, BH FDR correction on the p-values induced by</w:t>
      </w:r>
      <w:r>
        <w:t xml:space="preserve"> </w:t>
      </w:r>
      <w:r>
        <w:t xml:space="preserve">the Fisher-exact null of the same 2×2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,</w:t>
      </w:r>
      <w:r>
        <w:t xml:space="preserve"> </w:t>
      </w:r>
      <w:hyperlink w:anchor="ref-loftus2015selective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a 1:3 case-to-control balance by design (16,237 failed</w:t>
      </w:r>
      <w:r>
        <w:t xml:space="preserve"> </w:t>
      </w:r>
      <w:r>
        <w:t xml:space="preserve">jobs, 48,711 controls).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t xml:space="preserve">4.6 Matched conditional logistic for risk-set traces</w:t>
      </w:r>
    </w:p>
    <w:p>
      <w:pPr>
        <w:pStyle w:val="FirstParagraph"/>
      </w:pPr>
      <w:r>
        <w:t xml:space="preserve">A pooled 2×2 odds ratio over the risk-set-matched SCANIA patterns</w:t>
      </w:r>
      <w:r>
        <w:t xml:space="preserve"> </w:t>
      </w:r>
      <w:r>
        <w:t xml:space="preserve">discards the matched-set structure that makes the estimator</w:t>
      </w:r>
      <w:r>
        <w:t xml:space="preserve"> </w:t>
      </w:r>
      <w:r>
        <w:t xml:space="preserve">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2×2 Woolf-Haldane analysis, the matched</w:t>
      </w:r>
      <w:r>
        <w:t xml:space="preserve"> </w:t>
      </w:r>
      <w:r>
        <w:t xml:space="preserve">estimator is more conservative on this data: a top pattern that</w:t>
      </w:r>
      <w:r>
        <w:t xml:space="preserve"> </w:t>
      </w:r>
      <w:r>
        <w:t xml:space="preserve">scores MH-OR 2.72 [2.10, 3.51] under pooling scores a matched HR in</w:t>
      </w:r>
      <w:r>
        <w:t xml:space="preserve"> </w:t>
      </w:r>
      <w:r>
        <w:t xml:space="preserve">the 1.6-1.7 range under conditional logistic, and the honest</w:t>
      </w:r>
      <w:r>
        <w:t xml:space="preserve"> </w:t>
      </w:r>
      <w:r>
        <w:t xml:space="preserve">inference-half estimate (§6.11) is a top HR of 1.60 [1.35, 1.91].</w:t>
      </w:r>
    </w:p>
    <w:bookmarkEnd w:id="42"/>
    <w:bookmarkStart w:id="43" w:name="count-preserving-order-comparator"/>
    <w:p>
      <w:pPr>
        <w:pStyle w:val="Heading3"/>
      </w:pP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48" w:name="experiments"/>
    <w:p>
      <w:pPr>
        <w:pStyle w:val="Heading2"/>
      </w:pP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the event-count, itemset, and sequence</w:t>
      </w:r>
      <w:r>
        <w:t xml:space="preserve"> </w:t>
      </w:r>
      <w:r>
        <w:t xml:space="preserve">feature sets above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artefact, so a comparison across</w:t>
      </w:r>
      <w:r>
        <w:t xml:space="preserve"> </w:t>
      </w:r>
      <w:r>
        <w:t xml:space="preserve">feature sets on the same trace cannot drift.</w:t>
      </w:r>
    </w:p>
    <w:bookmarkStart w:id="46" w:name="coverage-per-horizon-azure"/>
    <w:p>
      <w:pPr>
        <w:pStyle w:val="Heading3"/>
      </w:pP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0.077; Figure 2).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2.</w:t>
            </w:r>
            <w:r>
              <w:t xml:space="preserve"> </w:t>
            </w:r>
            <w:r>
              <w:t xml:space="preserve">Event coverage of Azure pre-failure windows by horizon: the mean number of events per window grows with horizon length, which sets how much order information each horizon can carry.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Event coverage of Azure pre-failure windows by horizon: the mean number of events per window grows with horizon length, which sets how much order information each horizon can carry.</w:t>
      </w:r>
    </w:p>
    <w:bookmarkEnd w:id="46"/>
    <w:bookmarkStart w:id="47" w:name="Xcb021a9f83200d9f09d3a9403457b97a917b7d4"/>
    <w:p>
      <w:pPr>
        <w:pStyle w:val="Heading3"/>
      </w:pPr>
      <w:r>
        <w:t xml:space="preserve">5.2 Mining sensitivity to minimum support (Azure)</w:t>
      </w:r>
    </w:p>
    <w:p>
      <w:pPr>
        <w:pStyle w:val="FirstParagraph"/>
      </w:pPr>
      <w:r>
        <w:t xml:space="preserve">A minimum support sweep over {0.02, 0.05, 0.10, 0.15} preserves the</w:t>
      </w:r>
      <w:r>
        <w:t xml:space="preserve"> </w:t>
      </w:r>
      <w:r>
        <w:t xml:space="preserve">headline ordering at every operating point (Table 1):</w:t>
      </w:r>
    </w:p>
    <w:p>
      <w:pPr>
        <w:pStyle w:val="TableCaption"/>
      </w:pPr>
      <w:r>
        <w:rPr>
          <w:b/>
          <w:bCs/>
        </w:rPr>
        <w:t xml:space="preserve">Table 1.</w:t>
      </w:r>
      <w:r>
        <w:t xml:space="preserve"> </w:t>
      </w:r>
      <w:r>
        <w:t xml:space="preserve">Predictive AUROC on Azure by feature set across the FP-Growth minimum-support sweep.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Predictive AUROC on Azure by feature set across the FP-Growth minimum-support sweep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minimum support tested, combined dominates itemsets_only:</w:t>
      </w:r>
      <w:r>
        <w:t xml:space="preserve"> </w:t>
      </w:r>
      <w:r>
        <w:t xml:space="preserve">by 4 to 6 AUROC points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for minimum support up to 0.10 (and</w:t>
      </w:r>
      <w:r>
        <w:t xml:space="preserve"> </w:t>
      </w:r>
      <w:r>
        <w:t xml:space="preserve">by 2 points at 0.15), and by 3 to 5 points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(Figure 3).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3.</w:t>
            </w:r>
            <w:r>
              <w:t xml:space="preserve"> </w:t>
            </w:r>
            <w:r>
              <w:t xml:space="preserve">Predictive AUROC on Azure across the FP-Growth minimum-support sweep. Combined itemset-plus-sequence features lead the itemset-only and event-count baselines at every threshold.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Predictive AUROC on Azure across the FP-Growth minimum-support sweep. Combined itemset-plus-sequence features lead the itemset-only and event-count baselines at every threshold.</w:t>
      </w:r>
    </w:p>
    <w:bookmarkEnd w:id="47"/>
    <w:bookmarkEnd w:id="48"/>
    <w:bookmarkStart w:id="61" w:name="results"/>
    <w:p>
      <w:pPr>
        <w:pStyle w:val="Heading2"/>
      </w:pPr>
      <w:r>
        <w:t xml:space="preserve">6 Results</w:t>
      </w:r>
    </w:p>
    <w:bookmarkStart w:id="49" w:name="mined-patterns-azure-and-alibaba"/>
    <w:p>
      <w:pPr>
        <w:pStyle w:val="Heading3"/>
      </w:pP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</w:t>
      </w:r>
      <w:r>
        <w:t xml:space="preserve"> </w:t>
      </w:r>
      <w:r>
        <w:t xml:space="preserve">on the full training sample; the disjoint inference half in §6.4</w:t>
      </w:r>
      <w:r>
        <w:t xml:space="preserve"> </w:t>
      </w:r>
      <w:r>
        <w:t xml:space="preserve">gives zero control hits; 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 (Figure 4).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versus itemset lift 1.37 for the binary presence of</w:t>
      </w:r>
      <w:r>
        <w:t xml:space="preserve"> </w:t>
      </w:r>
      <w:r>
        <w:rPr>
          <w:rStyle w:val="VerbatimChar"/>
        </w:rPr>
        <w:t xml:space="preserve">{M}</w:t>
      </w:r>
      <w:r>
        <w:t xml:space="preserve">:</w:t>
      </w:r>
      <w:r>
        <w:t xml:space="preserve"> </w:t>
      </w:r>
      <w:r>
        <w:t xml:space="preserve">three consecutive Map completions predict a subsequent failure much</w:t>
      </w:r>
      <w:r>
        <w:t xml:space="preserve"> </w:t>
      </w:r>
      <w:r>
        <w:t xml:space="preserve">more strongly than the mere presence of a Map event. This is a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effect, not an ordering effect: the binary itemset</w:t>
      </w:r>
      <w:r>
        <w:t xml:space="preserve"> </w:t>
      </w:r>
      <w:r>
        <w:rPr>
          <w:rStyle w:val="VerbatimChar"/>
        </w:rPr>
        <w:t xml:space="preserve">{M}</w:t>
      </w:r>
      <w:r>
        <w:t xml:space="preserve"> </w:t>
      </w:r>
      <w:r>
        <w:t xml:space="preserve">discards the repeat count, and the count-preserving null of §6.3</w:t>
      </w:r>
      <w:r>
        <w:t xml:space="preserve"> </w:t>
      </w:r>
      <w:r>
        <w:t xml:space="preserve">plus the decomposition of Table 3 confirm that the exact within-window</w:t>
      </w:r>
      <w:r>
        <w:t xml:space="preserve"> </w:t>
      </w:r>
      <w:r>
        <w:t xml:space="preserve">order of the three Map events adds no further signal on Alibaba (order</w:t>
      </w:r>
      <w:r>
        <w:t xml:space="preserve"> </w:t>
      </w:r>
      <w:r>
        <w:t xml:space="preserve">increment -0.006, CI [-0.022, 0.013]).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4.</w:t>
            </w:r>
            <w:r>
              <w:t xml:space="preserve"> </w:t>
            </w:r>
            <w:r>
              <w:t xml:space="preserve">Itemset lift versus sequence lift for Azure patterns. Points above the diagonal are patterns whose ordered form carries more failure signal than their unordered co-occurrence, the effect the count-preserving null of §4.7 isolates.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Itemset lift versus sequence lift for Azure patterns. Points above the diagonal are patterns whose ordered form carries more failure signal than their unordered co-occurrence, the effect the count-preserving null of §4.7 isolates.</w:t>
      </w:r>
    </w:p>
    <w:bookmarkEnd w:id="49"/>
    <w:bookmarkStart w:id="50" w:name="Xf0bc8f9e6234e85c4d7c3cf73da894f54bee1dd"/>
    <w:p>
      <w:pPr>
        <w:pStyle w:val="Heading3"/>
      </w:pP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(Figure 5; the two wind</w:t>
      </w:r>
      <w:r>
        <w:t xml:space="preserve"> </w:t>
      </w:r>
      <w:r>
        <w:t xml:space="preserve">farms are evaluated via the discovery/inference signature protocol of</w:t>
      </w:r>
      <w:r>
        <w:t xml:space="preserve"> </w:t>
      </w:r>
      <w:r>
        <w:t xml:space="preserve">§6.4, not this temporal-split predictive table; Table 2):</w:t>
      </w:r>
    </w:p>
    <w:p>
      <w:pPr>
        <w:pStyle w:val="TableCaption"/>
      </w:pPr>
      <w:r>
        <w:rPr>
          <w:b/>
          <w:bCs/>
        </w:rPr>
        <w:t xml:space="preserve">Table 2.</w:t>
      </w:r>
      <w:r>
        <w:t xml:space="preserve"> </w:t>
      </w:r>
      <w:r>
        <w:t xml:space="preserve">Held-out AUROC / AUPRC by feature set on the four temporally-split traces.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Held-out AUROC / AUPRC by feature set on the four temporally-split traces.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sequences_only</w:t>
      </w:r>
      <w:r>
        <w:rPr>
          <w:i/>
          <w:iCs/>
        </w:rPr>
        <w:t xml:space="preserve"> </w:t>
      </w:r>
      <w:r>
        <w:rPr>
          <w:i/>
          <w:iCs/>
        </w:rPr>
        <w:t xml:space="preserve">cell reads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n/a</w:t>
      </w:r>
      <w:r>
        <w:rPr>
          <w:i/>
          <w:iCs/>
        </w:rPr>
        <w:t xml:space="preserve"> </w:t>
      </w:r>
      <w:r>
        <w:rPr>
          <w:i/>
          <w:iCs/>
        </w:rPr>
        <w:t xml:space="preserve">when no sequence survived the training-set shuffle</w:t>
      </w:r>
      <w:r>
        <w:rPr>
          <w:i/>
          <w:iCs/>
        </w:rPr>
        <w:t xml:space="preserve"> </w:t>
      </w:r>
      <w:r>
        <w:rPr>
          <w:i/>
          <w:iCs/>
        </w:rPr>
        <w:t xml:space="preserve">null at that configuration, so no sequence feature was available;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combined</w:t>
      </w:r>
      <w:r>
        <w:rPr>
          <w:i/>
          <w:iCs/>
        </w:rPr>
        <w:t xml:space="preserve"> </w:t>
      </w:r>
      <w:r>
        <w:rPr>
          <w:i/>
          <w:iCs/>
        </w:rPr>
        <w:t xml:space="preserve">then equals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itemsets_only</w:t>
      </w:r>
      <w:r>
        <w:rPr>
          <w:i/>
          <w:iCs/>
        </w:rPr>
        <w:t xml:space="preserve">. SCANIA uses per-vehicle</w:t>
      </w:r>
      <w:r>
        <w:rPr>
          <w:i/>
          <w:iCs/>
        </w:rPr>
        <w:t xml:space="preserve"> </w:t>
      </w:r>
      <w:r>
        <w:rPr>
          <w:i/>
          <w:iCs/>
        </w:rPr>
        <w:t xml:space="preserve">90th-percentile-delta binning; BGL uses episode-anchored per-rack</w:t>
      </w:r>
      <w:r>
        <w:rPr>
          <w:i/>
          <w:iCs/>
        </w:rPr>
        <w:t xml:space="preserve"> </w:t>
      </w:r>
      <w:r>
        <w:rPr>
          <w:i/>
          <w:iCs/>
        </w:rPr>
        <w:t xml:space="preserve">windows with alerts removed from the pre-alert stream. Both boundary</w:t>
      </w:r>
      <w:r>
        <w:rPr>
          <w:i/>
          <w:iCs/>
        </w:rPr>
        <w:t xml:space="preserve"> </w:t>
      </w:r>
      <w:r>
        <w:rPr>
          <w:i/>
          <w:iCs/>
        </w:rPr>
        <w:t xml:space="preserve">traces sit near chance for every feature set at every horizon.)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5.</w:t>
            </w:r>
            <w:r>
              <w:t xml:space="preserve"> </w:t>
            </w:r>
            <w:r>
              <w:t xml:space="preserve">Held-out predictive AUROC by feature set across the four temporally-split traces (Azure, Alibaba, BGL, SCANIA). The combined feature set leads on Azure and Alibaba; BGL and SCANIA sit at the no-signal boundary.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Held-out predictive AUROC by feature set across the four temporally-split traces (Azure, Alibaba, BGL, SCANIA). The combined feature set leads on Azure and Alibaba; BGL and SCANIA sit at the no-signal boundary.</w:t>
      </w:r>
    </w:p>
    <w:bookmarkEnd w:id="50"/>
    <w:bookmarkStart w:id="51" w:name="presence-multiplicity-or-order"/>
    <w:p>
      <w:pPr>
        <w:pStyle w:val="Heading3"/>
      </w:pPr>
      <w:r>
        <w:t xml:space="preserve">6.3 Presence, multiplicity, or order</w:t>
      </w:r>
    </w:p>
    <w:p>
      <w:pPr>
        <w:pStyle w:val="FirstParagraph"/>
      </w:pPr>
      <w:r>
        <w:t xml:space="preserve">A mined pattern can carry predictive signal through three distinct</w:t>
      </w:r>
      <w:r>
        <w:t xml:space="preserve"> </w:t>
      </w:r>
      <w:r>
        <w:t xml:space="preserve">channels: which event types are</w:t>
      </w:r>
      <w:r>
        <w:t xml:space="preserve"> </w:t>
      </w:r>
      <w:r>
        <w:rPr>
          <w:b/>
          <w:bCs/>
        </w:rPr>
        <w:t xml:space="preserve">present</w:t>
      </w:r>
      <w:r>
        <w:t xml:space="preserve"> </w:t>
      </w:r>
      <w:r>
        <w:t xml:space="preserve">(a set), how many times</w:t>
      </w:r>
      <w:r>
        <w:t xml:space="preserve"> </w:t>
      </w:r>
      <w:r>
        <w:t xml:space="preserve">each occurs (</w:t>
      </w:r>
      <w:r>
        <w:rPr>
          <w:b/>
          <w:bCs/>
        </w:rPr>
        <w:t xml:space="preserve">multiplicity</w:t>
      </w:r>
      <w:r>
        <w:t xml:space="preserve">, a multiset), and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in which</w:t>
      </w:r>
      <w:r>
        <w:t xml:space="preserve"> </w:t>
      </w:r>
      <w:r>
        <w:t xml:space="preserve">they occur (a sequence). The count-preserving null of §4.7 already</w:t>
      </w:r>
      <w:r>
        <w:t xml:space="preserve"> </w:t>
      </w:r>
      <w:r>
        <w:t xml:space="preserve">isolates order at the level of individual pattern lift; here we</w:t>
      </w:r>
      <w:r>
        <w:t xml:space="preserve"> </w:t>
      </w:r>
      <w:r>
        <w:t xml:space="preserve">measure all three channels directly in held-out predictive AUROC, so</w:t>
      </w:r>
      <w:r>
        <w:t xml:space="preserve"> </w:t>
      </w:r>
      <w:r>
        <w:t xml:space="preserve">that a</w:t>
      </w:r>
      <w:r>
        <w:t xml:space="preserve"> </w:t>
      </w:r>
      <w:r>
        <w:t xml:space="preserve">“</w:t>
      </w:r>
      <w:r>
        <w:t xml:space="preserve">sequence helps</w:t>
      </w:r>
      <w:r>
        <w:t xml:space="preserve">”</w:t>
      </w:r>
      <w:r>
        <w:t xml:space="preserve"> </w:t>
      </w:r>
      <w:r>
        <w:t xml:space="preserve">claim cannot be an artifact of repeated events</w:t>
      </w:r>
      <w:r>
        <w:t xml:space="preserve"> </w:t>
      </w:r>
      <w:r>
        <w:t xml:space="preserve">being folded into one itemset. On the temporal test split of each</w:t>
      </w:r>
      <w:r>
        <w:t xml:space="preserve"> </w:t>
      </w:r>
      <w:r>
        <w:t xml:space="preserve">trace we build nested representations from the same windows with the</w:t>
      </w:r>
      <w:r>
        <w:t xml:space="preserve"> </w:t>
      </w:r>
      <w:r>
        <w:t xml:space="preserve">vocabulary fixed on the training period: binary presence (set), event</w:t>
      </w:r>
      <w:r>
        <w:t xml:space="preserve"> </w:t>
      </w:r>
      <w:r>
        <w:t xml:space="preserve">counts (multiset), and binary adjacent bigrams (order), each scored by</w:t>
      </w:r>
      <w:r>
        <w:t xml:space="preserve"> </w:t>
      </w:r>
      <w:r>
        <w:t xml:space="preserve">L2 logistic regression, and read off two incremental effects with</w:t>
      </w:r>
      <w:r>
        <w:t xml:space="preserve"> </w:t>
      </w:r>
      <w:r>
        <w:t xml:space="preserve">entity-bootstrap 95% CIs (resampling test turbines/machines/racks,</w:t>
      </w:r>
      <w:r>
        <w:t xml:space="preserve"> </w:t>
      </w:r>
      <w:r>
        <w:t xml:space="preserve">B = 200): the</w:t>
      </w:r>
      <w:r>
        <w:t xml:space="preserve"> </w:t>
      </w:r>
      <w:r>
        <w:rPr>
          <w:b/>
          <w:bCs/>
        </w:rPr>
        <w:t xml:space="preserve">multiplicity increment</w:t>
      </w:r>
      <w:r>
        <w:t xml:space="preserve"> </w:t>
      </w:r>
      <w:r>
        <w:t xml:space="preserve">(counts over presence)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increment</w:t>
      </w:r>
      <w:r>
        <w:t xml:space="preserve"> </w:t>
      </w:r>
      <w:r>
        <w:t xml:space="preserve">(bigrams over counts) (Table 3).</w:t>
      </w:r>
    </w:p>
    <w:p>
      <w:pPr>
        <w:pStyle w:val="TableCaption"/>
      </w:pPr>
      <w:r>
        <w:rPr>
          <w:b/>
          <w:bCs/>
        </w:rPr>
        <w:t xml:space="preserve">Table 3.</w:t>
      </w:r>
      <w:r>
        <w:t xml:space="preserve"> </w:t>
      </w:r>
      <w:r>
        <w:t xml:space="preserve">Presence / multiplicity / order decomposition of held-out AUROC, with entity-bootstrap 95% CIs. A component whose interval excludes zero is a distinguishable channel of signal.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Presence / multiplicity / order decomposition of held-out AUROC, with entity-bootstrap 95% CIs. A component whose interval excludes zero is a distinguishable channel of signal."/>
      </w:tblPr>
      <w:tblGrid>
        <w:gridCol w:w="1063"/>
        <w:gridCol w:w="2009"/>
        <w:gridCol w:w="2837"/>
        <w:gridCol w:w="20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presence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multiplicity increment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increment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+0.301 [0.258, 0.332]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 [-0.015, 0.034]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+0.032 [0.003, 0.061]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+0.149 [0.128, 0.171]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+0.029 [0.018, 0.040]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 [-0.022, 0.013]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[-0.032, -0.001]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 [-0.001, 0.001]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+0.024 [0.002, 0.044]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+0.062 [0.028, 0.097]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+0.020 [0.007, 0.036]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 [-0.109, -0.037]</w:t>
            </w:r>
          </w:p>
        </w:tc>
      </w:tr>
    </w:tbl>
    <w:p>
      <w:pPr>
        <w:pStyle w:val="BodyText"/>
      </w:pPr>
      <w:r>
        <w:t xml:space="preserve">On both positive traces the largest lever is event</w:t>
      </w:r>
      <w:r>
        <w:t xml:space="preserve"> </w:t>
      </w:r>
      <w:r>
        <w:rPr>
          <w:b/>
          <w:bCs/>
        </w:rPr>
        <w:t xml:space="preserve">presence</w:t>
      </w:r>
      <w:r>
        <w:t xml:space="preserve"> </w:t>
      </w:r>
      <w:r>
        <w:t xml:space="preserve">(which</w:t>
      </w:r>
      <w:r>
        <w:t xml:space="preserve"> </w:t>
      </w:r>
      <w:r>
        <w:t xml:space="preserve">event types occur at all: +0.30 on Azure, +0.15 on Alibaba). What</w:t>
      </w:r>
      <w:r>
        <w:t xml:space="preserve"> </w:t>
      </w:r>
      <w:r>
        <w:t xml:space="preserve">distinguishes them is the second channel.</w:t>
      </w:r>
      <w:r>
        <w:t xml:space="preserve"> </w:t>
      </w:r>
      <w:r>
        <w:rPr>
          <w:b/>
          <w:bCs/>
        </w:rPr>
        <w:t xml:space="preserve">On Azure the order</w:t>
      </w:r>
      <w:r>
        <w:rPr>
          <w:b/>
          <w:bCs/>
        </w:rPr>
        <w:t xml:space="preserve"> </w:t>
      </w:r>
      <w:r>
        <w:rPr>
          <w:b/>
          <w:bCs/>
        </w:rPr>
        <w:t xml:space="preserve">increment is +0.032 with a CI that excludes zero while the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 increment does not; on Alibaba the reverse holds, a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 increment of +0.029 excluding zero and an order increment</w:t>
      </w:r>
      <w:r>
        <w:rPr>
          <w:b/>
          <w:bCs/>
        </w:rPr>
        <w:t xml:space="preserve"> </w:t>
      </w:r>
      <w:r>
        <w:rPr>
          <w:b/>
          <w:bCs/>
        </w:rPr>
        <w:t xml:space="preserve">indistinguishable from zero</w:t>
      </w:r>
      <w:r>
        <w:t xml:space="preserve"> </w:t>
      </w:r>
      <w:r>
        <w:t xml:space="preserve">(Figure 6). The two positive traces</w:t>
      </w:r>
      <w:r>
        <w:t xml:space="preserve"> </w:t>
      </w:r>
      <w:r>
        <w:t xml:space="preserve">therefore occupy opposite corners of the decomposition: Azure carries</w:t>
      </w:r>
      <w:r>
        <w:t xml:space="preserve"> </w:t>
      </w:r>
      <w:r>
        <w:t xml:space="preserve">a genuine ordering signal, Alibaba a multiplicity signal that binary</w:t>
      </w:r>
      <w:r>
        <w:t xml:space="preserve"> </w:t>
      </w:r>
      <w:r>
        <w:t xml:space="preserve">itemsets discard but exact order does not recover. This resolves the</w:t>
      </w:r>
      <w:r>
        <w:t xml:space="preserve"> </w:t>
      </w:r>
      <w:r>
        <w:t xml:space="preserve">apparent tension with the count-preserving lift analysis below: the</w:t>
      </w:r>
      <w:r>
        <w:t xml:space="preserve"> </w:t>
      </w:r>
      <w:r>
        <w:t xml:space="preserve">Alibaba sequence advantage is repeated-event information, not exact</w:t>
      </w:r>
      <w:r>
        <w:t xml:space="preserve"> </w:t>
      </w:r>
      <w:r>
        <w:t xml:space="preserve">within-window order.</w:t>
      </w:r>
    </w:p>
    <w:p>
      <w:pPr>
        <w:pStyle w:val="BodyText"/>
      </w:pPr>
      <w:r>
        <w:t xml:space="preserve">An increment channel is only meaningful when it sits on a presence</w:t>
      </w:r>
      <w:r>
        <w:t xml:space="preserve"> </w:t>
      </w:r>
      <w:r>
        <w:t xml:space="preserve">base that itself clears the floor: a channel CI that excludes zero on</w:t>
      </w:r>
      <w:r>
        <w:t xml:space="preserve"> </w:t>
      </w:r>
      <w:r>
        <w:t xml:space="preserve">top of a floor-level presence effect moves a near-chance prediction to</w:t>
      </w:r>
      <w:r>
        <w:t xml:space="preserve"> </w:t>
      </w:r>
      <w:r>
        <w:t xml:space="preserve">a slightly-less-near-chance prediction, not a usable signal. BGL</w:t>
      </w:r>
      <w:r>
        <w:t xml:space="preserve"> </w:t>
      </w:r>
      <w:r>
        <w:t xml:space="preserve">illustrates this. Its order increment is +0.024 with a CI that</w:t>
      </w:r>
      <w:r>
        <w:t xml:space="preserve"> </w:t>
      </w:r>
      <w:r>
        <w:t xml:space="preserve">excludes zero, numerically like Azure’s, but its presence effect is</w:t>
      </w:r>
      <w:r>
        <w:t xml:space="preserve"> </w:t>
      </w:r>
      <w:r>
        <w:t xml:space="preserve">negative (-0.015) and its total AUROC never leaves 0.48 to 0.51, so</w:t>
      </w:r>
      <w:r>
        <w:t xml:space="preserve"> </w:t>
      </w:r>
      <w:r>
        <w:t xml:space="preserve">the order channel has no base to build on. SCANIA shows the opposite</w:t>
      </w:r>
      <w:r>
        <w:t xml:space="preserve"> </w:t>
      </w:r>
      <w:r>
        <w:t xml:space="preserve">failure: a significantly negative order increment (-0.075), meaning</w:t>
      </w:r>
      <w:r>
        <w:t xml:space="preserve"> </w:t>
      </w:r>
      <w:r>
        <w:t xml:space="preserve">bigram features actively hurt once counts are included, on a presence</w:t>
      </w:r>
      <w:r>
        <w:t xml:space="preserve"> </w:t>
      </w:r>
      <w:r>
        <w:t xml:space="preserve">base (+0.06) that is itself near the floor. The distinguishing-channel</w:t>
      </w:r>
      <w:r>
        <w:t xml:space="preserve"> </w:t>
      </w:r>
      <w:r>
        <w:t xml:space="preserve">claim is therefore made jointly with the presence base, not from a</w:t>
      </w:r>
      <w:r>
        <w:t xml:space="preserve"> </w:t>
      </w:r>
      <w:r>
        <w:t xml:space="preserve">single CI; only Azure and Alibaba combine a large presence effect with</w:t>
      </w:r>
      <w:r>
        <w:t xml:space="preserve"> </w:t>
      </w:r>
      <w:r>
        <w:t xml:space="preserve">exactly one further channel that excludes zero.</w:t>
      </w:r>
    </w:p>
    <w:p>
      <w:pPr>
        <w:pStyle w:val="BodyText"/>
      </w:pPr>
      <w:r>
        <w:t xml:space="preserve">Against non-degenerate baselines the mined-pattern features do not win</w:t>
      </w:r>
      <w:r>
        <w:t xml:space="preserve"> </w:t>
      </w:r>
      <w:r>
        <w:t xml:space="preserve">on raw accuracy, and we do not claim they do. All numbers in this</w:t>
      </w:r>
      <w:r>
        <w:t xml:space="preserve"> </w:t>
      </w:r>
      <w:r>
        <w:t xml:space="preserve">paragraph and in Table 3 come from one internally consistent</w:t>
      </w:r>
      <w:r>
        <w:t xml:space="preserve"> </w:t>
      </w:r>
      <w:r>
        <w:t xml:space="preserve">evaluation pass (the same windows, temporal split, and vocabulary for</w:t>
      </w:r>
      <w:r>
        <w:t xml:space="preserve"> </w:t>
      </w:r>
      <w:r>
        <w:t xml:space="preserve">every representation), which differs slightly from the separate</w:t>
      </w:r>
      <w:r>
        <w:t xml:space="preserve"> </w:t>
      </w:r>
      <w:r>
        <w:t xml:space="preserve">predictive pipeline of Table 2, so its mined-itemset AUROC (0.778 on</w:t>
      </w:r>
      <w:r>
        <w:t xml:space="preserve"> </w:t>
      </w:r>
      <w:r>
        <w:t xml:space="preserve">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) is not identical to Table 2’s (0.75); the comparison</w:t>
      </w:r>
      <w:r>
        <w:t xml:space="preserve"> </w:t>
      </w:r>
      <w:r>
        <w:t xml:space="preserve">that matters is between representations computed together.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a gradient-boosted model on event counts and a binary-bigram</w:t>
      </w:r>
      <w:r>
        <w:t xml:space="preserve"> </w:t>
      </w:r>
      <w:r>
        <w:t xml:space="preserve">logistic regression both reach AUROC 0.845, above the mined-itemset</w:t>
      </w:r>
      <w:r>
        <w:t xml:space="preserve"> </w:t>
      </w:r>
      <w:r>
        <w:t xml:space="preserve">features (0.778); 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the gradient-boosted count model</w:t>
      </w:r>
      <w:r>
        <w:t xml:space="preserve"> </w:t>
      </w:r>
      <w:r>
        <w:t xml:space="preserve">reaches 0.883, well above the mined-itemset features (0.695). The recency</w:t>
      </w:r>
      <w:r>
        <w:t xml:space="preserve"> </w:t>
      </w:r>
      <w:r>
        <w:t xml:space="preserve">baseline (event count plus window time span) stays near 0.57-0.70. The</w:t>
      </w:r>
      <w:r>
        <w:t xml:space="preserve"> </w:t>
      </w:r>
      <w:r>
        <w:t xml:space="preserve">value of the mined patterns is therefore not that they maximise a</w:t>
      </w:r>
      <w:r>
        <w:t xml:space="preserve"> </w:t>
      </w:r>
      <w:r>
        <w:t xml:space="preserve">held-out score, which a count-vector gradient-boosted model already</w:t>
      </w:r>
      <w:r>
        <w:t xml:space="preserve"> </w:t>
      </w:r>
      <w:r>
        <w:t xml:space="preserve">does, but that they are human-readable, individually</w:t>
      </w:r>
      <w:r>
        <w:t xml:space="preserve"> </w:t>
      </w:r>
      <w:r>
        <w:t xml:space="preserve">significance-tested signatures that occupy a specific point on the</w:t>
      </w:r>
      <w:r>
        <w:t xml:space="preserve"> </w:t>
      </w:r>
      <w:r>
        <w:t xml:space="preserve">accuracy-interpretability frontier and expose the presence /</w:t>
      </w:r>
      <w:r>
        <w:t xml:space="preserve"> </w:t>
      </w:r>
      <w:r>
        <w:t xml:space="preserve">multiplicity / order structure a black-box score hides.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6.</w:t>
            </w:r>
            <w:r>
              <w:t xml:space="preserve"> </w:t>
            </w:r>
            <w:r>
              <w:t xml:space="preserve">Presence / multiplicity / order decomposition of held-out AUROC per trace, with entity-bootstrap 95% CIs. Solid bars have a CI excluding zero; hatched bars are indistinguishable from no effect. Azure’s distinguishing increment is order; Alibaba’s is multiplicity.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Presence / multiplicity / order decomposition of held-out AUROC per trace, with entity-bootstrap 95% CIs. Solid bars have a CI excluding zero; hatched bars are indistinguishable from no effect. Azure’s distinguishing increment is order; Alibaba’s is multiplicity.</w:t>
      </w:r>
    </w:p>
    <w:p>
      <w:pPr>
        <w:pStyle w:val="BodyText"/>
      </w:pPr>
      <w:r>
        <w:t xml:space="preserve">The count-preserving comparator of §4.7 isolates the pure ordering</w:t>
      </w:r>
      <w:r>
        <w:t xml:space="preserve"> </w:t>
      </w:r>
      <w:r>
        <w:t xml:space="preserve">contribution at the level of individual pattern lift as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.</w:t>
      </w:r>
      <w:r>
        <w:t xml:space="preserve"> </w:t>
      </w:r>
      <w:r>
        <w:t xml:space="preserve">Top-20 sequences per horizon (Table 4):</w:t>
      </w:r>
    </w:p>
    <w:p>
      <w:pPr>
        <w:pStyle w:val="TableCaption"/>
      </w:pPr>
      <w:r>
        <w:rPr>
          <w:b/>
          <w:bCs/>
        </w:rPr>
        <w:t xml:space="preserve">Table 4.</w:t>
      </w:r>
      <w:r>
        <w:t xml:space="preserve"> </w:t>
      </w:r>
      <w:r>
        <w:t xml:space="preserve">Order effect under the count-preserving null: real lift, shuffled-null lift, and their difference.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Order effect under the count-preserving null: real lift, shuffled-null lift, and their difference.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1"/>
    <w:bookmarkStart w:id="52" w:name="X4df7340d1533da6331c58c2d3ec043171e9226d"/>
    <w:p>
      <w:pPr>
        <w:pStyle w:val="Heading3"/>
      </w:pP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Kelmarsh yields the strongest cascade</w:t>
      </w:r>
      <w:r>
        <w:t xml:space="preserve"> </w:t>
      </w:r>
      <w:r>
        <w:t xml:space="preserve">signatures in the catalog. All top signatures have zero control hits</w:t>
      </w:r>
      <w:r>
        <w:t xml:space="preserve"> </w:t>
      </w:r>
      <w:r>
        <w:t xml:space="preserve">on the inference half, and each fault code names a specific mechanical</w:t>
      </w:r>
      <w:r>
        <w:t xml:space="preserve"> </w:t>
      </w:r>
      <w:r>
        <w:t xml:space="preserve">or electrical precursor of the same-family Forced-outage event.</w:t>
      </w:r>
    </w:p>
    <w:p>
      <w:pPr>
        <w:pStyle w:val="BodyText"/>
      </w:pPr>
      <w:r>
        <w:t xml:space="preserve">Mining on the discovery half at 5% minimum 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 (Table 5).</w:t>
      </w:r>
    </w:p>
    <w:p>
      <w:pPr>
        <w:pStyle w:val="TableCaption"/>
      </w:pPr>
      <w:r>
        <w:rPr>
          <w:b/>
          <w:bCs/>
        </w:rPr>
        <w:t xml:space="preserve">Table 5.</w:t>
      </w:r>
      <w:r>
        <w:t xml:space="preserve"> </w:t>
      </w:r>
      <w:r>
        <w:t xml:space="preserve">Top Kelmarsh generator-fan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Top Kelmarsh generator-fan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</w:t>
            </w:r>
            <w:r>
              <w:t xml:space="preserve"> </w:t>
            </w:r>
            <w:r>
              <w:t xml:space="preserve">(Overload gen fan 1, standalone warning)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Windows are strictly pre-anchor, so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inside</w:t>
      </w:r>
      <w:r>
        <w:t xml:space="preserve"> </w:t>
      </w:r>
      <w:r>
        <w:t xml:space="preserve">a window is a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forced outage, not the anchor being predicted.</w:t>
      </w:r>
      <w:r>
        <w:t xml:space="preserve"> </w:t>
      </w:r>
      <w:r>
        <w:t xml:space="preserve">The table therefore contains two distinct signature families, both at</w:t>
      </w:r>
      <w:r>
        <w:t xml:space="preserve"> </w:t>
      </w:r>
      <w:r>
        <w:t xml:space="preserve">lift 4.00 with zero control hits. The first is</w:t>
      </w:r>
      <w:r>
        <w:t xml:space="preserve"> </w:t>
      </w:r>
      <w:r>
        <w:rPr>
          <w:b/>
          <w:bCs/>
        </w:rPr>
        <w:t xml:space="preserve">repeat-outage</w:t>
      </w:r>
      <w:r>
        <w:rPr>
          <w:b/>
          <w:bCs/>
        </w:rPr>
        <w:t xml:space="preserve"> </w:t>
      </w:r>
      <w:r>
        <w:rPr>
          <w:b/>
          <w:bCs/>
        </w:rPr>
        <w:t xml:space="preserve">clustering</w:t>
      </w:r>
      <w:r>
        <w:t xml:space="preserve">: a recent same-code generator-fan outage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terminal_failure:2550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terminal_failure:2655</w:t>
      </w:r>
      <w:r>
        <w:t xml:space="preserve">) strongly predicts</w:t>
      </w:r>
      <w:r>
        <w:t xml:space="preserve"> </w:t>
      </w:r>
      <w:r>
        <w:t xml:space="preserve">the next, so these outages recur in bursts on the same turbine (45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). The second,</w:t>
      </w:r>
      <w:r>
        <w:t xml:space="preserve"> </w:t>
      </w:r>
      <w:r>
        <w:t xml:space="preserve">and the operationally decisive one, is</w:t>
      </w:r>
      <w:r>
        <w:t xml:space="preserve"> </w:t>
      </w:r>
      <w:r>
        <w:rPr>
          <w:b/>
          <w:bCs/>
        </w:rPr>
        <w:t xml:space="preserve">warning-to-outage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precursors</w:t>
      </w:r>
      <w:r>
        <w:t xml:space="preserve">: the pure generator-fan overload warning codes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precede the</w:t>
      </w:r>
      <w:r>
        <w:t xml:space="preserve"> </w:t>
      </w:r>
      <w:r>
        <w:t xml:space="preserve">same-family Forced outage before any outage has occurred (24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). This is the paper’s</w:t>
      </w:r>
      <w:r>
        <w:t xml:space="preserve"> </w:t>
      </w:r>
      <w:r>
        <w:t xml:space="preserve">driving hypothesis in its clearest form: a physical wear process</w:t>
      </w:r>
      <w:r>
        <w:t xml:space="preserve"> </w:t>
      </w:r>
      <w:r>
        <w:t xml:space="preserve">raises generator-fan overload warnings at an intermediate stage</w:t>
      </w:r>
      <w:r>
        <w:t xml:space="preserve"> </w:t>
      </w:r>
      <w:r>
        <w:t xml:space="preserve">before the same fault terminates the cascade as a Forced outage.</w:t>
      </w:r>
    </w:p>
    <w:p>
      <w:pPr>
        <w:pStyle w:val="BodyText"/>
      </w:pPr>
      <w:r>
        <w:t xml:space="preserve">Use: two rules with different triggers.</w:t>
      </w:r>
      <w:r>
        <w:t xml:space="preserve"> </w:t>
      </w:r>
      <w:r>
        <w:rPr>
          <w:b/>
          <w:bCs/>
        </w:rPr>
        <w:t xml:space="preserve">Early warning</w:t>
      </w:r>
      <w:r>
        <w:t xml:space="preserve">: schedule</w:t>
      </w:r>
      <w:r>
        <w:t xml:space="preserve"> </w:t>
      </w:r>
      <w:r>
        <w:t xml:space="preserve">generator cooling and bearing inspection the moment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fires, before any outage.</w:t>
      </w:r>
      <w:r>
        <w:t xml:space="preserve"> </w:t>
      </w:r>
      <w:r>
        <w:rPr>
          <w:b/>
          <w:bCs/>
        </w:rPr>
        <w:t xml:space="preserve">Escalation</w:t>
      </w:r>
      <w:r>
        <w:t xml:space="preserve">:</w:t>
      </w:r>
      <w:r>
        <w:t xml:space="preserve"> </w:t>
      </w:r>
      <w:r>
        <w:t xml:space="preserve">after a generator-fan Forced outage, treat a second on the same</w:t>
      </w:r>
      <w:r>
        <w:t xml:space="preserve"> </w:t>
      </w:r>
      <w:r>
        <w:t xml:space="preserve">turbine as imminent (the repeat-outage family). Both rules have zero</w:t>
      </w:r>
      <w:r>
        <w:t xml:space="preserve"> </w:t>
      </w:r>
      <w:r>
        <w:t xml:space="preserve">false alarms over the 699 inference-half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;</w:t>
      </w:r>
      <w:r>
        <w:t xml:space="preserve"> </w:t>
      </w:r>
      <w:r>
        <w:t xml:space="preserve">§6.5 quantifies how much of the escalation signal the last-event</w:t>
      </w:r>
      <w:r>
        <w:t xml:space="preserve"> </w:t>
      </w:r>
      <w:r>
        <w:t xml:space="preserve">baseline already captures. Figure 7 shows one such episode.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7.</w:t>
            </w:r>
            <w:r>
              <w:t xml:space="preserve"> </w:t>
            </w:r>
            <w:r>
      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 (Table 6).</w:t>
      </w:r>
    </w:p>
    <w:p>
      <w:pPr>
        <w:pStyle w:val="TableCaption"/>
      </w:pPr>
      <w:r>
        <w:rPr>
          <w:b/>
          <w:bCs/>
        </w:rPr>
        <w:t xml:space="preserve">Table 6.</w:t>
      </w:r>
      <w:r>
        <w:t xml:space="preserve"> </w:t>
      </w:r>
      <w:r>
        <w:t xml:space="preserve">Top Penmanshiel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Top Penmanshiel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 as on Kelmarsh, rows carrying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are prior-outage clustering, while the pure warning and</w:t>
      </w:r>
      <w:r>
        <w:t xml:space="preserve"> </w:t>
      </w:r>
      <w:r>
        <w:t xml:space="preserve">info-to-stop rows are the actionable precursors.</w:t>
      </w:r>
      <w:r>
        <w:t xml:space="preserve"> </w:t>
      </w:r>
      <w:r>
        <w:rPr>
          <w:b/>
          <w:bCs/>
        </w:rPr>
        <w:t xml:space="preserve">The pure warning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system_warning:9000</w:t>
      </w:r>
      <w:r>
        <w:rPr>
          <w:b/>
          <w:bCs/>
        </w:rPr>
        <w:t xml:space="preserve"> </w:t>
      </w:r>
      <w:r>
        <w:rPr>
          <w:b/>
          <w:bCs/>
        </w:rPr>
        <w:t xml:space="preserve">precedes the safety-system 9210 Forced</w:t>
      </w:r>
      <w:r>
        <w:rPr>
          <w:b/>
          <w:bCs/>
        </w:rPr>
        <w:t xml:space="preserve"> </w:t>
      </w:r>
      <w:r>
        <w:rPr>
          <w:b/>
          <w:bCs/>
        </w:rPr>
        <w:t xml:space="preserve">outage, and the safety-stop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system_stop:9210</w:t>
      </w:r>
      <w:r>
        <w:rPr>
          <w:b/>
          <w:bCs/>
        </w:rPr>
        <w:t xml:space="preserve"> </w:t>
      </w:r>
      <w:r>
        <w:rPr>
          <w:b/>
          <w:bCs/>
        </w:rPr>
        <w:t xml:space="preserve">reaches 150</w:t>
      </w:r>
      <w:r>
        <w:rPr>
          <w:b/>
          <w:bCs/>
        </w:rPr>
        <w:t xml:space="preserve"> </w:t>
      </w:r>
      <w:r>
        <w:rPr>
          <w:b/>
          <w:bCs/>
        </w:rPr>
        <w:t xml:space="preserve">inference-half forced-outage windows with zero hits across 1,344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controls</w:t>
      </w:r>
      <w:r>
        <w:t xml:space="preserve">. The frequency-converter chain</w:t>
      </w:r>
      <w:r>
        <w:t xml:space="preserve"> </w:t>
      </w:r>
      <w:r>
        <w:rPr>
          <w:rStyle w:val="VerbatimChar"/>
        </w:rPr>
        <w:t xml:space="preserve">system_info:3543 -&gt; system_stop:3000</w:t>
      </w:r>
      <w:r>
        <w:t xml:space="preserve"> </w:t>
      </w:r>
      <w:r>
        <w:t xml:space="preserve">is an independent second</w:t>
      </w:r>
      <w:r>
        <w:t xml:space="preserve"> </w:t>
      </w:r>
      <w:r>
        <w:t xml:space="preserve">precursor family with 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Candidate rules (pending prospective trial): the safety-9210 warning</w:t>
      </w:r>
      <w:r>
        <w:t xml:space="preserve"> </w:t>
      </w:r>
      <w:r>
        <w:t xml:space="preserve">is a candidate curtailment trigger and the frequency-converter 3543</w:t>
      </w:r>
      <w:r>
        <w:t xml:space="preserve"> </w:t>
      </w:r>
      <w:r>
        <w:t xml:space="preserve">informational message a candidate converter-service trigger. The</w:t>
      </w:r>
      <w:r>
        <w:t xml:space="preserve"> </w:t>
      </w:r>
      <w:r>
        <w:t xml:space="preserve">short median lead of the co-located Penmanshiel burst (§6.4, replay</w:t>
      </w:r>
      <w:r>
        <w:t xml:space="preserve"> </w:t>
      </w:r>
      <w:r>
        <w:t xml:space="preserve">below) means such a burst alone often fires too late for curtailment;</w:t>
      </w:r>
      <w:r>
        <w:t xml:space="preserve"> </w:t>
      </w:r>
      <w:r>
        <w:t xml:space="preserve">the multi-hour degradation chains next provide the actionable lead.</w:t>
      </w:r>
    </w:p>
    <w:p>
      <w:pPr>
        <w:pStyle w:val="BodyText"/>
      </w:pPr>
      <w:r>
        <w:rPr>
          <w:b/>
          <w:bCs/>
        </w:rPr>
        <w:t xml:space="preserve">Co-located bursts versus temporal degradation chains.</w:t>
      </w:r>
      <w:r>
        <w:t xml:space="preserve"> </w:t>
      </w:r>
      <w:r>
        <w:t xml:space="preserve">The</w:t>
      </w:r>
      <w:r>
        <w:t xml:space="preserve"> </w:t>
      </w:r>
      <w:r>
        <w:t xml:space="preserve">generator-fan and safety-system signatures above are co-located</w:t>
      </w:r>
      <w:r>
        <w:t xml:space="preserve"> </w:t>
      </w:r>
      <w:r>
        <w:t xml:space="preserve">alarm bursts: the constituent codes fire within a median of 0.16 min</w:t>
      </w:r>
      <w:r>
        <w:t xml:space="preserve"> </w:t>
      </w:r>
      <w:r>
        <w:t xml:space="preserve">(Kelmarsh) and 0.28 min (Penmanshiel) of each other, so they mark a</w:t>
      </w:r>
      <w:r>
        <w:t xml:space="preserve"> </w:t>
      </w:r>
      <w:r>
        <w:t xml:space="preserve">single instant, not a trajectory. A separate signature class captures</w:t>
      </w:r>
      <w:r>
        <w:t xml:space="preserve"> </w:t>
      </w:r>
      <w:r>
        <w:t xml:space="preserve">genuine degradation. Collapsing each 24h pre-outage window to its</w:t>
      </w:r>
      <w:r>
        <w:t xml:space="preserve"> </w:t>
      </w:r>
      <w:r>
        <w:t xml:space="preserve">ordered sequence of</w:t>
      </w:r>
      <w:r>
        <w:t xml:space="preserve"> </w:t>
      </w:r>
      <w:r>
        <w:rPr>
          <w:b/>
          <w:bCs/>
        </w:rPr>
        <w:t xml:space="preserve">distinct</w:t>
      </w:r>
      <w:r>
        <w:t xml:space="preserve"> </w:t>
      </w:r>
      <w:r>
        <w:t xml:space="preserve">codes (co-located repeats merged) and</w:t>
      </w:r>
      <w:r>
        <w:t xml:space="preserve"> </w:t>
      </w:r>
      <w:r>
        <w:t xml:space="preserve">mining ordered chains of three-to-four distinct codes under the same</w:t>
      </w:r>
      <w:r>
        <w:t xml:space="preserve"> </w:t>
      </w:r>
      <w:r>
        <w:t xml:space="preserve">entity-disjoint discovery/inference protocol yields a validated</w:t>
      </w:r>
      <w:r>
        <w:t xml:space="preserve"> </w:t>
      </w:r>
      <w:r>
        <w:t xml:space="preserve">degradation-chain catalog (Table 7): 115 chains on Kelmarsh and 184 on</w:t>
      </w:r>
      <w:r>
        <w:t xml:space="preserve"> </w:t>
      </w:r>
      <w:r>
        <w:t xml:space="preserve">Penmanshiel pass BY q &lt; 0.05 on the inference half, each with zero</w:t>
      </w:r>
      <w:r>
        <w:t xml:space="preserve"> </w:t>
      </w:r>
      <w:r>
        <w:t xml:space="preserve">control-window hits.</w:t>
      </w:r>
    </w:p>
    <w:p>
      <w:pPr>
        <w:pStyle w:val="TableCaption"/>
      </w:pPr>
      <w:r>
        <w:rPr>
          <w:b/>
          <w:bCs/>
        </w:rPr>
        <w:t xml:space="preserve">Table 7.</w:t>
      </w:r>
      <w:r>
        <w:t xml:space="preserve"> </w:t>
      </w:r>
      <w:r>
        <w:t xml:space="preserve">Validated temporal degradation chains (ordered distinct-code sequences over 24h) on the two wind farms, with median trajectory span, median lead time to the outage, and inference-half support.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Validated temporal degradation chains (ordered distinct-code sequences over 24h) on the two wind farms, with median trajectory span, median lead time to the outage, and inference-half support."/>
      </w:tblPr>
      <w:tblGrid>
        <w:gridCol w:w="617"/>
        <w:gridCol w:w="1954"/>
        <w:gridCol w:w="1337"/>
        <w:gridCol w:w="1337"/>
        <w:gridCol w:w="1028"/>
        <w:gridCol w:w="1028"/>
        <w:gridCol w:w="6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degradation chain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span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ctrl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stop:20 → info:6410 → warning:2550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54/208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stop:20 → info:6410 → warning:2650 → warning:2655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43/208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5e-7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info:0 → stop:20 → warning:2550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42/208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7e-7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warning:9000 → stop:9210 → info:0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144/442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6e-17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info:10 → stop:9210 → info:0 → warning:9000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613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129/442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2e-15</w:t>
            </w:r>
          </w:p>
        </w:tc>
      </w:tr>
    </w:tbl>
    <w:p>
      <w:pPr>
        <w:pStyle w:val="BodyText"/>
      </w:pPr>
      <w:r>
        <w:t xml:space="preserve">Unlike the co-located bursts, these chains unfold over tens of minutes</w:t>
      </w:r>
      <w:r>
        <w:t xml:space="preserve"> </w:t>
      </w:r>
      <w:r>
        <w:t xml:space="preserve">to ten hours and complete a median two-to-four hours before the</w:t>
      </w:r>
      <w:r>
        <w:t xml:space="preserve"> </w:t>
      </w:r>
      <w:r>
        <w:t xml:space="preserve">outage, so they are the operationally actionable signatures: a</w:t>
      </w:r>
      <w:r>
        <w:t xml:space="preserve"> </w:t>
      </w:r>
      <w:r>
        <w:t xml:space="preserve">generator-fan overload on Kelmarsh is preceded by a stop, a status</w:t>
      </w:r>
      <w:r>
        <w:t xml:space="preserve"> </w:t>
      </w:r>
      <w:r>
        <w:t xml:space="preserve">code, and then the fan warning over roughly an hour, three hours</w:t>
      </w:r>
      <w:r>
        <w:t xml:space="preserve"> </w:t>
      </w:r>
      <w:r>
        <w:t xml:space="preserve">ahead of the forced outage. The chain lift equals the inference-half</w:t>
      </w:r>
      <w:r>
        <w:t xml:space="preserve"> </w:t>
      </w:r>
      <w:r>
        <w:t xml:space="preserve">ceiling (all controls clean) at the 2:1 case:control ratio these 24h</w:t>
      </w:r>
      <w:r>
        <w:t xml:space="preserve"> </w:t>
      </w:r>
      <w:r>
        <w:t xml:space="preserve">windows produce.</w:t>
      </w:r>
    </w:p>
    <w:p>
      <w:pPr>
        <w:pStyle w:val="BodyText"/>
      </w:pPr>
      <w:r>
        <w:t xml:space="preserve">Widening the horizon to 72h enlarges the validated catalog to 1,319</w:t>
      </w:r>
      <w:r>
        <w:t xml:space="preserve"> </w:t>
      </w:r>
      <w:r>
        <w:t xml:space="preserve">chains on Kelmarsh and 188 on Penmanshiel and extends the trajectory</w:t>
      </w:r>
      <w:r>
        <w:t xml:space="preserve"> </w:t>
      </w:r>
      <w:r>
        <w:t xml:space="preserve">length: Kelmarsh chains now span up to 46 hours, and on Penmanshiel a</w:t>
      </w:r>
      <w:r>
        <w:t xml:space="preserve"> </w:t>
      </w:r>
      <w:r>
        <w:t xml:space="preserve">safety-stop chain</w:t>
      </w:r>
      <w:r>
        <w:t xml:space="preserve"> </w:t>
      </w:r>
      <w:r>
        <w:rPr>
          <w:rStyle w:val="VerbatimChar"/>
        </w:rPr>
        <w:t xml:space="preserve">system_stop:9210 → system_info:0 → system_stop:455</w:t>
      </w:r>
      <w:r>
        <w:t xml:space="preserve"> </w:t>
      </w:r>
      <w:r>
        <w:t xml:space="preserve">completes a median 19 hours before the outage in 86</w:t>
      </w:r>
      <w:r>
        <w:t xml:space="preserve"> </w:t>
      </w:r>
      <w:r>
        <w:t xml:space="preserve">of 445 inference windows with zero control-window hits, a lead long</w:t>
      </w:r>
      <w:r>
        <w:t xml:space="preserve"> </w:t>
      </w:r>
      <w:r>
        <w:t xml:space="preserve">enough for scheduled maintenance rather than reactive curtailment. The</w:t>
      </w:r>
      <w:r>
        <w:t xml:space="preserve"> </w:t>
      </w:r>
      <w:r>
        <w:t xml:space="preserve">chains remain short in code count (three to four distinct codes) but</w:t>
      </w:r>
      <w:r>
        <w:t xml:space="preserve"> </w:t>
      </w:r>
      <w:r>
        <w:t xml:space="preserve">sparse in time, so the degradation is a slow multi-hour progression of</w:t>
      </w:r>
      <w:r>
        <w:t xml:space="preserve"> </w:t>
      </w:r>
      <w:r>
        <w:t xml:space="preserve">a few marker codes, not a dense burst.</w:t>
      </w:r>
    </w:p>
    <w:p>
      <w:pPr>
        <w:pStyle w:val="BodyText"/>
      </w:pPr>
      <w:r>
        <w:rPr>
          <w:b/>
          <w:bCs/>
        </w:rPr>
        <w:t xml:space="preserve">Cross-farm transfer.</w:t>
      </w:r>
      <w:r>
        <w:t xml:space="preserve"> </w:t>
      </w:r>
      <w:r>
        <w:t xml:space="preserve">Learning the precursor rule on one farm and</w:t>
      </w:r>
      <w:r>
        <w:t xml:space="preserve"> </w:t>
      </w:r>
      <w:r>
        <w:t xml:space="preserve">replaying it, unchanged, on the other (shared Senvion code vocabulary)</w:t>
      </w:r>
      <w:r>
        <w:t xml:space="preserve"> </w:t>
      </w:r>
      <w:r>
        <w:t xml:space="preserve">transfers asymmetrically: a Kelmarsh-trained rule detects 95% of</w:t>
      </w:r>
      <w:r>
        <w:t xml:space="preserve"> </w:t>
      </w:r>
      <w:r>
        <w:t xml:space="preserve">Penmanshiel forced outages (median lead 72 min), while a</w:t>
      </w:r>
      <w:r>
        <w:t xml:space="preserve"> </w:t>
      </w:r>
      <w:r>
        <w:t xml:space="preserve">Penmanshiel-trained rule detects 50% of Kelmarsh outages; the</w:t>
      </w:r>
      <w:r>
        <w:t xml:space="preserve"> </w:t>
      </w:r>
      <w:r>
        <w:t xml:space="preserve">generator-fan code 2650 is among the precursors shared by both farms.</w:t>
      </w:r>
      <w:r>
        <w:t xml:space="preserve"> </w:t>
      </w:r>
      <w:r>
        <w:t xml:space="preserve">The generator-fan family transfers; the Penmanshiel safety-system 9000</w:t>
      </w:r>
      <w:r>
        <w:t xml:space="preserve"> </w:t>
      </w:r>
      <w:r>
        <w:t xml:space="preserve">family, tied to that site’s 2016 commissioning phase, does not, which</w:t>
      </w:r>
      <w:r>
        <w:t xml:space="preserve"> </w:t>
      </w:r>
      <w:r>
        <w:t xml:space="preserve">is consistent with the boundary condition stated in §8.</w:t>
      </w:r>
    </w:p>
    <w:p>
      <w:pPr>
        <w:pStyle w:val="BodyText"/>
      </w:pPr>
      <w:r>
        <w:rPr>
          <w:b/>
          <w:bCs/>
        </w:rPr>
        <w:t xml:space="preserve">Cluster-aware validation.</w:t>
      </w:r>
      <w:r>
        <w:t xml:space="preserve"> </w:t>
      </w:r>
      <w:r>
        <w:t xml:space="preserve">Each wind farm has only a handful of</w:t>
      </w:r>
      <w:r>
        <w:t xml:space="preserve"> </w:t>
      </w:r>
      <w:r>
        <w:t xml:space="preserve">turbines, so the hundreds of windows they generate are clustered and</w:t>
      </w:r>
      <w:r>
        <w:t xml:space="preserve"> </w:t>
      </w:r>
      <w:r>
        <w:t xml:space="preserve">the window-level hypergeometric q-values overstate the population-level</w:t>
      </w:r>
      <w:r>
        <w:t xml:space="preserve"> </w:t>
      </w:r>
      <w:r>
        <w:t xml:space="preserve">evidence. We therefore validate the precursor signatures (pure warning</w:t>
      </w:r>
      <w:r>
        <w:t xml:space="preserve"> </w:t>
      </w:r>
      <w:r>
        <w:t xml:space="preserve">and info-to-stop patterns, with prior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tokens</w:t>
      </w:r>
      <w:r>
        <w:t xml:space="preserve"> </w:t>
      </w:r>
      <w:r>
        <w:t xml:space="preserve">excluded) with two entity-respecting tests on the inference half. A</w:t>
      </w:r>
      <w:r>
        <w:t xml:space="preserve"> </w:t>
      </w:r>
      <w:r>
        <w:rPr>
          <w:b/>
          <w:bCs/>
        </w:rPr>
        <w:t xml:space="preserve">within-turbine label permutation</w:t>
      </w:r>
      <w:r>
        <w:t xml:space="preserve"> </w:t>
      </w:r>
      <w:r>
        <w:t xml:space="preserve">(2,000 permutations that shuffle</w:t>
      </w:r>
      <w:r>
        <w:t xml:space="preserve"> </w:t>
      </w:r>
      <w:r>
        <w:t xml:space="preserve">the failure/control label within each turbine, preserving its clustering</w:t>
      </w:r>
      <w:r>
        <w:t xml:space="preserve"> </w:t>
      </w:r>
      <w:r>
        <w:t xml:space="preserve">and case/control counts) leaves every one of the top 12 precursor</w:t>
      </w:r>
      <w:r>
        <w:t xml:space="preserve"> </w:t>
      </w:r>
      <w:r>
        <w:t xml:space="preserve">signatures significant on both farms after BY correction (permutation</w:t>
      </w:r>
      <w:r>
        <w:t xml:space="preserve"> </w:t>
      </w:r>
      <w:r>
        <w:t xml:space="preserve">q = 0.0016, the floor at 2,000 permutations). A</w:t>
      </w:r>
      <w:r>
        <w:t xml:space="preserve"> </w:t>
      </w:r>
      <w:r>
        <w:rPr>
          <w:b/>
          <w:bCs/>
        </w:rPr>
        <w:t xml:space="preserve">leave-one-turbine-out</w:t>
      </w:r>
      <w:r>
        <w:t xml:space="preserve"> </w:t>
      </w:r>
      <w:r>
        <w:t xml:space="preserve">check finds every one of those signatures still enriched in all held-out</w:t>
      </w:r>
      <w:r>
        <w:t xml:space="preserve"> </w:t>
      </w:r>
      <w:r>
        <w:t xml:space="preserve">folds (3/3 turbines on Kelmarsh, 5/5 on Penmanshiel). Cross-turbine</w:t>
      </w:r>
      <w:r>
        <w:t xml:space="preserve"> </w:t>
      </w:r>
      <w:r>
        <w:t xml:space="preserve">consistency, not a small window-level p-value, is the load-bearing</w:t>
      </w:r>
      <w:r>
        <w:t xml:space="preserve"> </w:t>
      </w:r>
      <w:r>
        <w:t xml:space="preserve">evidence here.</w:t>
      </w:r>
    </w:p>
    <w:p>
      <w:pPr>
        <w:pStyle w:val="BodyText"/>
      </w:pPr>
      <w:r>
        <w:rPr>
          <w:b/>
          <w:bCs/>
        </w:rPr>
        <w:t xml:space="preserve">Prospective alarm replay.</w:t>
      </w:r>
      <w:r>
        <w:t xml:space="preserve"> </w:t>
      </w:r>
      <w:r>
        <w:t xml:space="preserve">To measure deployment value directly</w:t>
      </w:r>
      <w:r>
        <w:t xml:space="preserve"> </w:t>
      </w:r>
      <w:r>
        <w:t xml:space="preserve">rather than infer it from an assumed base rate, we replay each turbine</w:t>
      </w:r>
      <w:r>
        <w:t xml:space="preserve"> </w:t>
      </w:r>
      <w:r>
        <w:t xml:space="preserve">chronologically. A precursor rule (the non-terminal codes whose firing</w:t>
      </w:r>
      <w:r>
        <w:t xml:space="preserve"> </w:t>
      </w:r>
      <w:r>
        <w:t xml:space="preserve">is followed by a forced outage within 24h at more than three times the</w:t>
      </w:r>
      <w:r>
        <w:t xml:space="preserve"> </w:t>
      </w:r>
      <w:r>
        <w:t xml:space="preserve">per-firing base rate) is learned only from the other turbines, then</w:t>
      </w:r>
      <w:r>
        <w:t xml:space="preserve"> </w:t>
      </w:r>
      <w:r>
        <w:t xml:space="preserve">applied to the held-out turbine’s real event stream with a 24h alarm</w:t>
      </w:r>
      <w:r>
        <w:t xml:space="preserve"> </w:t>
      </w:r>
      <w:r>
        <w:t xml:space="preserve">cooldown; an alarm is a true positive if a forced outage follows within</w:t>
      </w:r>
      <w:r>
        <w:t xml:space="preserve"> </w:t>
      </w:r>
      <w:r>
        <w:t xml:space="preserve">24h. The two farms occupy two operating points. On</w:t>
      </w:r>
      <w:r>
        <w:t xml:space="preserve"> </w:t>
      </w:r>
      <w:r>
        <w:rPr>
          <w:b/>
          <w:bCs/>
        </w:rPr>
        <w:t xml:space="preserve">Kelmarsh the rule</w:t>
      </w:r>
      <w:r>
        <w:rPr>
          <w:b/>
          <w:bCs/>
        </w:rPr>
        <w:t xml:space="preserve"> </w:t>
      </w:r>
      <w:r>
        <w:rPr>
          <w:b/>
          <w:bCs/>
        </w:rPr>
        <w:t xml:space="preserve">detects 457 of 482 forced outages (recall 0.95) at a median lead of</w:t>
      </w:r>
      <w:r>
        <w:rPr>
          <w:b/>
          <w:bCs/>
        </w:rPr>
        <w:t xml:space="preserve"> </w:t>
      </w:r>
      <w:r>
        <w:rPr>
          <w:b/>
          <w:bCs/>
        </w:rPr>
        <w:t xml:space="preserve">3.3 hours</w:t>
      </w:r>
      <w:r>
        <w:t xml:space="preserve"> </w:t>
      </w:r>
      <w:r>
        <w:t xml:space="preserve">(68% of detections at least 1h early, 43% at least 6h),</w:t>
      </w:r>
      <w:r>
        <w:t xml:space="preserve"> </w:t>
      </w:r>
      <w:r>
        <w:t xml:space="preserve">at precision 0.20 and 2.7 false alarms per turbine-month. On</w:t>
      </w:r>
      <w:r>
        <w:t xml:space="preserve"> </w:t>
      </w:r>
      <w:r>
        <w:rPr>
          <w:b/>
          <w:bCs/>
        </w:rPr>
        <w:t xml:space="preserve">Penmanshiel it runs at precision 0.78 and 0.31 false alarms per</w:t>
      </w:r>
      <w:r>
        <w:rPr>
          <w:b/>
          <w:bCs/>
        </w:rPr>
        <w:t xml:space="preserve"> </w:t>
      </w:r>
      <w:r>
        <w:rPr>
          <w:b/>
          <w:bCs/>
        </w:rPr>
        <w:t xml:space="preserve">turbine-month</w:t>
      </w:r>
      <w:r>
        <w:t xml:space="preserve">, detecting half the outages (recall 0.50) at a shorter</w:t>
      </w:r>
      <w:r>
        <w:t xml:space="preserve"> </w:t>
      </w:r>
      <w:r>
        <w:t xml:space="preserve">median lead of 5.7 minutes. This is a measured prospective result: the</w:t>
      </w:r>
      <w:r>
        <w:t xml:space="preserve"> </w:t>
      </w:r>
      <w:r>
        <w:t xml:space="preserve">Kelmarsh generator-fan cascade gives hours of actionable warning at a</w:t>
      </w:r>
      <w:r>
        <w:t xml:space="preserve"> </w:t>
      </w:r>
      <w:r>
        <w:t xml:space="preserve">tolerable alarm burden, while the Penmanshiel safety-system cascade is</w:t>
      </w:r>
      <w:r>
        <w:t xml:space="preserve"> </w:t>
      </w:r>
      <w:r>
        <w:t xml:space="preserve">precise but fires close to the outage.</w:t>
      </w:r>
    </w:p>
    <w:bookmarkEnd w:id="52"/>
    <w:bookmarkStart w:id="53" w:name="Xae0c354666545c52f18ecbdee1c0773e2af72f4"/>
    <w:p>
      <w:pPr>
        <w:pStyle w:val="Heading3"/>
      </w:pPr>
      <w:r>
        <w:t xml:space="preserve">6.5 Baseline comparison and closed-signature deduplication</w:t>
      </w:r>
    </w:p>
    <w:p>
      <w:pPr>
        <w:pStyle w:val="FirstParagraph"/>
      </w:pPr>
      <w:r>
        <w:t xml:space="preserve">The lift-4.00 zero-control rows above are benchmarked against three</w:t>
      </w:r>
      <w:r>
        <w:t xml:space="preserve"> </w:t>
      </w:r>
      <w:r>
        <w:t xml:space="preserve">baselines, each evaluated on the same entity-disjoint inference half: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p>
      <w:pPr>
        <w:pStyle w:val="TableCaption"/>
      </w:pPr>
      <w:r>
        <w:rPr>
          <w:b/>
          <w:bCs/>
        </w:rPr>
        <w:t xml:space="preserve">Table 8.</w:t>
      </w:r>
      <w:r>
        <w:t xml:space="preserve"> </w:t>
      </w:r>
      <w:r>
        <w:t xml:space="preserve">Baseline comparison on the wind farms: the mined-itemset rule against most-recent-event and event-count baselines.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Baseline comparison on the wind farms: the mined-itemset rule against most-recent-event and event-count baselines.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(~1.3×)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The comparison establishes</w:t>
      </w:r>
      <w:r>
        <w:t xml:space="preserve"> </w:t>
      </w:r>
      <w:r>
        <w:t xml:space="preserve">that a mined signature carries information the strongest pattern-free</w:t>
      </w:r>
      <w:r>
        <w:t xml:space="preserve"> </w:t>
      </w:r>
      <w:r>
        <w:t xml:space="preserve">rule does not.</w:t>
      </w:r>
    </w:p>
    <w:p>
      <w:pPr>
        <w:pStyle w:val="BodyText"/>
      </w:pPr>
      <w:r>
        <w:rPr>
          <w:b/>
          <w:bCs/>
        </w:rPr>
        <w:t xml:space="preserve">Closed itemsets and redundancy.</w:t>
      </w:r>
      <w:r>
        <w:t xml:space="preserve"> </w:t>
      </w:r>
      <w:r>
        <w:t xml:space="preserve">The 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</w:t>
      </w:r>
      <w:r>
        <w:t xml:space="preserve"> </w:t>
      </w:r>
      <w:r>
        <w:t xml:space="preserve">returns 136 itemsets, many of them sub- or supersets of the same</w:t>
      </w:r>
      <w:r>
        <w:t xml:space="preserve"> </w:t>
      </w:r>
      <w:r>
        <w:t xml:space="preserve">underlying cascade. The LCM closed-itemset filter (support-strict</w:t>
      </w:r>
      <w:r>
        <w:t xml:space="preserve"> </w:t>
      </w:r>
      <w:r>
        <w:t xml:space="preserve">maximality) reduces this to the closed subset used for the deployable</w:t>
      </w:r>
      <w:r>
        <w:t xml:space="preserve"> </w:t>
      </w:r>
      <w:r>
        <w:t xml:space="preserve">catalog rows above; the signature table cites only patterns that are</w:t>
      </w:r>
      <w:r>
        <w:t xml:space="preserve"> </w:t>
      </w:r>
      <w:r>
        <w:t xml:space="preserve">also closed, so no finding is a redundant super-copy of another. The</w:t>
      </w:r>
      <w:r>
        <w:t xml:space="preserve"> </w:t>
      </w:r>
      <w:r>
        <w:t xml:space="preserve">operative count is the number of BY-significant closed itemsets on</w:t>
      </w:r>
      <w:r>
        <w:t xml:space="preserve"> </w:t>
      </w:r>
      <w:r>
        <w:t xml:space="preserve">the inference half, not the raw miner output.</w:t>
      </w:r>
    </w:p>
    <w:bookmarkEnd w:id="53"/>
    <w:bookmarkStart w:id="54" w:name="X440c656fb7d773359d66b076a99a88b700cb867"/>
    <w:p>
      <w:pPr>
        <w:pStyle w:val="Heading3"/>
      </w:pPr>
      <w:r>
        <w:t xml:space="preserve">6.6 Case-control ratio and posterior at the operational base rate</w:t>
      </w:r>
    </w:p>
    <w:p>
      <w:pPr>
        <w:pStyle w:val="FirstParagraph"/>
      </w:pPr>
      <w:r>
        <w:t xml:space="preserve">Every discovery/inference signature table is scored on a</w:t>
      </w:r>
      <w:r>
        <w:t xml:space="preserve"> </w:t>
      </w:r>
      <w:r>
        <w:t xml:space="preserve">matched-control sample built at case:control = 1:3, so the pipeline’s</w:t>
      </w:r>
      <w:r>
        <w:t xml:space="preserve"> </w:t>
      </w:r>
      <w:r>
        <w:t xml:space="preserve">sample base rate is P(fail) = 0.25 by construction, and the precision</w:t>
      </w:r>
      <w:r>
        <w:t xml:space="preserve"> </w:t>
      </w:r>
      <w:r>
        <w:t xml:space="preserve">numbers of Table 8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scenario PPV each rule delivers under an assumed 1% deployment prevalence (Table 9):</w:t>
      </w:r>
    </w:p>
    <w:p>
      <w:pPr>
        <w:pStyle w:val="TableCaption"/>
      </w:pPr>
      <w:r>
        <w:rPr>
          <w:b/>
          <w:bCs/>
        </w:rPr>
        <w:t xml:space="preserve">Table 9.</w:t>
      </w:r>
      <w:r>
        <w:t xml:space="preserve"> </w:t>
      </w:r>
      <w:r>
        <w:t xml:space="preserve">Calibrated positive predictive value at the sample and operational base rates.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9. Calibrated positive predictive value at the sample and operational base rates.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20×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~1.5×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decision is dataset-specific; neither the sample precision</w:t>
      </w:r>
      <w:r>
        <w:t xml:space="preserve"> </w:t>
      </w:r>
      <w:r>
        <w:t xml:space="preserve">of 0.89 nor the operational PPV of 0.20 suffices alone.</w:t>
      </w:r>
    </w:p>
    <w:bookmarkEnd w:id="54"/>
    <w:bookmarkStart w:id="55" w:name="X5f409ab5bc0cacb368394f2fe592924467a43a9"/>
    <w:p>
      <w:pPr>
        <w:pStyle w:val="Heading3"/>
      </w:pPr>
      <w:r>
        <w:t xml:space="preserve">6.7 Signature catalog: cloud, HPC, and automotive traces</w:t>
      </w:r>
    </w:p>
    <w:p>
      <w:pPr>
        <w:pStyle w:val="FirstParagraph"/>
      </w:pPr>
      <w:r>
        <w:t xml:space="preserve">The catalog of §6.4 resumes with the four traces beyond the two wind</w:t>
      </w:r>
      <w:r>
        <w:t xml:space="preserve"> </w:t>
      </w:r>
      <w:r>
        <w:t xml:space="preserve">farms. Each entry carries the same evidence structure: mined patterns,</w:t>
      </w:r>
      <w:r>
        <w:t xml:space="preserve"> </w:t>
      </w:r>
      <w:r>
        <w:t xml:space="preserve">inference-half lift and BY q, and the intended deployment rule.</w:t>
      </w:r>
    </w:p>
    <w:p>
      <w:pPr>
        <w:pStyle w:val="BodyText"/>
      </w:pPr>
      <w:r>
        <w:rPr>
          <w:b/>
          <w:bCs/>
        </w:rPr>
        <w:t xml:space="preserve">Azure PdM</w:t>
      </w:r>
      <w:r>
        <w:t xml:space="preserve"> </w:t>
      </w:r>
      <w:r>
        <w:t xml:space="preserve">(Table 10).</w:t>
      </w:r>
    </w:p>
    <w:p>
      <w:pPr>
        <w:pStyle w:val="TableCaption"/>
      </w:pPr>
      <w:r>
        <w:rPr>
          <w:b/>
          <w:bCs/>
        </w:rPr>
        <w:t xml:space="preserve">Table 10.</w:t>
      </w:r>
      <w:r>
        <w:t xml:space="preserve"> </w:t>
      </w:r>
      <w:r>
        <w:t xml:space="preserve">Top Azure PdM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0. Top Azure PdM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 the synthetic Azure PdM generator,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is</w:t>
      </w:r>
      <w:r>
        <w:rPr>
          <w:b/>
          <w:bCs/>
        </w:rPr>
        <w:t xml:space="preserve"> </w:t>
      </w:r>
      <w:r>
        <w:rPr>
          <w:b/>
          <w:bCs/>
        </w:rPr>
        <w:t xml:space="preserve">strongly enriched in failure windows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 occurrences in the 1,113 control windows on the 24h inference</w:t>
      </w:r>
      <w:r>
        <w:t xml:space="preserve"> </w:t>
      </w:r>
      <w:r>
        <w:t xml:space="preserve">half, which makes it a high-specificity candidate rule on this</w:t>
      </w:r>
      <w:r>
        <w:t xml:space="preserve"> </w:t>
      </w:r>
      <w:r>
        <w:t xml:space="preserve">inference sample and motivates prospective replay.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 (illustrative, on synthetic Azure PdM data): an alarm rule would</w:t>
      </w:r>
      <w:r>
        <w:t xml:space="preserve"> </w:t>
      </w:r>
      <w:r>
        <w:t xml:space="preserve">raise a component-replacement work order whenever a machine’s log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 window, escalating</w:t>
      </w:r>
      <w:r>
        <w:t xml:space="preserve"> </w:t>
      </w:r>
      <w:r>
        <w:t xml:space="preserve">faster for the direction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 The near-perfect</w:t>
      </w:r>
      <w:r>
        <w:t xml:space="preserve"> </w:t>
      </w:r>
      <w:r>
        <w:t xml:space="preserve">separation here is partly a property of the synthetic generator.</w:t>
      </w:r>
    </w:p>
    <w:p>
      <w:pPr>
        <w:pStyle w:val="BodyText"/>
      </w:pPr>
      <w:r>
        <w:rPr>
          <w:b/>
          <w:bCs/>
        </w:rPr>
        <w:t xml:space="preserve">Alibaba cluster-trace-v2018</w:t>
      </w:r>
      <w:r>
        <w:t xml:space="preserve"> </w:t>
      </w:r>
      <w:r>
        <w:t xml:space="preserve">(Table 11).</w:t>
      </w:r>
    </w:p>
    <w:p>
      <w:pPr>
        <w:pStyle w:val="TableCaption"/>
      </w:pPr>
      <w:r>
        <w:rPr>
          <w:b/>
          <w:bCs/>
        </w:rPr>
        <w:t xml:space="preserve">Table 11.</w:t>
      </w:r>
      <w:r>
        <w:t xml:space="preserve"> </w:t>
      </w:r>
      <w:r>
        <w:t xml:space="preserve">Top Alibaba cluster-trace signatures on the inference half.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. Top Alibaba cluster-trace signatures on the inference half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 Reduce task entering Waiting state is the dominant</w:t>
      </w:r>
      <w:r>
        <w:rPr>
          <w:b/>
          <w:bCs/>
        </w:rPr>
        <w:t xml:space="preserve"> </w:t>
      </w:r>
      <w:r>
        <w:rPr>
          <w:b/>
          <w:bCs/>
        </w:rPr>
        <w:t xml:space="preserve">single marker of subsequent job failure</w:t>
      </w:r>
      <w:r>
        <w:t xml:space="preserve">. The near-certain posterior</w:t>
      </w:r>
      <w:r>
        <w:t xml:space="preserve"> </w:t>
      </w:r>
      <w:r>
        <w:t xml:space="preserve">holds at the 1:3 sample base rate; the operational posterior is lower</w:t>
      </w:r>
      <w:r>
        <w:t xml:space="preserve"> </w:t>
      </w:r>
      <w:r>
        <w:t xml:space="preserve">and base-rate dependent (§6.9). Longer patterns add no signal beyond</w:t>
      </w:r>
      <w:r>
        <w:t xml:space="preserve"> </w:t>
      </w:r>
      <w:r>
        <w:t xml:space="preserve">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, and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reading holds.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  <w:r>
        <w:t xml:space="preserve"> </w:t>
      </w:r>
      <w:r>
        <w:t xml:space="preserve">Patterns are</w:t>
      </w:r>
      <w:r>
        <w:t xml:space="preserve"> </w:t>
      </w:r>
      <w:r>
        <w:t xml:space="preserve">selected on a discovery half and estimated on a disjoint inference</w:t>
      </w:r>
      <w:r>
        <w:t xml:space="preserve"> </w:t>
      </w:r>
      <w:r>
        <w:t xml:space="preserve">half (§6.11); the top five inference-half hazard ratios are listed</w:t>
      </w:r>
      <w:r>
        <w:t xml:space="preserve"> </w:t>
      </w:r>
      <w:r>
        <w:t xml:space="preserve">with full confidence intervals in Table 14. The headline signature</w:t>
      </w:r>
      <w:r>
        <w:t xml:space="preserve"> </w:t>
      </w:r>
      <w:r>
        <w:rPr>
          <w:rStyle w:val="VerbatimChar"/>
        </w:rPr>
        <w:t xml:space="preserve">counter_surprise:397_{10, 22}</w:t>
      </w:r>
      <w:r>
        <w:t xml:space="preserve"> </w:t>
      </w:r>
      <w:r>
        <w:t xml:space="preserve">has matched HR 1.60 (95% CI</w:t>
      </w:r>
      <w:r>
        <w:t xml:space="preserve"> </w:t>
      </w:r>
      <w:r>
        <w:t xml:space="preserve">[1.35, 1.91]).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The only pattern that survives the post-selection-valid BY q &lt; 0.05</w:t>
      </w:r>
      <w:r>
        <w:t xml:space="preserve"> </w:t>
      </w:r>
      <w:r>
        <w:t xml:space="preserve">test on any horizon is the fatal-error marker</w:t>
      </w:r>
      <w:r>
        <w:t xml:space="preserve"> </w:t>
      </w:r>
      <w:r>
        <w:rPr>
          <w:rStyle w:val="VerbatimChar"/>
        </w:rPr>
        <w:t xml:space="preserve">system_error:RAS:FATAL</w:t>
      </w:r>
      <w:r>
        <w:t xml:space="preserve">,</w:t>
      </w:r>
      <w:r>
        <w:t xml:space="preserve"> </w:t>
      </w:r>
      <w:r>
        <w:t xml:space="preserve">and only at inference-half lift 1.16 (680 of 3,602 failure windows vs</w:t>
      </w:r>
      <w:r>
        <w:t xml:space="preserve"> </w:t>
      </w:r>
      <w:r>
        <w:t xml:space="preserve">1,677 of 10,830 controls). No pattern reaches the catalog’s</w:t>
      </w:r>
      <w:r>
        <w:t xml:space="preserve"> </w:t>
      </w:r>
      <w:r>
        <w:t xml:space="preserve">decision-rule strength, and the surviving marker is a severity token</w:t>
      </w:r>
      <w:r>
        <w:t xml:space="preserve"> </w:t>
      </w:r>
      <w:r>
        <w:t xml:space="preserve">of the cascade itself, not an upstream non-alert precursor.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deployable predictive information about the first alert of</w:t>
      </w:r>
      <w:r>
        <w:t xml:space="preserve"> </w:t>
      </w:r>
      <w:r>
        <w:t xml:space="preserve">the next cascade. This is a different question from the one deep-learning log</w:t>
      </w:r>
      <w:r>
        <w:t xml:space="preserve"> </w:t>
      </w:r>
      <w:r>
        <w:t xml:space="preserve">anomaly detectors answer on BGL (DeepLog, LogBERT, and related methods</w:t>
      </w:r>
      <w:r>
        <w:t xml:space="preserve"> </w:t>
      </w:r>
      <w:r>
        <w:t xml:space="preserve">flag anomalous alert lines themselves); here the task is whether the</w:t>
      </w:r>
      <w:r>
        <w:t xml:space="preserve"> </w:t>
      </w:r>
      <w:r>
        <w:t xml:space="preserve">non-alert stream predicts the first alert of the next episode, and on</w:t>
      </w:r>
      <w:r>
        <w:t xml:space="preserve"> </w:t>
      </w:r>
      <w:r>
        <w:t xml:space="preserve">BGL it does not.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Sections 6.8 through 6.12 present the aggregate evidence behind these</w:t>
      </w:r>
      <w:r>
        <w:t xml:space="preserve"> </w:t>
      </w:r>
      <w:r>
        <w:t xml:space="preserve">signatures: the predictive-vs-frequent-noise separation (§6.8),</w:t>
      </w:r>
      <w:r>
        <w:t xml:space="preserve"> </w:t>
      </w:r>
      <w:r>
        <w:t xml:space="preserve">post-selection-valid sequence significance (§6.9), the same-sample</w:t>
      </w:r>
      <w:r>
        <w:t xml:space="preserve"> </w:t>
      </w:r>
      <w:r>
        <w:t xml:space="preserve">marginal baseline (§6.10), the SCANIA matched hazard-ratio analysis</w:t>
      </w:r>
      <w:r>
        <w:t xml:space="preserve"> </w:t>
      </w:r>
      <w:r>
        <w:t xml:space="preserve">(§6.11), and lead time on true positives (§6.12).</w:t>
      </w:r>
    </w:p>
    <w:bookmarkEnd w:id="55"/>
    <w:bookmarkStart w:id="56" w:name="X44aeb5833a19b6d32b8998867e975190f65e5f8"/>
    <w:p>
      <w:pPr>
        <w:pStyle w:val="Heading3"/>
      </w:pPr>
      <w:r>
        <w:t xml:space="preserve">6.8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 Table 12 covers the</w:t>
      </w:r>
      <w:r>
        <w:t xml:space="preserve"> </w:t>
      </w:r>
      <w:r>
        <w:t xml:space="preserve">four non-wind traces; the two wind farms carry the same analysis with</w:t>
      </w:r>
      <w:r>
        <w:t xml:space="preserve"> </w:t>
      </w:r>
      <w:r>
        <w:t xml:space="preserve">the catalog in §6.4 (Kelmarsh 30/35 and Penmanshiel 27/30</w:t>
      </w:r>
      <w:r>
        <w:t xml:space="preserve"> </w:t>
      </w:r>
      <w:r>
        <w:t xml:space="preserve">BY-significant itemsets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).</w:t>
      </w:r>
    </w:p>
    <w:p>
      <w:pPr>
        <w:pStyle w:val="TableCaption"/>
      </w:pPr>
      <w:r>
        <w:rPr>
          <w:b/>
          <w:bCs/>
        </w:rPr>
        <w:t xml:space="preserve">Table 12.</w:t>
      </w:r>
      <w:r>
        <w:t xml:space="preserve"> </w:t>
      </w:r>
      <w:r>
        <w:t xml:space="preserve">Post-selection-valid itemset significance by trace and horizon on the discovery/inference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2. Post-selection-valid itemset significance by trace and horizon on the discovery/inference split.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Post-selection-valid inference has two visible consequences.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 fraction drops from 66% (naive) to 30% (BY-corrected</w:t>
      </w:r>
      <w:r>
        <w:t xml:space="preserve"> </w:t>
      </w:r>
      <w:r>
        <w:t xml:space="preserve">on 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37,797-pattern discovery-half mining run at</w:t>
      </w:r>
      <w:r>
        <w:t xml:space="preserve"> </w:t>
      </w:r>
      <w:r>
        <w:t xml:space="preserve">minimum support 0.05 does not survive an honest inference test. Both direction and</w:t>
      </w:r>
      <w:r>
        <w:t xml:space="preserve"> </w:t>
      </w:r>
      <w:r>
        <w:t xml:space="preserve">magnitude of these shifts match the pre-specified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A permuted-label stress test confirms that the split, and not merely</w:t>
      </w:r>
      <w:r>
        <w:t xml:space="preserve"> </w:t>
      </w:r>
      <w:r>
        <w:t xml:space="preserve">the FDR correction, is what controls error.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</w:t>
      </w:r>
      <w:r>
        <w:t xml:space="preserve"> </w:t>
      </w:r>
      <w:r>
        <w:t xml:space="preserve">same 79-candidate set validated three ways yields a similar number of</w:t>
      </w:r>
      <w:r>
        <w:t xml:space="preserve"> </w:t>
      </w:r>
      <w:r>
        <w:t xml:space="preserve">discoveries on the real labels (naive same-sample BH 55; our</w:t>
      </w:r>
      <w:r>
        <w:t xml:space="preserve"> </w:t>
      </w:r>
      <w:r>
        <w:t xml:space="preserve">discovery/inference split 52; Westfall-Young minP FWER 52), but under</w:t>
      </w:r>
      <w:r>
        <w:t xml:space="preserve"> </w:t>
      </w:r>
      <w:r>
        <w:t xml:space="preserve">20 label permutations that destroy all signal the naive same-sample</w:t>
      </w:r>
      <w:r>
        <w:t xml:space="preserve"> </w:t>
      </w:r>
      <w:r>
        <w:t xml:space="preserve">BH still reports false discoveries (mean 0.3, up to 6 in a single</w:t>
      </w:r>
      <w:r>
        <w:t xml:space="preserve"> </w:t>
      </w:r>
      <w:r>
        <w:t xml:space="preserve">permutation) whereas the discovery/inference split reports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(mean 0, maximum 0), matching the family-wise-error-controlled</w:t>
      </w:r>
      <w:r>
        <w:t xml:space="preserve"> </w:t>
      </w:r>
      <w:r>
        <w:t xml:space="preserve">Westfall-Young procedure. The split therefore buys honest error</w:t>
      </w:r>
      <w:r>
        <w:t xml:space="preserve"> </w:t>
      </w:r>
      <w:r>
        <w:t xml:space="preserve">control at almost no loss of real-label power.</w:t>
      </w:r>
    </w:p>
    <w:p>
      <w:pPr>
        <w:pStyle w:val="BodyText"/>
      </w:pPr>
      <w:r>
        <w:t xml:space="preserve">The validated catalog is also stable across the choice of split. Over</w:t>
      </w:r>
      <w:r>
        <w:t xml:space="preserve"> </w:t>
      </w:r>
      <w:r>
        <w:t xml:space="preserve">20 repeated entity-disjoint partitions (30 for Penmanshiel, and all</w:t>
      </w:r>
      <w:r>
        <w:t xml:space="preserve"> </w:t>
      </w:r>
      <w:r>
        <w:t xml:space="preserve">balanced turbine partitions for the wind farms), the headline</w:t>
      </w:r>
      <w:r>
        <w:t xml:space="preserve"> </w:t>
      </w:r>
      <w:r>
        <w:t xml:space="preserve">signature is selected in every split on five of the six traces (20/20</w:t>
      </w:r>
      <w:r>
        <w:t xml:space="preserve"> </w:t>
      </w:r>
      <w:r>
        <w:t xml:space="preserve">on Azure, Alibaba, SCANIA and Kelmarsh; 30/30 on Penmanshiel) and in</w:t>
      </w:r>
      <w:r>
        <w:t xml:space="preserve"> </w:t>
      </w:r>
      <w:r>
        <w:t xml:space="preserve">16 of 20 splits on BGL, the significant fraction varies only within a</w:t>
      </w:r>
      <w:r>
        <w:t xml:space="preserve"> </w:t>
      </w:r>
      <w:r>
        <w:t xml:space="preserve">narrow band (for</w:t>
      </w:r>
      <w:r>
        <w:t xml:space="preserve"> </w:t>
      </w:r>
      <w:r>
        <w:t xml:space="preserve">example Kelmarsh median 0.63, IQR [0.44, 0.71]; Penmanshiel median</w:t>
      </w:r>
      <w:r>
        <w:t xml:space="preserve"> </w:t>
      </w:r>
      <w:r>
        <w:t xml:space="preserve">0.79, IQR [0.76, 0.82]), and the mean pairwise Jaccard overlap of the</w:t>
      </w:r>
      <w:r>
        <w:t xml:space="preserve"> </w:t>
      </w:r>
      <w:r>
        <w:t xml:space="preserve">validated catalogs ranges from 0.65 (SCANIA, BGL) to 0.93 (Alibaba),</w:t>
      </w:r>
      <w:r>
        <w:t xml:space="preserve"> </w:t>
      </w:r>
      <w:r>
        <w:t xml:space="preserve">with both wind farms above 0.79. A single seeded split is therefore</w:t>
      </w:r>
      <w:r>
        <w:t xml:space="preserve"> </w:t>
      </w:r>
      <w:r>
        <w:t xml:space="preserve">not a fragile basis for the headline signatures.</w:t>
      </w:r>
    </w:p>
    <w:p>
      <w:pPr>
        <w:pStyle w:val="BodyText"/>
      </w:pPr>
      <w:r>
        <w:t xml:space="preserve">The Azure and Alibaba results persist in weaker but still substantive</w:t>
      </w:r>
      <w:r>
        <w:t xml:space="preserve"> </w:t>
      </w:r>
      <w:r>
        <w:t xml:space="preserve">form 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§6.11 instead. On Azure and Alibaba</w:t>
      </w:r>
      <w:r>
        <w:t xml:space="preserve"> </w:t>
      </w:r>
      <w:r>
        <w:t xml:space="preserve">the majority of frequent patterns are also predictive; on BGL and</w:t>
      </w:r>
      <w:r>
        <w:t xml:space="preserve"> </w:t>
      </w:r>
      <w:r>
        <w:t xml:space="preserve">SCANIA the majority are frequent-but-noise, and the paper’s concrete</w:t>
      </w:r>
      <w:r>
        <w:t xml:space="preserve"> </w:t>
      </w:r>
      <w:r>
        <w:t xml:space="preserve">predictive-pattern list is short.</w:t>
      </w:r>
    </w:p>
    <w:bookmarkEnd w:id="56"/>
    <w:bookmarkStart w:id="57" w:name="Xa182019db5c06219c287e242249f191e21aa0df"/>
    <w:p>
      <w:pPr>
        <w:pStyle w:val="Heading3"/>
      </w:pPr>
      <w:r>
        <w:t xml:space="preserve">6.9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 (Table 13).</w:t>
      </w:r>
    </w:p>
    <w:p>
      <w:pPr>
        <w:pStyle w:val="TableCaption"/>
      </w:pPr>
      <w:r>
        <w:rPr>
          <w:b/>
          <w:bCs/>
        </w:rPr>
        <w:t xml:space="preserve">Table 13.</w:t>
      </w:r>
      <w:r>
        <w:t xml:space="preserve"> </w:t>
      </w:r>
      <w:r>
        <w:t xml:space="preserve">Post-selection-valid sequence significance by trace and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3. Post-selection-valid sequence significance by trace and horizon.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mirrors the itemset finding under the same split:</w:t>
      </w:r>
      <w:r>
        <w:t xml:space="preserve"> </w:t>
      </w:r>
      <w:r>
        <w:t xml:space="preserve">sequences carry a large post-selection-valid signal on Azure</w:t>
      </w:r>
      <w:r>
        <w:t xml:space="preserve"> </w:t>
      </w:r>
      <w:r>
        <w:t xml:space="preserve">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 and a moderate one on Alibaba</w:t>
      </w:r>
      <w:r>
        <w:t xml:space="preserve"> </w:t>
      </w:r>
      <w:r>
        <w:t xml:space="preserve">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On BGL and SCANIA the significant fraction</w:t>
      </w:r>
      <w:r>
        <w:t xml:space="preserve"> </w:t>
      </w:r>
      <w:r>
        <w:t xml:space="preserve">collapses as longer horizons expand the candidate space faster than</w:t>
      </w:r>
      <w:r>
        <w:t xml:space="preserve"> </w:t>
      </w:r>
      <w:r>
        <w:t xml:space="preserve">the signal 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</w:t>
      </w:r>
      <w:r>
        <w:t xml:space="preserve"> </w:t>
      </w:r>
      <w:r>
        <w:t xml:space="preserve">run reduces to 3 BY-significant sequences, a strong</w:t>
      </w:r>
      <w:r>
        <w:t xml:space="preserve"> </w:t>
      </w:r>
      <w:r>
        <w:t xml:space="preserve">post-selection-inflation 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</w:t>
      </w:r>
      <w:r>
        <w:t xml:space="preserve"> </w:t>
      </w:r>
      <w:r>
        <w:t xml:space="preserve">[</w:t>
      </w:r>
      <w:hyperlink w:anchor="ref-yan2003clospan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, as implemented in SPMF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at the same 5% minimum support: a closed sequential pattern is one</w:t>
      </w:r>
      <w:r>
        <w:t xml:space="preserve"> </w:t>
      </w:r>
      <w:r>
        <w:t xml:space="preserve">whose support is strictly larger 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57"/>
    <w:bookmarkStart w:id="58" w:name="X39b99ab144b8766ac518ecf770687bbc49b8129"/>
    <w:p>
      <w:pPr>
        <w:pStyle w:val="Heading3"/>
      </w:pPr>
      <w:r>
        <w:t xml:space="preserve">6.10 Formal significance (same-sample marginal counts)</w:t>
      </w:r>
    </w:p>
    <w:p>
      <w:pPr>
        <w:pStyle w:val="FirstParagraph"/>
      </w:pPr>
      <w:r>
        <w:t xml:space="preserve">The same-sample BH counts (mining and testing on the full training</w:t>
      </w:r>
      <w:r>
        <w:t xml:space="preserve"> </w:t>
      </w:r>
      <w:r>
        <w:t xml:space="preserve">sample) quantify the post-selection inflation that the §4.5</w:t>
      </w:r>
      <w:r>
        <w:t xml:space="preserve"> </w:t>
      </w:r>
      <w:r>
        <w:t xml:space="preserve">discovery/inference design removes: they are the naive marginal-p</w:t>
      </w:r>
      <w:r>
        <w:t xml:space="preserve"> </w:t>
      </w:r>
      <w:r>
        <w:t xml:space="preserve">baseline, and the gap between them and the post-selection-valid</w:t>
      </w:r>
      <w:r>
        <w:t xml:space="preserve"> </w:t>
      </w:r>
      <w:r>
        <w:t xml:space="preserve">counts in §6.8 and §6.9 is the size of the selection artefact. At</w:t>
      </w:r>
      <w:r>
        <w:t xml:space="preserve"> </w:t>
      </w:r>
      <w:r>
        <w:t xml:space="preserve">BH q &lt; 0.05: every Azure 24h</w:t>
      </w:r>
      <w:r>
        <w:t xml:space="preserve"> </w:t>
      </w:r>
      <w:r>
        <w:t xml:space="preserve">itemset (6/6) and every Azure 24h sequence (7/7) is significant;</w:t>
      </w:r>
      <w:r>
        <w:t xml:space="preserve"> </w:t>
      </w:r>
      <w:r>
        <w:t xml:space="preserve">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 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</w:t>
      </w:r>
      <w:r>
        <w:t xml:space="preserve"> </w:t>
      </w:r>
      <w:r>
        <w:t xml:space="preserve">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 Both 1h and 6h Azure horizons</w:t>
      </w:r>
      <w:r>
        <w:t xml:space="preserve"> </w:t>
      </w:r>
      <w:r>
        <w:t xml:space="preserve">flag zero patterns as expected (0/3 sequences at 1h, 0/5 at 6h). On</w:t>
      </w:r>
      <w:r>
        <w:t xml:space="preserve"> </w:t>
      </w:r>
      <w:r>
        <w:t xml:space="preserve">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 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8"/>
    <w:bookmarkStart w:id="59" w:name="X9089ac7c4740497ca2f8946257a25d0f4921163"/>
    <w:p>
      <w:pPr>
        <w:pStyle w:val="Heading3"/>
      </w:pPr>
      <w:r>
        <w:t xml:space="preserve">6.11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minimum 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To avoid selecting the tested family with the outcome, we use a</w:t>
      </w:r>
      <w:r>
        <w:t xml:space="preserve"> </w:t>
      </w:r>
      <w:r>
        <w:t xml:space="preserve">strict two-stage design that matches the paper’s own post-selection</w:t>
      </w:r>
      <w:r>
        <w:t xml:space="preserve"> </w:t>
      </w:r>
      <w:r>
        <w:t xml:space="preserve">discipline: the 2,272 matched sets are split 50/50 into a discovery</w:t>
      </w:r>
      <w:r>
        <w:t xml:space="preserve"> </w:t>
      </w:r>
      <w:r>
        <w:t xml:space="preserve">and an inference half; the top-200 patterns are ranked by</w:t>
      </w:r>
      <w:r>
        <w:t xml:space="preserve"> </w:t>
      </w:r>
      <w:r>
        <w:rPr>
          <w:b/>
          <w:bCs/>
        </w:rPr>
        <w:t xml:space="preserve">discovery-half case-hit count only</w:t>
      </w:r>
      <w:r>
        <w:t xml:space="preserve">, and those 200 fixed patterns</w:t>
      </w:r>
      <w:r>
        <w:t xml:space="preserve"> </w:t>
      </w:r>
      <w:r>
        <w:t xml:space="preserve">are then estimated on the</w:t>
      </w:r>
      <w:r>
        <w:t xml:space="preserve"> </w:t>
      </w:r>
      <w:r>
        <w:rPr>
          <w:b/>
          <w:bCs/>
        </w:rPr>
        <w:t xml:space="preserve">inference half</w:t>
      </w:r>
      <w:r>
        <w:t xml:space="preserve"> </w:t>
      </w:r>
      <w:r>
        <w:t xml:space="preserve">via conditional logistic</w:t>
      </w:r>
      <w:r>
        <w:t xml:space="preserve"> </w:t>
      </w:r>
      <w:r>
        <w:t xml:space="preserve">regression stratified by matched set 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inference half,</w:t>
      </w:r>
      <w:r>
        <w:t xml:space="preserve"> </w:t>
      </w:r>
      <w:r>
        <w:rPr>
          <w:b/>
          <w:bCs/>
        </w:rPr>
        <w:t xml:space="preserve">93 of 200</w:t>
      </w:r>
      <w:r>
        <w:rPr>
          <w:b/>
          <w:bCs/>
        </w:rPr>
        <w:t xml:space="preserve"> </w:t>
      </w:r>
      <w:r>
        <w:rPr>
          <w:b/>
          <w:bCs/>
        </w:rPr>
        <w:t xml:space="preserve">pass the joint criterion HR CI excludes 1 AND BH q &lt; 0.05, and 74</w:t>
      </w:r>
      <w:r>
        <w:rPr>
          <w:b/>
          <w:bCs/>
        </w:rPr>
        <w:t xml:space="preserve"> </w:t>
      </w:r>
      <w:r>
        <w:rPr>
          <w:b/>
          <w:bCs/>
        </w:rPr>
        <w:t xml:space="preserve">(37%) survive the stricter Benjamini-Yekutieli arbitrary-dependence</w:t>
      </w:r>
      <w:r>
        <w:rPr>
          <w:b/>
          <w:bCs/>
        </w:rPr>
        <w:t xml:space="preserve"> </w:t>
      </w:r>
      <w:r>
        <w:rPr>
          <w:b/>
          <w:bCs/>
        </w:rPr>
        <w:t xml:space="preserve">FDR at q &lt; 0.05</w:t>
      </w:r>
      <w:r>
        <w:t xml:space="preserve">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</w:t>
      </w:r>
      <w:r>
        <w:t xml:space="preserve"> </w:t>
      </w:r>
      <w:r>
        <w:t xml:space="preserve">corrected across the 200 preselected patterns.</w:t>
      </w:r>
    </w:p>
    <w:p>
      <w:pPr>
        <w:pStyle w:val="BodyText"/>
      </w:pPr>
      <w:r>
        <w:t xml:space="preserve">Top 5 predictive Component X signatures on the inference half</w:t>
      </w:r>
      <w:r>
        <w:t xml:space="preserve"> </w:t>
      </w:r>
      <w:r>
        <w:t xml:space="preserve">(matched HR, 95% CI, p):</w:t>
      </w:r>
    </w:p>
    <w:p>
      <w:pPr>
        <w:pStyle w:val="TableCaption"/>
      </w:pPr>
      <w:r>
        <w:rPr>
          <w:b/>
          <w:bCs/>
        </w:rPr>
        <w:t xml:space="preserve">Table 14.</w:t>
      </w:r>
      <w:r>
        <w:t xml:space="preserve"> </w:t>
      </w:r>
      <w:r>
        <w:t xml:space="preserve">Top five SCANIA Component X signatures by matched hazard ratio, selected on the discovery half and estimated on the disjoint inference half with 95% confidence intervals.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4. Top five SCANIA Component X signatures by matched hazard ratio, selected on the discovery half and estimated on the disjoint inference half with 95% confidence intervals."/>
      </w:tblPr>
      <w:tblGrid>
        <w:gridCol w:w="950"/>
        <w:gridCol w:w="2692"/>
        <w:gridCol w:w="1584"/>
        <w:gridCol w:w="1267"/>
        <w:gridCol w:w="142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[1.35,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22}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[1.32, 1.90]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[1.33,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[1.30, 1.84]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[1.34, 1.76]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5.0e-10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counter_surprise:397_{29}</w:t>
            </w:r>
          </w:p>
        </w:tc>
      </w:tr>
    </w:tbl>
    <w:p>
      <w:pPr>
        <w:pStyle w:val="BodyText"/>
      </w:pPr>
      <w:r>
        <w:t xml:space="preserve">Two effects push the honest estimates below the naive ones. The</w:t>
      </w:r>
      <w:r>
        <w:t xml:space="preserve"> </w:t>
      </w:r>
      <w:r>
        <w:rPr>
          <w:b/>
          <w:bCs/>
        </w:rPr>
        <w:t xml:space="preserve">pooled 2×2 analysis (Table 15) inflates the effect</w:t>
      </w:r>
      <w:r>
        <w:t xml:space="preserve"> </w:t>
      </w:r>
      <w:r>
        <w:t xml:space="preserve">(top pooled</w:t>
      </w:r>
      <w:r>
        <w:t xml:space="preserve"> </w:t>
      </w:r>
      <w:r>
        <w:t xml:space="preserve">MH-OR 2.72 [2.10, 3.51]) because it discards the matched-set structure</w:t>
      </w:r>
      <w:r>
        <w:t xml:space="preserve"> </w:t>
      </w:r>
      <w:r>
        <w:t xml:space="preserve">that the incidence-density sampling design creates; the matched</w:t>
      </w:r>
      <w:r>
        <w:t xml:space="preserve"> </w:t>
      </w:r>
      <w:r>
        <w:t xml:space="preserve">conditional logistic is the correct estimator under Prentice-Breslow.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discovery/inference split removes the post-selection inflation</w:t>
      </w:r>
      <w:r>
        <w:t xml:space="preserve"> </w:t>
      </w:r>
      <w:r>
        <w:t xml:space="preserve">that ranking the top-200 by case-hits on the test sample would</w:t>
      </w:r>
      <w:r>
        <w:t xml:space="preserve"> </w:t>
      </w:r>
      <w:r>
        <w:t xml:space="preserve">otherwise introduce: the same top-200-by-hits procedure evaluated</w:t>
      </w:r>
      <w:r>
        <w:t xml:space="preserve"> </w:t>
      </w:r>
      <w:r>
        <w:t xml:space="preserve">in-sample reports 108 BY-significant patterns and a top HR near 1.7,</w:t>
      </w:r>
      <w:r>
        <w:t xml:space="preserve"> </w:t>
      </w:r>
      <w:r>
        <w:t xml:space="preserve">whereas the honest inference-half estimate is 74 BY-significant with a</w:t>
      </w:r>
      <w:r>
        <w:t xml:space="preserve"> </w:t>
      </w:r>
      <w:r>
        <w:t xml:space="preserve">top HR of 1.60 [1.35, 1.91]. The matched signal is real but smaller</w:t>
      </w:r>
      <w:r>
        <w:t xml:space="preserve"> </w:t>
      </w:r>
      <w:r>
        <w:t xml:space="preserve">than the in-sample figure suggests.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p>
      <w:pPr>
        <w:pStyle w:val="TableCaption"/>
      </w:pPr>
      <w:r>
        <w:rPr>
          <w:b/>
          <w:bCs/>
        </w:rPr>
        <w:t xml:space="preserve">Table 15.</w:t>
      </w:r>
      <w:r>
        <w:t xml:space="preserve"> </w:t>
      </w:r>
      <w:r>
        <w:t xml:space="preserve">Pooled 2x2 odds ratios for the same SCANIA signatures, superseded by the matched estimates in Table 14.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5. Pooled 2x2 odds ratios for the same SCANIA signatures, superseded by the matched estimates in Table 14.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</w:t>
      </w:r>
      <w:r>
        <w:t xml:space="preserve"> </w:t>
      </w:r>
      <w:r>
        <w:t xml:space="preserve">two-feature interaction that pattern mining surfaces without needing</w:t>
      </w:r>
      <w:r>
        <w:t xml:space="preserve"> </w:t>
      </w:r>
      <w:r>
        <w:t xml:space="preserve">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9"/>
    <w:bookmarkStart w:id="60" w:name="lead-time-on-true-positives"/>
    <w:p>
      <w:pPr>
        <w:pStyle w:val="Heading3"/>
      </w:pPr>
      <w:r>
        <w:t xml:space="preserve">6.12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 is released in the repository under</w:t>
      </w:r>
      <w:r>
        <w:t xml:space="preserve"> </w:t>
      </w:r>
      <w:r>
        <w:rPr>
          <w:rStyle w:val="VerbatimChar"/>
        </w:rPr>
        <w:t xml:space="preserve">results/tables/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azure_leadtime.md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alibaba_leadtime.md</w:t>
      </w:r>
      <w:r>
        <w:t xml:space="preserve">).</w:t>
      </w:r>
    </w:p>
    <w:bookmarkEnd w:id="60"/>
    <w:bookmarkEnd w:id="61"/>
    <w:bookmarkStart w:id="65" w:name="discussion"/>
    <w:p>
      <w:pPr>
        <w:pStyle w:val="Heading2"/>
      </w:pPr>
      <w:r>
        <w:t xml:space="preserve">7 Discussion</w:t>
      </w:r>
    </w:p>
    <w:bookmarkStart w:id="62" w:name="X1fff9881fd829d9c26a57a6e774b5a2b4f11174"/>
    <w:p>
      <w:pPr>
        <w:pStyle w:val="Heading3"/>
      </w:pP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 (Table 16):</w:t>
      </w:r>
    </w:p>
    <w:p>
      <w:pPr>
        <w:pStyle w:val="TableCaption"/>
      </w:pPr>
      <w:r>
        <w:rPr>
          <w:b/>
          <w:bCs/>
        </w:rPr>
        <w:t xml:space="preserve">Table 16.</w:t>
      </w:r>
      <w:r>
        <w:t xml:space="preserve"> </w:t>
      </w:r>
      <w:r>
        <w:t xml:space="preserve">Full-sequence-dominant versus subpart-dominant predictive sequences by trace.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6. Full-sequence-dominant versus subpart-dominant predictive sequences by trace.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full-sequence-dominant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full-sequence-dominant,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full-sequence-dominant.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These two traces separate order from multiplicity (§6.3). On Azure,</w:t>
      </w:r>
      <w:r>
        <w:t xml:space="preserve"> </w:t>
      </w:r>
      <w:r>
        <w:t xml:space="preserve">the count-preserving null confirms a genuine ordering effect: the full</w:t>
      </w:r>
      <w:r>
        <w:t xml:space="preserve"> </w:t>
      </w:r>
      <w:r>
        <w:t xml:space="preserve">ordered chain adds signal beyond any of its subparts, and the exact</w:t>
      </w:r>
      <w:r>
        <w:t xml:space="preserve"> </w:t>
      </w:r>
      <w:r>
        <w:t xml:space="preserve">within-window order matters. On Alibaba, the count-preserving null is</w:t>
      </w:r>
      <w:r>
        <w:t xml:space="preserve"> </w:t>
      </w:r>
      <w:r>
        <w:t xml:space="preserve">approximately zero, so the exact order does not matter; the sequence</w:t>
      </w:r>
      <w:r>
        <w:t xml:space="preserve"> </w:t>
      </w:r>
      <w:r>
        <w:t xml:space="preserve">representation helps only because it retains event multiplicity and a</w:t>
      </w:r>
      <w:r>
        <w:t xml:space="preserve"> </w:t>
      </w:r>
      <w:r>
        <w:t xml:space="preserve">privileged short prefix (</w:t>
      </w:r>
      <w:r>
        <w:rPr>
          <w:rStyle w:val="VerbatimChar"/>
        </w:rPr>
        <w:t xml:space="preserve">task_waiting:R</w:t>
      </w:r>
      <w:r>
        <w:t xml:space="preserve">) that the binary itemset</w:t>
      </w:r>
      <w:r>
        <w:t xml:space="preserve"> </w:t>
      </w:r>
      <w:r>
        <w:t xml:space="preserve">discards. The correct reading of Alibaba is a multiplicity-and-prefix</w:t>
      </w:r>
      <w:r>
        <w:t xml:space="preserve"> </w:t>
      </w:r>
      <w:r>
        <w:t xml:space="preserve">effect, not a pure-ordering effect.</w:t>
      </w:r>
    </w:p>
    <w:bookmarkEnd w:id="62"/>
    <w:bookmarkStart w:id="63" w:name="X75d9a394a307a62bf087024a3c4b370afb7d957"/>
    <w:p>
      <w:pPr>
        <w:pStyle w:val="Heading3"/>
      </w:pPr>
      <w:r>
        <w:t xml:space="preserve">7.2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</w:t>
      </w:r>
      <w:r>
        <w:t xml:space="preserve"> </w:t>
      </w:r>
      <w:r>
        <w:t xml:space="preserve">itemset lift 2.22 for the same items. The order-specific reading is</w:t>
      </w:r>
      <w:r>
        <w:t xml:space="preserve"> </w:t>
      </w:r>
      <w:r>
        <w:t xml:space="preserve">that error2 and error3 are not interchangeable noise: a machine</w:t>
      </w:r>
      <w:r>
        <w:t xml:space="preserve"> </w:t>
      </w:r>
      <w:r>
        <w:t xml:space="preserve">reporting error2 first and then error3 is materially more likely to</w:t>
      </w:r>
      <w:r>
        <w:t xml:space="preserve"> </w:t>
      </w:r>
      <w:r>
        <w:t xml:space="preserve">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3"/>
    <w:bookmarkStart w:id="64" w:name="six-contrasting-case-studies"/>
    <w:p>
      <w:pPr>
        <w:pStyle w:val="Heading3"/>
      </w:pPr>
      <w:r>
        <w:t xml:space="preserve">7.3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case studies answer a natural follow-up question: the</w:t>
      </w:r>
      <w:r>
        <w:t xml:space="preserve"> </w:t>
      </w:r>
      <w:r>
        <w:t xml:space="preserve">combined-feature-set advantage does not transfer to every operational</w:t>
      </w:r>
      <w:r>
        <w:t xml:space="preserve"> </w:t>
      </w:r>
      <w:r>
        <w:t xml:space="preserve">event log.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(§6.5).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positive traces (~0.80-1.00) reflects a limit of the</w:t>
      </w:r>
      <w:r>
        <w:t xml:space="preserve"> </w:t>
      </w:r>
      <w:r>
        <w:t xml:space="preserve">readout 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 under a fair prospective landmark.</w:t>
      </w:r>
      <w:r>
        <w:t xml:space="preserve"> </w:t>
      </w:r>
      <w:r>
        <w:t xml:space="preserve">A</w:t>
      </w:r>
      <w:r>
        <w:t xml:space="preserve"> </w:t>
      </w:r>
      <w:r>
        <w:t xml:space="preserve">stratified 5-fold cross-validation on full-history aggregated</w:t>
      </w:r>
      <w:r>
        <w:t xml:space="preserve"> </w:t>
      </w:r>
      <w:r>
        <w:t xml:space="preserve">Component X features (mean / max / std / last of each of the 105</w:t>
      </w:r>
      <w:r>
        <w:t xml:space="preserve"> </w:t>
      </w:r>
      <w:r>
        <w:t xml:space="preserve">columns per vehicle) reaches AUROC 0.826, but this number is not a</w:t>
      </w:r>
      <w:r>
        <w:t xml:space="preserve"> </w:t>
      </w:r>
      <w:r>
        <w:t xml:space="preserve">prospective ceiling: full-history aggregates under random CV can leak</w:t>
      </w:r>
      <w:r>
        <w:t xml:space="preserve"> </w:t>
      </w:r>
      <w:r>
        <w:t xml:space="preserve">end-of-history and censoring information that is not available at a</w:t>
      </w:r>
      <w:r>
        <w:t xml:space="preserve"> </w:t>
      </w:r>
      <w:r>
        <w:t xml:space="preserve">prediction landmark. The fair test is a</w:t>
      </w:r>
      <w:r>
        <w:t xml:space="preserve"> </w:t>
      </w:r>
      <w:r>
        <w:rPr>
          <w:b/>
          <w:bCs/>
        </w:rPr>
        <w:t xml:space="preserve">landmarked, entity-disjoint</w:t>
      </w:r>
      <w:r>
        <w:rPr>
          <w:b/>
          <w:bCs/>
        </w:rPr>
        <w:t xml:space="preserve"> </w:t>
      </w:r>
      <w:r>
        <w:rPr>
          <w:b/>
          <w:bCs/>
        </w:rPr>
        <w:t xml:space="preserve">evaluation</w:t>
      </w:r>
      <w:r>
        <w:t xml:space="preserve"> </w:t>
      </w:r>
      <w:r>
        <w:t xml:space="preserve">in which every feature is computed strictly from the</w:t>
      </w:r>
      <w:r>
        <w:t xml:space="preserve"> </w:t>
      </w:r>
      <w:r>
        <w:t xml:space="preserve">pre-anchor risk-set window and trained and tested on disjoint vehicle</w:t>
      </w:r>
      <w:r>
        <w:t xml:space="preserve"> </w:t>
      </w:r>
      <w:r>
        <w:t xml:space="preserve">sets. Under that test no representation clears 0.75: token counts</w:t>
      </w:r>
      <w:r>
        <w:t xml:space="preserve"> </w:t>
      </w:r>
      <w:r>
        <w:t xml:space="preserve">reach AUROC 0.62, LightGBM on token counts 0.60, simple counts 0.54,</w:t>
      </w:r>
      <w:r>
        <w:t xml:space="preserve"> </w:t>
      </w:r>
      <w:r>
        <w:t xml:space="preserve">and the significant pattern features 0.51. Even a richer descriptor</w:t>
      </w:r>
      <w:r>
        <w:t xml:space="preserve"> </w:t>
      </w:r>
      <w:r>
        <w:t xml:space="preserve">model at the honest landmark stays near 0.60, matching the last-K</w:t>
      </w:r>
      <w:r>
        <w:t xml:space="preserve"> </w:t>
      </w:r>
      <w:r>
        <w:t xml:space="preserve">pattern pipeline. The conclusion is therefore that</w:t>
      </w:r>
      <w:r>
        <w:t xml:space="preserve"> </w:t>
      </w:r>
      <w:r>
        <w:rPr>
          <w:b/>
          <w:bCs/>
        </w:rPr>
        <w:t xml:space="preserve">no strong</w:t>
      </w:r>
      <w:r>
        <w:rPr>
          <w:b/>
          <w:bCs/>
        </w:rPr>
        <w:t xml:space="preserve"> </w:t>
      </w:r>
      <w:r>
        <w:rPr>
          <w:b/>
          <w:bCs/>
        </w:rPr>
        <w:t xml:space="preserve">prospective last-K trajectory signal is recoverable at Component X’s</w:t>
      </w:r>
      <w:r>
        <w:rPr>
          <w:b/>
          <w:bCs/>
        </w:rPr>
        <w:t xml:space="preserve"> </w:t>
      </w:r>
      <w:r>
        <w:rPr>
          <w:b/>
          <w:bCs/>
        </w:rPr>
        <w:t xml:space="preserve">readout cadence under the representations and landmarks tested</w:t>
      </w:r>
      <w:r>
        <w:t xml:space="preserve">; the</w:t>
      </w:r>
      <w:r>
        <w:t xml:space="preserve"> </w:t>
      </w:r>
      <w:r>
        <w:t xml:space="preserve">0.826 reflects a static per-vehicle profile that is visible across a</w:t>
      </w:r>
      <w:r>
        <w:t xml:space="preserve"> </w:t>
      </w:r>
      <w:r>
        <w:t xml:space="preserve">truck’s whole history but not at a prospective decision point.</w:t>
      </w:r>
    </w:p>
    <w:p>
      <w:pPr>
        <w:pStyle w:val="BodyText"/>
      </w:pPr>
      <w:r>
        <w:t xml:space="preserve">This gives a sharper three-way regime-of-validity: (i) four positive</w:t>
      </w:r>
      <w:r>
        <w:t xml:space="preserve"> </w:t>
      </w:r>
      <w:r>
        <w:t xml:space="preserve">traces 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alarm-code progression is consistent with a</w:t>
      </w:r>
      <w:r>
        <w:t xml:space="preserve"> </w:t>
      </w:r>
      <w:r>
        <w:t xml:space="preserve">physical mechanical-wear cascade that produces the intermediate codes</w:t>
      </w:r>
      <w:r>
        <w:t xml:space="preserve"> </w:t>
      </w:r>
      <w:r>
        <w:t xml:space="preserve">the mining recovers, though the logs alone do not establish the</w:t>
      </w:r>
      <w:r>
        <w:t xml:space="preserve"> </w:t>
      </w:r>
      <w:r>
        <w:t xml:space="preserve">mechanism.</w:t>
      </w:r>
    </w:p>
    <w:p>
      <w:pPr>
        <w:pStyle w:val="BodyText"/>
      </w:pPr>
      <w:r>
        <w:t xml:space="preserve">The two lead-time regimes in §6.12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4"/>
    <w:bookmarkEnd w:id="65"/>
    <w:bookmarkStart w:id="66" w:name="limitations"/>
    <w:p>
      <w:pPr>
        <w:pStyle w:val="Heading2"/>
      </w:pP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 to 3 per horizon surviving the within-window shuffle null,</w:t>
      </w:r>
      <w:r>
        <w:t xml:space="preserve"> </w:t>
      </w:r>
      <w:r>
        <w:t xml:space="preserve">versus 6 to 62 on Azure). A wider minimum support sweep and top-K</w:t>
      </w:r>
      <w:r>
        <w:t xml:space="preserve"> </w:t>
      </w:r>
      <w:r>
        <w:t xml:space="preserve">sequence mining would sharpen the Alibaba sequence-mining slice</w:t>
      </w:r>
      <w:r>
        <w:t xml:space="preserve"> </w:t>
      </w:r>
      <w:r>
        <w:t xml:space="preserve">specifically.</w:t>
      </w:r>
    </w:p>
    <w:p>
      <w:pPr>
        <w:pStyle w:val="Compact"/>
        <w:numPr>
          <w:ilvl w:val="0"/>
          <w:numId w:val="1008"/>
        </w:numPr>
      </w:pPr>
      <w:r>
        <w:t xml:space="preserve">The minimum 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p>
      <w:pPr>
        <w:pStyle w:val="FirstParagraph"/>
      </w:pPr>
      <w:r>
        <w:t xml:space="preserve">Scope of the statistical guarantees. The discovery/inference split is</w:t>
      </w:r>
      <w:r>
        <w:t xml:space="preserve"> </w:t>
      </w:r>
      <w:r>
        <w:t xml:space="preserve">a single seeded partition; the reported fractions are point estimates</w:t>
      </w:r>
      <w:r>
        <w:t xml:space="preserve"> </w:t>
      </w:r>
      <w:r>
        <w:t xml:space="preserve">under that partition, and the fixed seed policy is stated in §9. FDR</w:t>
      </w:r>
      <w:r>
        <w:t xml:space="preserve"> </w:t>
      </w:r>
      <w:r>
        <w:t xml:space="preserve">is controlled within each (horizon, pattern-class) family, so a</w:t>
      </w:r>
      <w:r>
        <w:t xml:space="preserve"> </w:t>
      </w:r>
      <w:r>
        <w:t xml:space="preserve">reader comparing significant fractions across horizons is reading</w:t>
      </w:r>
      <w:r>
        <w:t xml:space="preserve"> </w:t>
      </w:r>
      <w:r>
        <w:t xml:space="preserve">several families rather than one corrected sweep. The inference-half</w:t>
      </w:r>
      <w:r>
        <w:t xml:space="preserve"> </w:t>
      </w:r>
      <w:r>
        <w:t xml:space="preserve">lift is bounded above by (n_case + n_ctrl) / n_case of the inference</w:t>
      </w:r>
      <w:r>
        <w:t xml:space="preserve"> </w:t>
      </w:r>
      <w:r>
        <w:t xml:space="preserve">half, which equals 4.00 under exact 1:3 matching (and is marginally</w:t>
      </w:r>
      <w:r>
        <w:t xml:space="preserve"> </w:t>
      </w:r>
      <w:r>
        <w:t xml:space="preserve">above 4.0 where the entity-disjoint split deviates from 1:3, as on</w:t>
      </w:r>
      <w:r>
        <w:t xml:space="preserve"> </w:t>
      </w:r>
      <w:r>
        <w:t xml:space="preserve">Alibaba); a lift at this ceiling denotes a pattern present in failure</w:t>
      </w:r>
      <w:r>
        <w:t xml:space="preserve"> </w:t>
      </w:r>
      <w:r>
        <w:t xml:space="preserve">windows and absent from every matched control, not an unbounded</w:t>
      </w:r>
      <w:r>
        <w:t xml:space="preserve"> </w:t>
      </w:r>
      <w:r>
        <w:t xml:space="preserve">effect size. The</w:t>
      </w:r>
      <w:r>
        <w:t xml:space="preserve"> </w:t>
      </w:r>
      <w:r>
        <w:t xml:space="preserve">cross-farm replication is cross-site and cross-model (MM92 vs MM82)</w:t>
      </w:r>
      <w:r>
        <w:t xml:space="preserve"> </w:t>
      </w:r>
      <w:r>
        <w:t xml:space="preserve">but within one vendor’s alarm firmware (Senvion), so it establishes</w:t>
      </w:r>
      <w:r>
        <w:t xml:space="preserve"> </w:t>
      </w:r>
      <w:r>
        <w:t xml:space="preserve">transfer across turbine model and site rather than across alarm</w:t>
      </w:r>
      <w:r>
        <w:t xml:space="preserve"> </w:t>
      </w:r>
      <w:r>
        <w:t xml:space="preserve">vocabularies. The Penmanshiel window covers the site’s 2016</w:t>
      </w:r>
      <w:r>
        <w:t xml:space="preserve"> </w:t>
      </w:r>
      <w:r>
        <w:t xml:space="preserve">commissioning phase, which the safety-system 9000/9210 family</w:t>
      </w:r>
      <w:r>
        <w:t xml:space="preserve"> </w:t>
      </w:r>
      <w:r>
        <w:t xml:space="preserve">reflects. The operational base rate of 0.01 used for the calibrated</w:t>
      </w:r>
      <w:r>
        <w:t xml:space="preserve"> </w:t>
      </w:r>
      <w:r>
        <w:t xml:space="preserve">PPV in §6.6 is an assumed deployment prior, not a measured fleet</w:t>
      </w:r>
      <w:r>
        <w:t xml:space="preserve"> </w:t>
      </w:r>
      <w:r>
        <w:t xml:space="preserve">rate, and the PPV scales with it.</w:t>
      </w:r>
    </w:p>
    <w:bookmarkEnd w:id="66"/>
    <w:bookmarkStart w:id="67" w:name="reproducibility"/>
    <w:p>
      <w:pPr>
        <w:pStyle w:val="Heading2"/>
      </w:pP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27,264 windows and 46k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artefacts and excluded from this number.</w:t>
      </w:r>
    </w:p>
    <w:p>
      <w:pPr>
        <w:pStyle w:val="BodyText"/>
      </w:pPr>
      <w:r>
        <w:t xml:space="preserve">Data availability and ethics. All six datasets are public and openly</w:t>
      </w:r>
      <w:r>
        <w:t xml:space="preserve"> </w:t>
      </w:r>
      <w:r>
        <w:t xml:space="preserve">licensed (the four cited above under CC-BY-4.0, plus the Azure PdM</w:t>
      </w:r>
      <w:r>
        <w:t xml:space="preserve"> </w:t>
      </w:r>
      <w:r>
        <w:t xml:space="preserve">sample and Alibaba cluster-trace-v2018 under their respective public</w:t>
      </w:r>
      <w:r>
        <w:t xml:space="preserve"> </w:t>
      </w:r>
      <w:r>
        <w:t xml:space="preserve">terms); the paper introduces no new data collection. None of the</w:t>
      </w:r>
      <w:r>
        <w:t xml:space="preserve"> </w:t>
      </w:r>
      <w:r>
        <w:t xml:space="preserve">traces contains personal or human-subject data: they are machine</w:t>
      </w:r>
      <w:r>
        <w:t xml:space="preserve"> </w:t>
      </w:r>
      <w:r>
        <w:t xml:space="preserve">telemetry, cluster job logs, HPC syslogs, and industrial alarm codes.</w:t>
      </w:r>
      <w:r>
        <w:t xml:space="preserve"> </w:t>
      </w:r>
      <w:r>
        <w:t xml:space="preserve">The derived event streams, windows, mined patterns, and all result</w:t>
      </w:r>
      <w:r>
        <w:t xml:space="preserve"> </w:t>
      </w:r>
      <w:r>
        <w:t xml:space="preserve">artefacts are released in the repository under the same open terms.</w:t>
      </w:r>
    </w:p>
    <w:bookmarkEnd w:id="67"/>
    <w:bookmarkStart w:id="68" w:name="conclusion"/>
    <w:p>
      <w:pPr>
        <w:pStyle w:val="Heading2"/>
      </w:pP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with an alarm-code progression consistent with a mechanical wear</w:t>
      </w:r>
      <w:r>
        <w:t xml:space="preserve"> </w:t>
      </w:r>
      <w:r>
        <w:t xml:space="preserve">process that terminates as Forced outages, and validated distinct-code</w:t>
      </w:r>
      <w:r>
        <w:t xml:space="preserve"> </w:t>
      </w:r>
      <w:r>
        <w:t xml:space="preserve">degradation chains that complete a median two-to-four hours before the</w:t>
      </w:r>
      <w:r>
        <w:t xml:space="preserve"> </w:t>
      </w:r>
      <w:r>
        <w:t xml:space="preserve">outage. Beyond the co-located catalog, the presence / multiplicity /</w:t>
      </w:r>
      <w:r>
        <w:t xml:space="preserve"> </w:t>
      </w:r>
      <w:r>
        <w:t xml:space="preserve">order decomposition places the two cloud/maintenance traces in</w:t>
      </w:r>
      <w:r>
        <w:t xml:space="preserve"> </w:t>
      </w:r>
      <w:r>
        <w:t xml:space="preserve">opposite corners: on Azure the distinguishing held-out increment is</w:t>
      </w:r>
      <w:r>
        <w:t xml:space="preserve"> </w:t>
      </w:r>
      <w:r>
        <w:t xml:space="preserve">event order, on Alibaba it is event multiplicity, not exact order. On</w:t>
      </w:r>
      <w:r>
        <w:t xml:space="preserve"> </w:t>
      </w:r>
      <w:r>
        <w:t xml:space="preserve">raw accuracy the mined-pattern features do not beat a gradient-boosted</w:t>
      </w:r>
      <w:r>
        <w:t xml:space="preserve"> </w:t>
      </w:r>
      <w:r>
        <w:t xml:space="preserve">count model; their contribution is validated, human-readable</w:t>
      </w:r>
      <w:r>
        <w:t xml:space="preserve"> </w:t>
      </w:r>
      <w:r>
        <w:t xml:space="preserve">signatures and the decomposition itself, not a maximal predictive</w:t>
      </w:r>
      <w:r>
        <w:t xml:space="preserve"> </w:t>
      </w:r>
      <w:r>
        <w:t xml:space="preserve">score.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bookmarkEnd w:id="68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69" w:name="ref-agrawal1994fast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Agrawal R, Srikant R (1994) Fast algorithms for mining association rules in large databases. In: Proceedings of the 20th international conference on very large data bases (VLDB). pp 487–499</w:t>
      </w:r>
    </w:p>
    <w:bookmarkEnd w:id="69"/>
    <w:bookmarkStart w:id="71" w:name="ref-han2000mining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Han J, Pei J, Yin Y (2000)</w:t>
      </w:r>
      <w:r>
        <w:t xml:space="preserve"> </w:t>
      </w:r>
      <w:hyperlink r:id="rId70">
        <w:r>
          <w:rPr>
            <w:rStyle w:val="Hyperlink"/>
          </w:rPr>
          <w:t xml:space="preserve">Mining frequent patterns without candidate generation</w:t>
        </w:r>
      </w:hyperlink>
      <w:r>
        <w:t xml:space="preserve">. In: Proceedings of the 2000 ACM SIGMOD international conference on management of data. pp 1–12</w:t>
      </w:r>
    </w:p>
    <w:bookmarkEnd w:id="71"/>
    <w:bookmarkStart w:id="73" w:name="ref-srikant1996gsp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Srikant R, Agrawal R (1996)</w:t>
      </w:r>
      <w:r>
        <w:t xml:space="preserve"> </w:t>
      </w:r>
      <w:hyperlink r:id="rId72">
        <w:r>
          <w:rPr>
            <w:rStyle w:val="Hyperlink"/>
          </w:rPr>
          <w:t xml:space="preserve">Mining sequential patterns: Generalizations and performance improvements</w:t>
        </w:r>
      </w:hyperlink>
      <w:r>
        <w:t xml:space="preserve">. In: Advances in database technology — EDBT 1996. Springer, pp 1–17</w:t>
      </w:r>
    </w:p>
    <w:bookmarkEnd w:id="73"/>
    <w:bookmarkStart w:id="75" w:name="ref-zaki2001spade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Zaki MJ (2001)</w:t>
      </w:r>
      <w:r>
        <w:t xml:space="preserve"> </w:t>
      </w:r>
      <w:r>
        <w:t xml:space="preserve">SPADE</w:t>
      </w:r>
      <w:r>
        <w:t xml:space="preserve">: An efficient algorithm for mining frequent sequences. Machine Learning 42:31–60.</w:t>
      </w:r>
      <w:r>
        <w:t xml:space="preserve"> </w:t>
      </w:r>
      <w:hyperlink r:id="rId74">
        <w:r>
          <w:rPr>
            <w:rStyle w:val="Hyperlink"/>
          </w:rPr>
          <w:t xml:space="preserve">https://doi.org/10.1023/A:1007652502315</w:t>
        </w:r>
      </w:hyperlink>
    </w:p>
    <w:bookmarkEnd w:id="75"/>
    <w:bookmarkStart w:id="77" w:name="ref-pei2001prefixspa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Pei J, Han J, Mortazavi-Asl B, et al (2001)</w:t>
      </w:r>
      <w:r>
        <w:t xml:space="preserve"> </w:t>
      </w:r>
      <w:hyperlink r:id="rId76">
        <w:r>
          <w:rPr>
            <w:rStyle w:val="Hyperlink"/>
          </w:rPr>
          <w:t xml:space="preserve">PrefixSpan</w:t>
        </w:r>
        <w:r>
          <w:rPr>
            <w:rStyle w:val="Hyperlink"/>
          </w:rPr>
          <w:t xml:space="preserve">: Mining sequential patterns efficiently by prefix-projected pattern growth</w:t>
        </w:r>
      </w:hyperlink>
      <w:r>
        <w:t xml:space="preserve">. In: Proceedings 17th international conference on data engineering (ICDE). pp 215–224</w:t>
      </w:r>
    </w:p>
    <w:bookmarkEnd w:id="77"/>
    <w:bookmarkStart w:id="79" w:name="ref-fournierviger2014cmspade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Fournier-Viger P, Gomariz A, Campos M, Thomas R (2014)</w:t>
      </w:r>
      <w:r>
        <w:t xml:space="preserve"> </w:t>
      </w:r>
      <w:hyperlink r:id="rId78">
        <w:r>
          <w:rPr>
            <w:rStyle w:val="Hyperlink"/>
          </w:rPr>
          <w:t xml:space="preserve">Fast vertical mining of sequential patterns using co-occurrence information</w:t>
        </w:r>
      </w:hyperlink>
      <w:r>
        <w:t xml:space="preserve">. In: Advances in knowledge discovery and data mining (PAKDD 2014). Springer, pp 40–52</w:t>
      </w:r>
    </w:p>
    <w:bookmarkEnd w:id="79"/>
    <w:bookmarkStart w:id="81" w:name="ref-fournierviger2014vmsp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Fournier-Viger P, Wu C-W, Gomariz A, Tseng VS (2014)</w:t>
      </w:r>
      <w:r>
        <w:t xml:space="preserve"> </w:t>
      </w:r>
      <w:hyperlink r:id="rId80">
        <w:r>
          <w:rPr>
            <w:rStyle w:val="Hyperlink"/>
          </w:rPr>
          <w:t xml:space="preserve">VMSP</w:t>
        </w:r>
        <w:r>
          <w:rPr>
            <w:rStyle w:val="Hyperlink"/>
          </w:rPr>
          <w:t xml:space="preserve">: Efficient vertical mining of maximal sequential patterns</w:t>
        </w:r>
      </w:hyperlink>
      <w:r>
        <w:t xml:space="preserve">. In: Advances in artificial intelligence (canadian AI 2014). Springer, pp 83–94</w:t>
      </w:r>
    </w:p>
    <w:bookmarkEnd w:id="81"/>
    <w:bookmarkStart w:id="83" w:name="ref-fournierviger2022patternmining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Fournier-Viger P, Gan W, Wu Y, et al (2022)</w:t>
      </w:r>
      <w:r>
        <w:t xml:space="preserve"> </w:t>
      </w:r>
      <w:hyperlink r:id="rId82">
        <w:r>
          <w:rPr>
            <w:rStyle w:val="Hyperlink"/>
          </w:rPr>
          <w:t xml:space="preserve">Pattern mining: Current challenges and opportunities</w:t>
        </w:r>
      </w:hyperlink>
      <w:r>
        <w:t xml:space="preserve">. In: Database systems for advanced applications (DASFAA 2022) international workshops. Springer, pp 34–49</w:t>
      </w:r>
    </w:p>
    <w:bookmarkEnd w:id="83"/>
    <w:bookmarkStart w:id="85" w:name="ref-fournier2016spmf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Fournier-Viger P, Lin JC-W, Gomariz A, et al (2016)</w:t>
      </w:r>
      <w:r>
        <w:t xml:space="preserve"> </w:t>
      </w:r>
      <w:hyperlink r:id="rId8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SPMF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open-source data mining library version 2</w:t>
        </w:r>
      </w:hyperlink>
      <w:r>
        <w:t xml:space="preserve">. In: Joint european conference on machine learning and knowledge discovery in databases (ECML PKDD). pp 36–40</w:t>
      </w:r>
    </w:p>
    <w:bookmarkEnd w:id="85"/>
    <w:bookmarkStart w:id="87" w:name="ref-raschka2018mlxtend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Raschka S (2018)</w:t>
      </w:r>
      <w:r>
        <w:t xml:space="preserve"> </w:t>
      </w:r>
      <w:r>
        <w:t xml:space="preserve">MLxtend</w:t>
      </w:r>
      <w:r>
        <w:t xml:space="preserve">: Providing machine learning and data science utilities and extensions to python scientific computing stack. Journal of Open Source Software 3:638.</w:t>
      </w:r>
      <w:r>
        <w:t xml:space="preserve"> </w:t>
      </w:r>
      <w:hyperlink r:id="rId86">
        <w:r>
          <w:rPr>
            <w:rStyle w:val="Hyperlink"/>
          </w:rPr>
          <w:t xml:space="preserve">https://doi.org/10.21105/joss.00638</w:t>
        </w:r>
      </w:hyperlink>
    </w:p>
    <w:bookmarkEnd w:id="87"/>
    <w:bookmarkStart w:id="89" w:name="ref-ren2020failur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Ren R, Li J, Yin Y, Tian S (2021)</w:t>
      </w:r>
      <w:r>
        <w:t xml:space="preserve"> </w:t>
      </w:r>
      <w:hyperlink r:id="rId88">
        <w:r>
          <w:rPr>
            <w:rStyle w:val="Hyperlink"/>
          </w:rPr>
          <w:t xml:space="preserve">Failure prediction for large-scale clusters logs via mining frequent patterns</w:t>
        </w:r>
      </w:hyperlink>
      <w:r>
        <w:t xml:space="preserve">. In: Future of information and communication conference (FICC). Springer</w:t>
      </w:r>
    </w:p>
    <w:bookmarkEnd w:id="89"/>
    <w:bookmarkStart w:id="91" w:name="ref-ifraz2024sequential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İfraz M, Ersöz S (2024) Sequential predictive maintenance and spare parts management with data mining methods: A case study in bus fleet. The Journal of Supercomputing.</w:t>
      </w:r>
      <w:r>
        <w:t xml:space="preserve"> </w:t>
      </w:r>
      <w:hyperlink r:id="rId90">
        <w:r>
          <w:rPr>
            <w:rStyle w:val="Hyperlink"/>
          </w:rPr>
          <w:t xml:space="preserve">https://doi.org/10.1007/s11227-024-06297-1</w:t>
        </w:r>
      </w:hyperlink>
    </w:p>
    <w:bookmarkEnd w:id="91"/>
    <w:bookmarkStart w:id="93" w:name="ref-hu2023priority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Hu W, Wang Z, Wang J (2023) A priority-aware sequential pattern mining method for detection of compact patterns from alarm floods. Journal of Process Control 129:103041.</w:t>
      </w:r>
      <w:r>
        <w:t xml:space="preserve"> </w:t>
      </w:r>
      <w:hyperlink r:id="rId92">
        <w:r>
          <w:rPr>
            <w:rStyle w:val="Hyperlink"/>
          </w:rPr>
          <w:t xml:space="preserve">https://doi.org/10.1016/j.jprocont.2023.103041</w:t>
        </w:r>
      </w:hyperlink>
    </w:p>
    <w:bookmarkEnd w:id="93"/>
    <w:bookmarkStart w:id="95" w:name="ref-hu2023frequent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Hu W, Gao Y, Chen X (2023) Frequent alarm pattern mining of industrial alarm flood sequences by an improved PrefixSpan algorithm. Processes 11:1169.</w:t>
      </w:r>
      <w:r>
        <w:t xml:space="preserve"> </w:t>
      </w:r>
      <w:hyperlink r:id="rId94">
        <w:r>
          <w:rPr>
            <w:rStyle w:val="Hyperlink"/>
          </w:rPr>
          <w:t xml:space="preserve">https://doi.org/10.3390/pr11041169</w:t>
        </w:r>
      </w:hyperlink>
    </w:p>
    <w:bookmarkEnd w:id="95"/>
    <w:bookmarkStart w:id="97" w:name="ref-chatterjee2022deep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Chatterjee J, Dethlefs N (2022)</w:t>
      </w:r>
      <w:r>
        <w:t xml:space="preserve"> </w:t>
      </w:r>
      <w:hyperlink r:id="rId96">
        <w:r>
          <w:rPr>
            <w:rStyle w:val="Hyperlink"/>
          </w:rPr>
          <w:t xml:space="preserve">A deep learning framework for wind turbine repair action prediction using alarm sequences and long short-term memory algorithms</w:t>
        </w:r>
      </w:hyperlink>
      <w:r>
        <w:t xml:space="preserve">. In: Artificial neural networks and machine learning (ICANN 2022), LNCS 13531. Springer</w:t>
      </w:r>
    </w:p>
    <w:bookmarkEnd w:id="97"/>
    <w:bookmarkStart w:id="99" w:name="ref-shah2025alarm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Shah SS, Tan D (2025) Early wind turbine alarm prediction based on machine learning:</w:t>
      </w:r>
      <w:r>
        <w:t xml:space="preserve"> </w:t>
      </w:r>
      <w:r>
        <w:t xml:space="preserve">AlarmForecasting</w:t>
      </w:r>
      <w:r>
        <w:t xml:space="preserve">. arXiv preprint.</w:t>
      </w:r>
      <w:r>
        <w:t xml:space="preserve"> </w:t>
      </w:r>
      <w:hyperlink r:id="rId98">
        <w:r>
          <w:rPr>
            <w:rStyle w:val="Hyperlink"/>
          </w:rPr>
          <w:t xml:space="preserve">https://doi.org/10.48550/arXiv.2510.06831</w:t>
        </w:r>
      </w:hyperlink>
    </w:p>
    <w:bookmarkEnd w:id="99"/>
    <w:bookmarkStart w:id="101" w:name="ref-dong1999emerging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Dong G, Li J (1999)</w:t>
      </w:r>
      <w:r>
        <w:t xml:space="preserve"> </w:t>
      </w:r>
      <w:hyperlink r:id="rId100">
        <w:r>
          <w:rPr>
            <w:rStyle w:val="Hyperlink"/>
          </w:rPr>
          <w:t xml:space="preserve">Efficient mining of emerging patterns: Discovering trends and differences</w:t>
        </w:r>
      </w:hyperlink>
      <w:r>
        <w:t xml:space="preserve">. In: Proceedings of the fifth ACM SIGKDD international conference on knowledge discovery and data mining (KDD). pp 43–52</w:t>
      </w:r>
    </w:p>
    <w:bookmarkEnd w:id="101"/>
    <w:bookmarkStart w:id="103" w:name="ref-bay1999contras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Bay SD, Pazzani MJ (1999)</w:t>
      </w:r>
      <w:r>
        <w:t xml:space="preserve"> </w:t>
      </w:r>
      <w:hyperlink r:id="rId102">
        <w:r>
          <w:rPr>
            <w:rStyle w:val="Hyperlink"/>
          </w:rPr>
          <w:t xml:space="preserve">Detecting change in categorical data: Mining contrast sets</w:t>
        </w:r>
      </w:hyperlink>
      <w:r>
        <w:t xml:space="preserve">. In: Proceedings of the fifth ACM SIGKDD international conference on knowledge discovery and data mining (KDD). pp 302–306</w:t>
      </w:r>
    </w:p>
    <w:bookmarkEnd w:id="103"/>
    <w:bookmarkStart w:id="105" w:name="ref-terada2013statssp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Terada A, Okada-Hatakeyama M, Tsuda K, Sese J (2013) Statistical significance of combinatorial regulations. Proceedings of the National Academy of Sciences 110:12996–13001.</w:t>
      </w:r>
      <w:r>
        <w:t xml:space="preserve"> </w:t>
      </w:r>
      <w:hyperlink r:id="rId104">
        <w:r>
          <w:rPr>
            <w:rStyle w:val="Hyperlink"/>
          </w:rPr>
          <w:t xml:space="preserve">https://doi.org/10.1073/pnas.1302233110</w:t>
        </w:r>
      </w:hyperlink>
    </w:p>
    <w:bookmarkEnd w:id="105"/>
    <w:bookmarkStart w:id="107" w:name="ref-hamalainen2019tutorial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Hämäläinen W, Webb GI (2019) A tutorial on statistically sound pattern discovery. Data Mining and Knowledge Discovery 33:325–377.</w:t>
      </w:r>
      <w:r>
        <w:t xml:space="preserve"> </w:t>
      </w:r>
      <w:hyperlink r:id="rId106">
        <w:r>
          <w:rPr>
            <w:rStyle w:val="Hyperlink"/>
          </w:rPr>
          <w:t xml:space="preserve">https://doi.org/10.1007/s10618-018-0590-x</w:t>
        </w:r>
      </w:hyperlink>
    </w:p>
    <w:bookmarkEnd w:id="107"/>
    <w:bookmarkStart w:id="109" w:name="ref-dalleiger2022significant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Dalleiger S, Vreeken J (2022)</w:t>
      </w:r>
      <w:r>
        <w:t xml:space="preserve"> </w:t>
      </w:r>
      <w:hyperlink r:id="rId108">
        <w:r>
          <w:rPr>
            <w:rStyle w:val="Hyperlink"/>
          </w:rPr>
          <w:t xml:space="preserve">Discovering significant patterns under sequential false discovery control</w:t>
        </w:r>
      </w:hyperlink>
      <w:r>
        <w:t xml:space="preserve">. In: Proceedings of the 28th ACM SIGKDD conference on knowledge discovery and data mining (KDD ’22). ACM</w:t>
      </w:r>
    </w:p>
    <w:bookmarkEnd w:id="109"/>
    <w:bookmarkStart w:id="111" w:name="ref-pellegrina2024efficient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Pellegrina L, Vandin F (2024) Efficient discovery of significant patterns with few-shot resampling. Proceedings of the VLDB Endowment 17:</w:t>
      </w:r>
      <w:r>
        <w:t xml:space="preserve"> </w:t>
      </w:r>
      <w:hyperlink r:id="rId110">
        <w:r>
          <w:rPr>
            <w:rStyle w:val="Hyperlink"/>
          </w:rPr>
          <w:t xml:space="preserve">https://doi.org/10.14778/3675034.3675055</w:t>
        </w:r>
      </w:hyperlink>
    </w:p>
    <w:bookmarkEnd w:id="111"/>
    <w:bookmarkStart w:id="113" w:name="ref-fithian2014optimal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Fithian W, Sun D, Taylor J (2014) Optimal inference after model selection. arXiv preprint.</w:t>
      </w:r>
      <w:r>
        <w:t xml:space="preserve"> </w:t>
      </w:r>
      <w:hyperlink r:id="rId112">
        <w:r>
          <w:rPr>
            <w:rStyle w:val="Hyperlink"/>
          </w:rPr>
          <w:t xml:space="preserve">https://doi.org/10.48550/arXiv.1410.2597</w:t>
        </w:r>
      </w:hyperlink>
    </w:p>
    <w:bookmarkEnd w:id="113"/>
    <w:bookmarkStart w:id="115" w:name="ref-du2017deeplog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Du M, Li F, Zheng G, Srikumar V (2017)</w:t>
      </w:r>
      <w:r>
        <w:t xml:space="preserve"> </w:t>
      </w:r>
      <w:hyperlink r:id="rId114">
        <w:r>
          <w:rPr>
            <w:rStyle w:val="Hyperlink"/>
          </w:rPr>
          <w:t xml:space="preserve">DeepLog</w:t>
        </w:r>
        <w:r>
          <w:rPr>
            <w:rStyle w:val="Hyperlink"/>
          </w:rPr>
          <w:t xml:space="preserve">: Anomaly detection and diagnosis from system logs through deep learning</w:t>
        </w:r>
      </w:hyperlink>
      <w:r>
        <w:t xml:space="preserve">. In: Proceedings of the 2017 ACM SIGSAC conference on computer and communications security (CCS). pp 1285–1298</w:t>
      </w:r>
    </w:p>
    <w:bookmarkEnd w:id="115"/>
    <w:bookmarkStart w:id="117" w:name="ref-meng2019loganomaly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Meng W, Liu Y, Zhu Y, et al (2019)</w:t>
      </w:r>
      <w:r>
        <w:t xml:space="preserve"> </w:t>
      </w:r>
      <w:hyperlink r:id="rId116">
        <w:r>
          <w:rPr>
            <w:rStyle w:val="Hyperlink"/>
          </w:rPr>
          <w:t xml:space="preserve">LogAnomaly</w:t>
        </w:r>
        <w:r>
          <w:rPr>
            <w:rStyle w:val="Hyperlink"/>
          </w:rPr>
          <w:t xml:space="preserve">: Unsupervised detection of sequential and quantitative anomalies in unstructured logs</w:t>
        </w:r>
      </w:hyperlink>
      <w:r>
        <w:t xml:space="preserve">. In: Proceedings of the 28th international joint conference on artificial intelligence (IJCAI). pp 4739–4745</w:t>
      </w:r>
    </w:p>
    <w:bookmarkEnd w:id="117"/>
    <w:bookmarkStart w:id="119" w:name="ref-zhang2019logrobust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Zhang X, Xu Y, Lin Q, et al (2019)</w:t>
      </w:r>
      <w:r>
        <w:t xml:space="preserve"> </w:t>
      </w:r>
      <w:hyperlink r:id="rId118">
        <w:r>
          <w:rPr>
            <w:rStyle w:val="Hyperlink"/>
          </w:rPr>
          <w:t xml:space="preserve">Robust log-based anomaly detection on unstable log data</w:t>
        </w:r>
      </w:hyperlink>
      <w:r>
        <w:t xml:space="preserve">. In: Proceedings of the 27th ACM joint meeting on european software engineering conference and symposium on the foundations of software engineering (ESEC/FSE). pp 807–817</w:t>
      </w:r>
    </w:p>
    <w:bookmarkEnd w:id="119"/>
    <w:bookmarkStart w:id="121" w:name="ref-yang2021plelog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Yang L, Chen J, Wang Z, et al (2021)</w:t>
      </w:r>
      <w:r>
        <w:t xml:space="preserve"> </w:t>
      </w:r>
      <w:hyperlink r:id="rId120">
        <w:r>
          <w:rPr>
            <w:rStyle w:val="Hyperlink"/>
          </w:rPr>
          <w:t xml:space="preserve">Semi-supervised log-based anomaly detection via probabilistic label estimation</w:t>
        </w:r>
      </w:hyperlink>
      <w:r>
        <w:t xml:space="preserve">. In: Proceedings of the 43rd international conference on software engineering (ICSE). pp 1448–1460</w:t>
      </w:r>
    </w:p>
    <w:bookmarkEnd w:id="121"/>
    <w:bookmarkStart w:id="123" w:name="ref-guo2021logbert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Guo H, Yuan S, Wu X (2021)</w:t>
      </w:r>
      <w:r>
        <w:t xml:space="preserve"> </w:t>
      </w:r>
      <w:hyperlink r:id="rId122">
        <w:r>
          <w:rPr>
            <w:rStyle w:val="Hyperlink"/>
          </w:rPr>
          <w:t xml:space="preserve">LogBERT</w:t>
        </w:r>
        <w:r>
          <w:rPr>
            <w:rStyle w:val="Hyperlink"/>
          </w:rPr>
          <w:t xml:space="preserve">: Log anomaly detection 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BERT</w:t>
        </w:r>
      </w:hyperlink>
      <w:r>
        <w:t xml:space="preserve">. In: 2021 international joint conference on neural networks (IJCNN)</w:t>
      </w:r>
    </w:p>
    <w:bookmarkEnd w:id="123"/>
    <w:bookmarkStart w:id="125" w:name="ref-guo2024logformer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Guo H, Yang J, Liu J, et al (2024)</w:t>
      </w:r>
      <w:r>
        <w:t xml:space="preserve"> </w:t>
      </w:r>
      <w:r>
        <w:t xml:space="preserve">LogFormer</w:t>
      </w:r>
      <w:r>
        <w:t xml:space="preserve">: A pre-train and tuning pipeline for log anomaly detection. arXiv preprint.</w:t>
      </w:r>
      <w:r>
        <w:t xml:space="preserve"> </w:t>
      </w:r>
      <w:hyperlink r:id="rId124">
        <w:r>
          <w:rPr>
            <w:rStyle w:val="Hyperlink"/>
          </w:rPr>
          <w:t xml:space="preserve">https://doi.org/10.48550/arXiv.2401.04749</w:t>
        </w:r>
      </w:hyperlink>
    </w:p>
    <w:bookmarkEnd w:id="125"/>
    <w:bookmarkStart w:id="127" w:name="ref-landauer2023deep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Landauer M, Onder S, Skopik F, Wurzenberger M (2023) Deep learning for anomaly detection in log data: A survey. Machine Learning with Applications 12:100470.</w:t>
      </w:r>
      <w:r>
        <w:t xml:space="preserve"> </w:t>
      </w:r>
      <w:hyperlink r:id="rId126">
        <w:r>
          <w:rPr>
            <w:rStyle w:val="Hyperlink"/>
          </w:rPr>
          <w:t xml:space="preserve">https://doi.org/10.1016/j.mlwa.2023.100470</w:t>
        </w:r>
      </w:hyperlink>
    </w:p>
    <w:bookmarkEnd w:id="127"/>
    <w:bookmarkStart w:id="129" w:name="ref-hadadi2024systemati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Hadadi F, Dawes JH, Shin D, et al (2024) Systematic evaluation of deep learning models for log-based failure prediction. Empirical Software Engineering 29:</w:t>
      </w:r>
      <w:r>
        <w:t xml:space="preserve"> </w:t>
      </w:r>
      <w:hyperlink r:id="rId128">
        <w:r>
          <w:rPr>
            <w:rStyle w:val="Hyperlink"/>
          </w:rPr>
          <w:t xml:space="preserve">https://doi.org/10.1007/s10664-024-10501-4</w:t>
        </w:r>
      </w:hyperlink>
    </w:p>
    <w:bookmarkEnd w:id="129"/>
    <w:bookmarkStart w:id="131" w:name="ref-zhu2023loghub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Zhu J, He S, He P, et al (2023)</w:t>
      </w:r>
      <w:r>
        <w:t xml:space="preserve"> </w:t>
      </w:r>
      <w:hyperlink r:id="rId130">
        <w:r>
          <w:rPr>
            <w:rStyle w:val="Hyperlink"/>
          </w:rPr>
          <w:t xml:space="preserve">Loghub: A large collection of system log datasets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AI</w:t>
        </w:r>
        <w:r>
          <w:rPr>
            <w:rStyle w:val="Hyperlink"/>
          </w:rPr>
          <w:t xml:space="preserve">-driven log analytics</w:t>
        </w:r>
      </w:hyperlink>
      <w:r>
        <w:t xml:space="preserve">. In: 2023 IEEE 34th international symposium on software reliability engineering (ISSRE)</w:t>
      </w:r>
    </w:p>
    <w:bookmarkEnd w:id="131"/>
    <w:bookmarkStart w:id="133" w:name="ref-zhu2019logparsing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Zhu J, He S, Liu J, et al (2019)</w:t>
      </w:r>
      <w:r>
        <w:t xml:space="preserve"> </w:t>
      </w:r>
      <w:hyperlink r:id="rId132">
        <w:r>
          <w:rPr>
            <w:rStyle w:val="Hyperlink"/>
          </w:rPr>
          <w:t xml:space="preserve">Tools and benchmarks for automated log parsing</w:t>
        </w:r>
      </w:hyperlink>
      <w:r>
        <w:t xml:space="preserve">. In: 2019 IEEE/ACM 41st international conference on software engineering: Software engineering in practice (ICSE-SEIP). pp 121–130</w:t>
      </w:r>
    </w:p>
    <w:bookmarkEnd w:id="133"/>
    <w:bookmarkStart w:id="135" w:name="ref-cheng2018characterizing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Cheng Y, Chai Z, Anwar A (2018) Characterizing co-located datacenter workloads: An alibaba case study. arXiv preprint.</w:t>
      </w:r>
      <w:r>
        <w:t xml:space="preserve"> </w:t>
      </w:r>
      <w:hyperlink r:id="rId134">
        <w:r>
          <w:rPr>
            <w:rStyle w:val="Hyperlink"/>
          </w:rPr>
          <w:t xml:space="preserve">https://doi.org/10.48550/arXiv.1808.02919</w:t>
        </w:r>
      </w:hyperlink>
    </w:p>
    <w:bookmarkEnd w:id="135"/>
    <w:bookmarkStart w:id="137" w:name="ref-luo2021alibaba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Luo S, Xu H, Lu C, et al (2021)</w:t>
      </w:r>
      <w:r>
        <w:t xml:space="preserve"> </w:t>
      </w:r>
      <w:hyperlink r:id="rId136">
        <w:r>
          <w:rPr>
            <w:rStyle w:val="Hyperlink"/>
          </w:rPr>
          <w:t xml:space="preserve">Characterizing microservice dependency and performance: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Alibaba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trace analysis</w:t>
        </w:r>
      </w:hyperlink>
      <w:r>
        <w:t xml:space="preserve">. In: Proceedings of the ACM symposium on cloud computing (SoCC). pp 412–426</w:t>
      </w:r>
    </w:p>
    <w:bookmarkEnd w:id="137"/>
    <w:bookmarkStart w:id="139" w:name="ref-oliner2007supercomputers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Oliner A, Stearley J (2007)</w:t>
      </w:r>
      <w:r>
        <w:t xml:space="preserve"> </w:t>
      </w:r>
      <w:hyperlink r:id="rId138">
        <w:r>
          <w:rPr>
            <w:rStyle w:val="Hyperlink"/>
          </w:rPr>
          <w:t xml:space="preserve">What supercomputers say: A study of five system logs</w:t>
        </w:r>
      </w:hyperlink>
      <w:r>
        <w:t xml:space="preserve">. In: 37th annual IEEE/IFIP international conference on dependable systems and networks (DSN). pp 575–584</w:t>
      </w:r>
    </w:p>
    <w:bookmarkEnd w:id="139"/>
    <w:bookmarkStart w:id="141" w:name="ref-saxena2008cmapss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Saxena A, Goebel K, Simon D, Eklund N (2008)</w:t>
      </w:r>
      <w:r>
        <w:t xml:space="preserve"> </w:t>
      </w:r>
      <w:hyperlink r:id="rId140">
        <w:r>
          <w:rPr>
            <w:rStyle w:val="Hyperlink"/>
          </w:rPr>
          <w:t xml:space="preserve">Damage propagation modeling for aircraft engine run-to-failure simulation</w:t>
        </w:r>
      </w:hyperlink>
      <w:r>
        <w:t xml:space="preserve">. In: 2008 international conference on prognostics and health management (PHM)</w:t>
      </w:r>
    </w:p>
    <w:bookmarkEnd w:id="141"/>
    <w:bookmarkStart w:id="143" w:name="ref-serradilla2022pdmsurvey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Serradilla O, Zugasti E, Rodriguez J, Zurutuza U (2022) Deep learning models for predictive maintenance: A survey, comparison, challenges and prospects. Applied Intelligence 52:10934–10964.</w:t>
      </w:r>
      <w:r>
        <w:t xml:space="preserve"> </w:t>
      </w:r>
      <w:hyperlink r:id="rId142">
        <w:r>
          <w:rPr>
            <w:rStyle w:val="Hyperlink"/>
          </w:rPr>
          <w:t xml:space="preserve">https://doi.org/10.1007/s10489-021-03004-y</w:t>
        </w:r>
      </w:hyperlink>
    </w:p>
    <w:bookmarkEnd w:id="143"/>
    <w:bookmarkStart w:id="145" w:name="ref-costa2016ida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Costa CF, Nascimento MA (2016)</w:t>
      </w:r>
      <w:r>
        <w:t xml:space="preserve"> </w:t>
      </w:r>
      <w:hyperlink r:id="rId144">
        <w:r>
          <w:rPr>
            <w:rStyle w:val="Hyperlink"/>
          </w:rPr>
          <w:t xml:space="preserve">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2016 industrial challenge: Using machine learning for predicting failures</w:t>
        </w:r>
      </w:hyperlink>
      <w:r>
        <w:t xml:space="preserve">. In: Advances in intelligent data analysis XV (IDA 2016). Springer, pp 381–386</w:t>
      </w:r>
    </w:p>
    <w:bookmarkEnd w:id="145"/>
    <w:bookmarkStart w:id="147" w:name="ref-kharazian2025scania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Kharazian Z, Lindgren T, Magnússon S, et al (2025)</w:t>
      </w:r>
      <w:r>
        <w:t xml:space="preserve"> 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 Scientific Data 12:493.</w:t>
      </w:r>
      <w:r>
        <w:t xml:space="preserve"> </w:t>
      </w:r>
      <w:hyperlink r:id="rId146">
        <w:r>
          <w:rPr>
            <w:rStyle w:val="Hyperlink"/>
          </w:rPr>
          <w:t xml:space="preserve">https://doi.org/10.1038/s41597-025-04802-6</w:t>
        </w:r>
      </w:hyperlink>
    </w:p>
    <w:bookmarkEnd w:id="147"/>
    <w:bookmarkStart w:id="149" w:name="ref-benjamini1995controlling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Benjamini Y, Hochberg Y (1995) Controlling the false discovery rate: A practical and powerful approach to multiple testing. Journal of the Royal Statistical Society: Series B (Methodological) 57:289–300.</w:t>
      </w:r>
      <w:r>
        <w:t xml:space="preserve"> </w:t>
      </w:r>
      <w:hyperlink r:id="rId148">
        <w:r>
          <w:rPr>
            <w:rStyle w:val="Hyperlink"/>
          </w:rPr>
          <w:t xml:space="preserve">https://doi.org/10.1111/j.2517-6161.1995.tb02031.x</w:t>
        </w:r>
      </w:hyperlink>
    </w:p>
    <w:bookmarkEnd w:id="149"/>
    <w:bookmarkStart w:id="151" w:name="ref-benjamini2001control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Benjamini Y, Yekutieli D (2001) The control of the false discovery rate in multiple testing under dependency. The Annals of Statistics 29:1165–1188.</w:t>
      </w:r>
      <w:r>
        <w:t xml:space="preserve"> </w:t>
      </w:r>
      <w:hyperlink r:id="rId150">
        <w:r>
          <w:rPr>
            <w:rStyle w:val="Hyperlink"/>
          </w:rPr>
          <w:t xml:space="preserve">https://doi.org/10.1214/aos/1013699998</w:t>
        </w:r>
      </w:hyperlink>
    </w:p>
    <w:bookmarkEnd w:id="151"/>
    <w:bookmarkStart w:id="153" w:name="ref-prentice1978retrospective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Prentice RL, Breslow NE (1978) Retrospective studies and failure time models. Biometrika 65:153–158.</w:t>
      </w:r>
      <w:r>
        <w:t xml:space="preserve"> </w:t>
      </w:r>
      <w:hyperlink r:id="rId152">
        <w:r>
          <w:rPr>
            <w:rStyle w:val="Hyperlink"/>
          </w:rPr>
          <w:t xml:space="preserve">https://doi.org/10.1093/biomet/65.1.153</w:t>
        </w:r>
      </w:hyperlink>
    </w:p>
    <w:bookmarkEnd w:id="153"/>
    <w:bookmarkStart w:id="155" w:name="ref-langholz1996risk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Langholz B, Goldstein L (1996) Risk set sampling in epidemiologic cohort studies. Statistical Science 11:35–53.</w:t>
      </w:r>
      <w:r>
        <w:t xml:space="preserve"> </w:t>
      </w:r>
      <w:hyperlink r:id="rId154">
        <w:r>
          <w:rPr>
            <w:rStyle w:val="Hyperlink"/>
          </w:rPr>
          <w:t xml:space="preserve">https://doi.org/10.1214/ss/1032209663</w:t>
        </w:r>
      </w:hyperlink>
    </w:p>
    <w:bookmarkEnd w:id="155"/>
    <w:bookmarkStart w:id="157" w:name="ref-plumley2022kelmars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6">
        <w:r>
          <w:rPr>
            <w:rStyle w:val="Hyperlink"/>
          </w:rPr>
          <w:t xml:space="preserve">Kelmarsh wind farm data</w:t>
        </w:r>
      </w:hyperlink>
    </w:p>
    <w:bookmarkEnd w:id="157"/>
    <w:bookmarkStart w:id="159" w:name="ref-plumley2022penmanshiel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8">
        <w:r>
          <w:rPr>
            <w:rStyle w:val="Hyperlink"/>
          </w:rPr>
          <w:t xml:space="preserve">Penmanshiel wind farm data</w:t>
        </w:r>
      </w:hyperlink>
    </w:p>
    <w:bookmarkEnd w:id="159"/>
    <w:bookmarkStart w:id="161" w:name="ref-azurepdm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Microsoft (2016)</w:t>
      </w:r>
      <w:r>
        <w:t xml:space="preserve"> </w:t>
      </w:r>
      <w:hyperlink r:id="rId160">
        <w:r>
          <w:rPr>
            <w:rStyle w:val="Hyperlink"/>
          </w:rPr>
          <w:t xml:space="preserve">Azure AI Gallery Predictive Maintenance Sample</w:t>
        </w:r>
      </w:hyperlink>
    </w:p>
    <w:bookmarkEnd w:id="161"/>
    <w:bookmarkStart w:id="163" w:name="ref-alibaba2018repo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Alibaba (2018)</w:t>
      </w:r>
      <w:r>
        <w:t xml:space="preserve"> </w:t>
      </w:r>
      <w:hyperlink r:id="rId162">
        <w:r>
          <w:rPr>
            <w:rStyle w:val="Hyperlink"/>
          </w:rPr>
          <w:t xml:space="preserve">Alibaba cluster-trace-v2018</w:t>
        </w:r>
      </w:hyperlink>
    </w:p>
    <w:bookmarkEnd w:id="163"/>
    <w:bookmarkStart w:id="165" w:name="ref-alibaba2018trace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Lu C, Ye K, Xu G, et al (2017)</w:t>
      </w:r>
      <w:r>
        <w:t xml:space="preserve"> </w:t>
      </w:r>
      <w:hyperlink r:id="rId164">
        <w:r>
          <w:rPr>
            <w:rStyle w:val="Hyperlink"/>
          </w:rPr>
          <w:t xml:space="preserve">Imbalance in the cloud: An analysis on alibaba cluster trace</w:t>
        </w:r>
      </w:hyperlink>
      <w:r>
        <w:t xml:space="preserve">. In: 2017 IEEE international conference on big data (big data). pp 2884–2892</w:t>
      </w:r>
    </w:p>
    <w:bookmarkEnd w:id="165"/>
    <w:bookmarkStart w:id="166" w:name="ref-rothman2008modern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Rothman KJ, Greenland S, Lash TL (2008) Modern epidemiology, 3rd ed. Lippincott Williams; Wilkins</w:t>
      </w:r>
    </w:p>
    <w:bookmarkEnd w:id="166"/>
    <w:bookmarkStart w:id="168" w:name="ref-loftus2015selective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Loftus JR, Taylor JE (2015) Selective inference in regression models with groups of variables. arXiv preprint.</w:t>
      </w:r>
      <w:r>
        <w:t xml:space="preserve"> </w:t>
      </w:r>
      <w:hyperlink r:id="rId167">
        <w:r>
          <w:rPr>
            <w:rStyle w:val="Hyperlink"/>
          </w:rPr>
          <w:t xml:space="preserve">https://doi.org/10.48550/arXiv.1511.01478</w:t>
        </w:r>
      </w:hyperlink>
    </w:p>
    <w:bookmarkEnd w:id="168"/>
    <w:bookmarkStart w:id="170" w:name="ref-yan2003clospan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Yan X, Han J, Afshar R (2003)</w:t>
      </w:r>
      <w:r>
        <w:t xml:space="preserve"> </w:t>
      </w:r>
      <w:hyperlink r:id="rId169">
        <w:r>
          <w:rPr>
            <w:rStyle w:val="Hyperlink"/>
          </w:rPr>
          <w:t xml:space="preserve">CloSpan: Mining closed sequential patterns in large datasets</w:t>
        </w:r>
      </w:hyperlink>
      <w:r>
        <w:t xml:space="preserve">. In: Proceedings of the 2003 SIAM international conference on data mining (SDM). SIAM</w:t>
      </w:r>
    </w:p>
    <w:bookmarkEnd w:id="170"/>
    <w:bookmarkEnd w:id="171"/>
    <w:bookmarkEnd w:id="1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i.org/10.1007/978-3-031-11217-1_3" TargetMode="External" /><Relationship Type="http://schemas.openxmlformats.org/officeDocument/2006/relationships/hyperlink" Id="rId96" Target="https://doi.org/10.1007/978-3-031-15842-1_14" TargetMode="External" /><Relationship Type="http://schemas.openxmlformats.org/officeDocument/2006/relationships/hyperlink" Id="rId80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4" Target="https://doi.org/10.1007/978-3-319-46131-1_8" TargetMode="External" /><Relationship Type="http://schemas.openxmlformats.org/officeDocument/2006/relationships/hyperlink" Id="rId144" Target="https://doi.org/10.1007/978-3-319-46349-0_33" TargetMode="External" /><Relationship Type="http://schemas.openxmlformats.org/officeDocument/2006/relationships/hyperlink" Id="rId88" Target="https://doi.org/10.1007/978-981-16-1160-5_13" TargetMode="External" /><Relationship Type="http://schemas.openxmlformats.org/officeDocument/2006/relationships/hyperlink" Id="rId72" Target="https://doi.org/10.1007/BFb0014140" TargetMode="External" /><Relationship Type="http://schemas.openxmlformats.org/officeDocument/2006/relationships/hyperlink" Id="rId142" Target="https://doi.org/10.1007/s10489-021-03004-y" TargetMode="External" /><Relationship Type="http://schemas.openxmlformats.org/officeDocument/2006/relationships/hyperlink" Id="rId106" Target="https://doi.org/10.1007/s10618-018-0590-x" TargetMode="External" /><Relationship Type="http://schemas.openxmlformats.org/officeDocument/2006/relationships/hyperlink" Id="rId128" Target="https://doi.org/10.1007/s10664-024-10501-4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92" Target="https://doi.org/10.1016/j.jprocont.2023.103041" TargetMode="External" /><Relationship Type="http://schemas.openxmlformats.org/officeDocument/2006/relationships/hyperlink" Id="rId126" Target="https://doi.org/10.1016/j.mlwa.2023.100470" TargetMode="External" /><Relationship Type="http://schemas.openxmlformats.org/officeDocument/2006/relationships/hyperlink" Id="rId74" Target="https://doi.org/10.1023/A:1007652502315" TargetMode="External" /><Relationship Type="http://schemas.openxmlformats.org/officeDocument/2006/relationships/hyperlink" Id="rId146" Target="https://doi.org/10.1038/s41597-025-04802-6" TargetMode="External" /><Relationship Type="http://schemas.openxmlformats.org/officeDocument/2006/relationships/hyperlink" Id="rId104" Target="https://doi.org/10.1073/pnas.1302233110" TargetMode="External" /><Relationship Type="http://schemas.openxmlformats.org/officeDocument/2006/relationships/hyperlink" Id="rId152" Target="https://doi.org/10.1093/biomet/65.1.153" TargetMode="External" /><Relationship Type="http://schemas.openxmlformats.org/officeDocument/2006/relationships/hyperlink" Id="rId164" Target="https://doi.org/10.1109/BigData.2017.8258257" TargetMode="External" /><Relationship Type="http://schemas.openxmlformats.org/officeDocument/2006/relationships/hyperlink" Id="rId138" Target="https://doi.org/10.1109/DSN.2007.103" TargetMode="External" /><Relationship Type="http://schemas.openxmlformats.org/officeDocument/2006/relationships/hyperlink" Id="rId76" Target="https://doi.org/10.1109/ICDE.2001.914830" TargetMode="External" /><Relationship Type="http://schemas.openxmlformats.org/officeDocument/2006/relationships/hyperlink" Id="rId132" Target="https://doi.org/10.1109/ICSE-SEIP.2019.00021" TargetMode="External" /><Relationship Type="http://schemas.openxmlformats.org/officeDocument/2006/relationships/hyperlink" Id="rId120" Target="https://doi.org/10.1109/ICSE43902.2021.00130" TargetMode="External" /><Relationship Type="http://schemas.openxmlformats.org/officeDocument/2006/relationships/hyperlink" Id="rId122" Target="https://doi.org/10.1109/IJCNN52387.2021.9534113" TargetMode="External" /><Relationship Type="http://schemas.openxmlformats.org/officeDocument/2006/relationships/hyperlink" Id="rId130" Target="https://doi.org/10.1109/ISSRE59848.2023.00071" TargetMode="External" /><Relationship Type="http://schemas.openxmlformats.org/officeDocument/2006/relationships/hyperlink" Id="rId140" Target="https://doi.org/10.1109/PHM.2008.4711414" TargetMode="External" /><Relationship Type="http://schemas.openxmlformats.org/officeDocument/2006/relationships/hyperlink" Id="rId148" Target="https://doi.org/10.1111/j.2517-6161.1995.tb02031.x" TargetMode="External" /><Relationship Type="http://schemas.openxmlformats.org/officeDocument/2006/relationships/hyperlink" Id="rId169" Target="https://doi.org/10.1137/1.9781611972733.15" TargetMode="External" /><Relationship Type="http://schemas.openxmlformats.org/officeDocument/2006/relationships/hyperlink" Id="rId100" Target="https://doi.org/10.1145/312129.312191" TargetMode="External" /><Relationship Type="http://schemas.openxmlformats.org/officeDocument/2006/relationships/hyperlink" Id="rId102" Target="https://doi.org/10.1145/312129.312263" TargetMode="External" /><Relationship Type="http://schemas.openxmlformats.org/officeDocument/2006/relationships/hyperlink" Id="rId114" Target="https://doi.org/10.1145/3133956.3134015" TargetMode="External" /><Relationship Type="http://schemas.openxmlformats.org/officeDocument/2006/relationships/hyperlink" Id="rId118" Target="https://doi.org/10.1145/3338906.3338931" TargetMode="External" /><Relationship Type="http://schemas.openxmlformats.org/officeDocument/2006/relationships/hyperlink" Id="rId70" Target="https://doi.org/10.1145/342009.335372" TargetMode="External" /><Relationship Type="http://schemas.openxmlformats.org/officeDocument/2006/relationships/hyperlink" Id="rId136" Target="https://doi.org/10.1145/3472883.3487003" TargetMode="External" /><Relationship Type="http://schemas.openxmlformats.org/officeDocument/2006/relationships/hyperlink" Id="rId108" Target="https://doi.org/10.1145/3534678.3539398" TargetMode="External" /><Relationship Type="http://schemas.openxmlformats.org/officeDocument/2006/relationships/hyperlink" Id="rId150" Target="https://doi.org/10.1214/aos/1013699998" TargetMode="External" /><Relationship Type="http://schemas.openxmlformats.org/officeDocument/2006/relationships/hyperlink" Id="rId154" Target="https://doi.org/10.1214/ss/1032209663" TargetMode="External" /><Relationship Type="http://schemas.openxmlformats.org/officeDocument/2006/relationships/hyperlink" Id="rId110" Target="https://doi.org/10.14778/3675034.3675055" TargetMode="External" /><Relationship Type="http://schemas.openxmlformats.org/officeDocument/2006/relationships/hyperlink" Id="rId86" Target="https://doi.org/10.21105/joss.00638" TargetMode="External" /><Relationship Type="http://schemas.openxmlformats.org/officeDocument/2006/relationships/hyperlink" Id="rId116" Target="https://doi.org/10.24963/ijcai.2019/658" TargetMode="External" /><Relationship Type="http://schemas.openxmlformats.org/officeDocument/2006/relationships/hyperlink" Id="rId94" Target="https://doi.org/10.3390/pr11041169" TargetMode="External" /><Relationship Type="http://schemas.openxmlformats.org/officeDocument/2006/relationships/hyperlink" Id="rId112" Target="https://doi.org/10.48550/arXiv.1410.2597" TargetMode="External" /><Relationship Type="http://schemas.openxmlformats.org/officeDocument/2006/relationships/hyperlink" Id="rId167" Target="https://doi.org/10.48550/arXiv.1511.01478" TargetMode="External" /><Relationship Type="http://schemas.openxmlformats.org/officeDocument/2006/relationships/hyperlink" Id="rId134" Target="https://doi.org/10.48550/arXiv.1808.02919" TargetMode="External" /><Relationship Type="http://schemas.openxmlformats.org/officeDocument/2006/relationships/hyperlink" Id="rId124" Target="https://doi.org/10.48550/arXiv.2401.04749" TargetMode="External" /><Relationship Type="http://schemas.openxmlformats.org/officeDocument/2006/relationships/hyperlink" Id="rId98" Target="https://doi.org/10.48550/arXiv.2510.06831" TargetMode="External" /><Relationship Type="http://schemas.openxmlformats.org/officeDocument/2006/relationships/hyperlink" Id="rId156" Target="https://doi.org/10.5281/zenodo.5841834" TargetMode="External" /><Relationship Type="http://schemas.openxmlformats.org/officeDocument/2006/relationships/hyperlink" Id="rId158" Target="https://doi.org/10.5281/zenodo.5946808" TargetMode="External" /><Relationship Type="http://schemas.openxmlformats.org/officeDocument/2006/relationships/hyperlink" Id="rId162" Target="https://github.com/alibaba/clusterdata" TargetMode="External" /><Relationship Type="http://schemas.openxmlformats.org/officeDocument/2006/relationships/hyperlink" Id="rId160" Target="https://www.kaggle.com/datasets/arnabbiswas1/microsoft-azure-predictive-mainten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i.org/10.1007/978-3-031-11217-1_3" TargetMode="External" /><Relationship Type="http://schemas.openxmlformats.org/officeDocument/2006/relationships/hyperlink" Id="rId96" Target="https://doi.org/10.1007/978-3-031-15842-1_14" TargetMode="External" /><Relationship Type="http://schemas.openxmlformats.org/officeDocument/2006/relationships/hyperlink" Id="rId80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4" Target="https://doi.org/10.1007/978-3-319-46131-1_8" TargetMode="External" /><Relationship Type="http://schemas.openxmlformats.org/officeDocument/2006/relationships/hyperlink" Id="rId144" Target="https://doi.org/10.1007/978-3-319-46349-0_33" TargetMode="External" /><Relationship Type="http://schemas.openxmlformats.org/officeDocument/2006/relationships/hyperlink" Id="rId88" Target="https://doi.org/10.1007/978-981-16-1160-5_13" TargetMode="External" /><Relationship Type="http://schemas.openxmlformats.org/officeDocument/2006/relationships/hyperlink" Id="rId72" Target="https://doi.org/10.1007/BFb0014140" TargetMode="External" /><Relationship Type="http://schemas.openxmlformats.org/officeDocument/2006/relationships/hyperlink" Id="rId142" Target="https://doi.org/10.1007/s10489-021-03004-y" TargetMode="External" /><Relationship Type="http://schemas.openxmlformats.org/officeDocument/2006/relationships/hyperlink" Id="rId106" Target="https://doi.org/10.1007/s10618-018-0590-x" TargetMode="External" /><Relationship Type="http://schemas.openxmlformats.org/officeDocument/2006/relationships/hyperlink" Id="rId128" Target="https://doi.org/10.1007/s10664-024-10501-4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92" Target="https://doi.org/10.1016/j.jprocont.2023.103041" TargetMode="External" /><Relationship Type="http://schemas.openxmlformats.org/officeDocument/2006/relationships/hyperlink" Id="rId126" Target="https://doi.org/10.1016/j.mlwa.2023.100470" TargetMode="External" /><Relationship Type="http://schemas.openxmlformats.org/officeDocument/2006/relationships/hyperlink" Id="rId74" Target="https://doi.org/10.1023/A:1007652502315" TargetMode="External" /><Relationship Type="http://schemas.openxmlformats.org/officeDocument/2006/relationships/hyperlink" Id="rId146" Target="https://doi.org/10.1038/s41597-025-04802-6" TargetMode="External" /><Relationship Type="http://schemas.openxmlformats.org/officeDocument/2006/relationships/hyperlink" Id="rId104" Target="https://doi.org/10.1073/pnas.1302233110" TargetMode="External" /><Relationship Type="http://schemas.openxmlformats.org/officeDocument/2006/relationships/hyperlink" Id="rId152" Target="https://doi.org/10.1093/biomet/65.1.153" TargetMode="External" /><Relationship Type="http://schemas.openxmlformats.org/officeDocument/2006/relationships/hyperlink" Id="rId164" Target="https://doi.org/10.1109/BigData.2017.8258257" TargetMode="External" /><Relationship Type="http://schemas.openxmlformats.org/officeDocument/2006/relationships/hyperlink" Id="rId138" Target="https://doi.org/10.1109/DSN.2007.103" TargetMode="External" /><Relationship Type="http://schemas.openxmlformats.org/officeDocument/2006/relationships/hyperlink" Id="rId76" Target="https://doi.org/10.1109/ICDE.2001.914830" TargetMode="External" /><Relationship Type="http://schemas.openxmlformats.org/officeDocument/2006/relationships/hyperlink" Id="rId132" Target="https://doi.org/10.1109/ICSE-SEIP.2019.00021" TargetMode="External" /><Relationship Type="http://schemas.openxmlformats.org/officeDocument/2006/relationships/hyperlink" Id="rId120" Target="https://doi.org/10.1109/ICSE43902.2021.00130" TargetMode="External" /><Relationship Type="http://schemas.openxmlformats.org/officeDocument/2006/relationships/hyperlink" Id="rId122" Target="https://doi.org/10.1109/IJCNN52387.2021.9534113" TargetMode="External" /><Relationship Type="http://schemas.openxmlformats.org/officeDocument/2006/relationships/hyperlink" Id="rId130" Target="https://doi.org/10.1109/ISSRE59848.2023.00071" TargetMode="External" /><Relationship Type="http://schemas.openxmlformats.org/officeDocument/2006/relationships/hyperlink" Id="rId140" Target="https://doi.org/10.1109/PHM.2008.4711414" TargetMode="External" /><Relationship Type="http://schemas.openxmlformats.org/officeDocument/2006/relationships/hyperlink" Id="rId148" Target="https://doi.org/10.1111/j.2517-6161.1995.tb02031.x" TargetMode="External" /><Relationship Type="http://schemas.openxmlformats.org/officeDocument/2006/relationships/hyperlink" Id="rId169" Target="https://doi.org/10.1137/1.9781611972733.15" TargetMode="External" /><Relationship Type="http://schemas.openxmlformats.org/officeDocument/2006/relationships/hyperlink" Id="rId100" Target="https://doi.org/10.1145/312129.312191" TargetMode="External" /><Relationship Type="http://schemas.openxmlformats.org/officeDocument/2006/relationships/hyperlink" Id="rId102" Target="https://doi.org/10.1145/312129.312263" TargetMode="External" /><Relationship Type="http://schemas.openxmlformats.org/officeDocument/2006/relationships/hyperlink" Id="rId114" Target="https://doi.org/10.1145/3133956.3134015" TargetMode="External" /><Relationship Type="http://schemas.openxmlformats.org/officeDocument/2006/relationships/hyperlink" Id="rId118" Target="https://doi.org/10.1145/3338906.3338931" TargetMode="External" /><Relationship Type="http://schemas.openxmlformats.org/officeDocument/2006/relationships/hyperlink" Id="rId70" Target="https://doi.org/10.1145/342009.335372" TargetMode="External" /><Relationship Type="http://schemas.openxmlformats.org/officeDocument/2006/relationships/hyperlink" Id="rId136" Target="https://doi.org/10.1145/3472883.3487003" TargetMode="External" /><Relationship Type="http://schemas.openxmlformats.org/officeDocument/2006/relationships/hyperlink" Id="rId108" Target="https://doi.org/10.1145/3534678.3539398" TargetMode="External" /><Relationship Type="http://schemas.openxmlformats.org/officeDocument/2006/relationships/hyperlink" Id="rId150" Target="https://doi.org/10.1214/aos/1013699998" TargetMode="External" /><Relationship Type="http://schemas.openxmlformats.org/officeDocument/2006/relationships/hyperlink" Id="rId154" Target="https://doi.org/10.1214/ss/1032209663" TargetMode="External" /><Relationship Type="http://schemas.openxmlformats.org/officeDocument/2006/relationships/hyperlink" Id="rId110" Target="https://doi.org/10.14778/3675034.3675055" TargetMode="External" /><Relationship Type="http://schemas.openxmlformats.org/officeDocument/2006/relationships/hyperlink" Id="rId86" Target="https://doi.org/10.21105/joss.00638" TargetMode="External" /><Relationship Type="http://schemas.openxmlformats.org/officeDocument/2006/relationships/hyperlink" Id="rId116" Target="https://doi.org/10.24963/ijcai.2019/658" TargetMode="External" /><Relationship Type="http://schemas.openxmlformats.org/officeDocument/2006/relationships/hyperlink" Id="rId94" Target="https://doi.org/10.3390/pr11041169" TargetMode="External" /><Relationship Type="http://schemas.openxmlformats.org/officeDocument/2006/relationships/hyperlink" Id="rId112" Target="https://doi.org/10.48550/arXiv.1410.2597" TargetMode="External" /><Relationship Type="http://schemas.openxmlformats.org/officeDocument/2006/relationships/hyperlink" Id="rId167" Target="https://doi.org/10.48550/arXiv.1511.01478" TargetMode="External" /><Relationship Type="http://schemas.openxmlformats.org/officeDocument/2006/relationships/hyperlink" Id="rId134" Target="https://doi.org/10.48550/arXiv.1808.02919" TargetMode="External" /><Relationship Type="http://schemas.openxmlformats.org/officeDocument/2006/relationships/hyperlink" Id="rId124" Target="https://doi.org/10.48550/arXiv.2401.04749" TargetMode="External" /><Relationship Type="http://schemas.openxmlformats.org/officeDocument/2006/relationships/hyperlink" Id="rId98" Target="https://doi.org/10.48550/arXiv.2510.06831" TargetMode="External" /><Relationship Type="http://schemas.openxmlformats.org/officeDocument/2006/relationships/hyperlink" Id="rId156" Target="https://doi.org/10.5281/zenodo.5841834" TargetMode="External" /><Relationship Type="http://schemas.openxmlformats.org/officeDocument/2006/relationships/hyperlink" Id="rId158" Target="https://doi.org/10.5281/zenodo.5946808" TargetMode="External" /><Relationship Type="http://schemas.openxmlformats.org/officeDocument/2006/relationships/hyperlink" Id="rId162" Target="https://github.com/alibaba/clusterdata" TargetMode="External" /><Relationship Type="http://schemas.openxmlformats.org/officeDocument/2006/relationships/hyperlink" Id="rId160" Target="https://www.kaggle.com/datasets/arnabbiswas1/microsoft-azure-predictive-mainten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and Validating Pre-Failure Signatures in Operational Event Logs</dc:title>
  <dc:creator>Alexander Apartsin1; Yehudit Aperstein2</dc:creator>
  <dc:language>en-US</dc:language>
  <cp:keywords>failure prediction, frequent itemset mining, sequential pattern mining, post-selection inference, false discovery rate, predictive maintenance, operational event logs</cp:keywords>
  <dcterms:created xsi:type="dcterms:W3CDTF">2026-08-31T13:12:00Z</dcterms:created>
  <dcterms:modified xsi:type="dcterms:W3CDTF">2026-08-31T13:12:00Z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csl">
    <vt:lpwstr>paper/springer-basic-brackets.csl</vt:lpwstr>
  </property>
  <property fmtid="{D5CDD505-2E9C-101B-9397-08002B2CF9AE}" pid="4" name="date">
    <vt:lpwstr>2026-08-31</vt:lpwstr>
  </property>
  <property fmtid="{D5CDD505-2E9C-101B-9397-08002B2CF9AE}" pid="5" name="link-citations">
    <vt:lpwstr>True</vt:lpwstr>
  </property>
</Properties>
</file>