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a rule</w:t>
      </w:r>
      <w:r>
        <w:t xml:space="preserve"> </w:t>
      </w:r>
      <w:r>
        <w:t xml:space="preserve">learned on one farm transfers to the other (95% of outages detected</w:t>
      </w:r>
      <w:r>
        <w:t xml:space="preserve"> </w:t>
      </w:r>
      <w:r>
        <w:t xml:space="preserve">in one direction), and the transfer is mechanistically selective,</w:t>
      </w:r>
      <w:r>
        <w:t xml:space="preserve"> </w:t>
      </w:r>
      <w:r>
        <w:t xml:space="preserve">the vendor-shared generator-fan family carries across sites while</w:t>
      </w:r>
      <w:r>
        <w:t xml:space="preserve"> </w:t>
      </w:r>
      <w:r>
        <w:t xml:space="preserve">the site-phase-specific safety family does not.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§7.2,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(§6.11)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+0.244 [0.195, 0.315]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 [-0.038, 0.021]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[-0.023, 0.002]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+0.326 [0.282, 0.374]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 [-0.016, 0.023]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 [-0.048, 0.037]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The decomposition separates the traces into three clean regimes.</w:t>
      </w:r>
      <w:r>
        <w:t xml:space="preserve"> </w:t>
      </w:r>
      <w:r>
        <w:rPr>
          <w:b/>
          <w:bCs/>
        </w:rPr>
        <w:t xml:space="preserve">On the two wind farms the entire signal is event presence</w:t>
      </w:r>
      <w:r>
        <w:t xml:space="preserve"> </w:t>
      </w:r>
      <w:r>
        <w:t xml:space="preserve">(+0.244 on Kelmarsh, +0.326 on Penmanshiel, both large and with CIs</w:t>
      </w:r>
      <w:r>
        <w:t xml:space="preserve"> </w:t>
      </w:r>
      <w:r>
        <w:t xml:space="preserve">far from zero), and both the multiplicity and order increments are</w:t>
      </w:r>
      <w:r>
        <w:t xml:space="preserve"> </w:t>
      </w:r>
      <w:r>
        <w:t xml:space="preserve">indistinguishable from zero: which alarm codes occur is what predicts</w:t>
      </w:r>
      <w:r>
        <w:t xml:space="preserve"> </w:t>
      </w:r>
      <w:r>
        <w:t xml:space="preserve">the outage, not how many times or in what order. This is the</w:t>
      </w:r>
      <w:r>
        <w:t xml:space="preserve"> </w:t>
      </w:r>
      <w:r>
        <w:t xml:space="preserve">decomposition’s account of the co-located burst, and it is exactly why</w:t>
      </w:r>
      <w:r>
        <w:t xml:space="preserve"> </w:t>
      </w:r>
      <w:r>
        <w:t xml:space="preserve">the search for ordered degradation trajectories below returns so</w:t>
      </w:r>
      <w:r>
        <w:t xml:space="preserve"> </w:t>
      </w:r>
      <w:r>
        <w:t xml:space="preserve">little.</w:t>
      </w:r>
      <w:r>
        <w:t xml:space="preserve"> </w:t>
      </w:r>
      <w:r>
        <w:rPr>
          <w:b/>
          <w:bCs/>
        </w:rPr>
        <w:t xml:space="preserve">On Azure and Alibaba a large presence effect is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exactly one further channel: order on Azure (+0.032, CI excludes</w:t>
      </w:r>
      <w:r>
        <w:rPr>
          <w:b/>
          <w:bCs/>
        </w:rPr>
        <w:t xml:space="preserve"> </w:t>
      </w:r>
      <w:r>
        <w:rPr>
          <w:b/>
          <w:bCs/>
        </w:rPr>
        <w:t xml:space="preserve">zero, multiplicity does not), multiplicity on Alibaba (+0.029,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zero, order does not)</w:t>
      </w:r>
      <w:r>
        <w:t xml:space="preserve"> </w:t>
      </w:r>
      <w:r>
        <w:t xml:space="preserve">(Figure 6). Azure carries a genuine</w:t>
      </w:r>
      <w:r>
        <w:t xml:space="preserve"> </w:t>
      </w:r>
      <w:r>
        <w:t xml:space="preserve">ordering signal; Alibaba a multiplicity signal that binary itemsets</w:t>
      </w:r>
      <w:r>
        <w:t xml:space="preserve"> </w:t>
      </w:r>
      <w:r>
        <w:t xml:space="preserve">discard but exact order does not recover, which resolves the tension</w:t>
      </w:r>
      <w:r>
        <w:t xml:space="preserve"> </w:t>
      </w:r>
      <w:r>
        <w:t xml:space="preserve">with the count-preserving lift analysis below (the Alibaba sequence</w:t>
      </w:r>
      <w:r>
        <w:t xml:space="preserve"> </w:t>
      </w:r>
      <w:r>
        <w:t xml:space="preserve">advantage is repeated-event information, not exact order).</w:t>
      </w:r>
    </w:p>
    <w:p>
      <w:pPr>
        <w:pStyle w:val="BodyText"/>
      </w:pPr>
      <w:r>
        <w:t xml:space="preserve">An increment channel is only meaningful when it sits on a presence</w:t>
      </w:r>
      <w:r>
        <w:t xml:space="preserve"> </w:t>
      </w:r>
      <w:r>
        <w:t xml:space="preserve">base that itself clears the floor: a channel CI that excludes zero on</w:t>
      </w:r>
      <w:r>
        <w:t xml:space="preserve"> </w:t>
      </w:r>
      <w:r>
        <w:t xml:space="preserve">top of a floor-level presence effect moves a near-chance prediction to</w:t>
      </w:r>
      <w:r>
        <w:t xml:space="preserve"> </w:t>
      </w:r>
      <w:r>
        <w:t xml:space="preserve">a slightly-less-near-chance prediction, not a usable signal. BGL</w:t>
      </w:r>
      <w:r>
        <w:t xml:space="preserve"> </w:t>
      </w:r>
      <w:r>
        <w:t xml:space="preserve">illustrates this. Its order increment is +0.024 with a CI that</w:t>
      </w:r>
      <w:r>
        <w:t xml:space="preserve"> </w:t>
      </w:r>
      <w:r>
        <w:t xml:space="preserve">excludes zero, numerically like Azure’s, but its presence effect is</w:t>
      </w:r>
      <w:r>
        <w:t xml:space="preserve"> </w:t>
      </w:r>
      <w:r>
        <w:t xml:space="preserve">negative (-0.015) and its total AUROC never leaves 0.48 to 0.51, so</w:t>
      </w:r>
      <w:r>
        <w:t xml:space="preserve"> </w:t>
      </w:r>
      <w:r>
        <w:t xml:space="preserve">the order channel has no base to build on. SCANIA shows the opposite</w:t>
      </w:r>
      <w:r>
        <w:t xml:space="preserve"> </w:t>
      </w:r>
      <w:r>
        <w:t xml:space="preserve">failure: a significantly negative order increment (-0.075), meaning</w:t>
      </w:r>
      <w:r>
        <w:t xml:space="preserve"> </w:t>
      </w:r>
      <w:r>
        <w:t xml:space="preserve">bigram features actively hurt once counts are included, on a presence</w:t>
      </w:r>
      <w:r>
        <w:t xml:space="preserve"> </w:t>
      </w:r>
      <w:r>
        <w:t xml:space="preserve">base (+0.06) that is itself near the floor. The distinguishing-channel</w:t>
      </w:r>
      <w:r>
        <w:t xml:space="preserve"> </w:t>
      </w:r>
      <w:r>
        <w:t xml:space="preserve">claim is therefore made jointly with the presence base, not from a</w:t>
      </w:r>
      <w:r>
        <w:t xml:space="preserve"> </w:t>
      </w:r>
      <w:r>
        <w:t xml:space="preserve">single CI: the two wind farms have a large presence base and no</w:t>
      </w:r>
      <w:r>
        <w:t xml:space="preserve"> </w:t>
      </w:r>
      <w:r>
        <w:t xml:space="preserve">further channel, Azure and Alibaba have a large presence base and</w:t>
      </w:r>
      <w:r>
        <w:t xml:space="preserve"> </w:t>
      </w:r>
      <w:r>
        <w:t xml:space="preserve">exactly one further channel each, and BGL and SCANIA have no usable</w:t>
      </w:r>
      <w:r>
        <w:t xml:space="preserve"> </w:t>
      </w:r>
      <w:r>
        <w:t xml:space="preserve">presence base for any channel to build on.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All numbers in this</w:t>
      </w:r>
      <w:r>
        <w:t xml:space="preserve"> </w:t>
      </w:r>
      <w:r>
        <w:t xml:space="preserve">paragraph and in Table 3 come from one internally consistent</w:t>
      </w:r>
      <w:r>
        <w:t xml:space="preserve"> </w:t>
      </w:r>
      <w:r>
        <w:t xml:space="preserve">evaluation pass (the same windows, temporal split, and vocabulary for</w:t>
      </w:r>
      <w:r>
        <w:t xml:space="preserve"> </w:t>
      </w:r>
      <w:r>
        <w:t xml:space="preserve">every representation), which differs slightly from the separate</w:t>
      </w:r>
      <w:r>
        <w:t xml:space="preserve"> </w:t>
      </w:r>
      <w:r>
        <w:t xml:space="preserve">predictive pipeline of Table 2, so its mined-itemset AUROC (0.778 on</w:t>
      </w:r>
      <w:r>
        <w:t xml:space="preserve"> </w:t>
      </w:r>
      <w:r>
        <w:t xml:space="preserve">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 is not identical to Table 2’s (0.75); the comparison</w:t>
      </w:r>
      <w:r>
        <w:t xml:space="preserve"> </w:t>
      </w:r>
      <w:r>
        <w:t xml:space="preserve">that matters is between representations computed together.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 gradient-boosted model on event counts and a binary-bigram</w:t>
      </w:r>
      <w:r>
        <w:t xml:space="preserve"> </w:t>
      </w:r>
      <w:r>
        <w:t xml:space="preserve">logistic regression both reach AUROC 0.845, above the mined-itemset</w:t>
      </w:r>
      <w:r>
        <w:t xml:space="preserve"> </w:t>
      </w:r>
      <w:r>
        <w:t xml:space="preserve">features 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</w:t>
      </w:r>
      <w:r>
        <w:t xml:space="preserve"> </w:t>
      </w:r>
      <w:r>
        <w:t xml:space="preserve">reaches 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across all six traces, with entity-bootstrap 95% CIs. Solid bars have a CI excluding zero; hatched bars are indistinguishable from no effect. The two wind farms are pure presence; Azure adds an order increment, Alibaba a multiplicity increment; BGL and SCANIA have no usable presence base.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across all six traces, with entity-bootstrap 95% CIs. Solid bars have a CI excluding zero; hatched bars are indistinguishable from no effect. The two wind farms are pure presence; Azure adds an order increment, Alibaba a multiplicity increment; BGL and SCANIA have no usable presence base.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co-located Penmanshiel burst has a short median lead, so it often</w:t>
      </w:r>
      <w:r>
        <w:t xml:space="preserve"> </w:t>
      </w:r>
      <w:r>
        <w:t xml:space="preserve">fires too late for curtailment; the small number of validated</w:t>
      </w:r>
      <w:r>
        <w:t xml:space="preserve"> </w:t>
      </w:r>
      <w:r>
        <w:t xml:space="preserve">degradation chains next, and the prospective replay below, are where a</w:t>
      </w:r>
      <w:r>
        <w:t xml:space="preserve"> </w:t>
      </w:r>
      <w:r>
        <w:t xml:space="preserve">longer actionable lead has to come from.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We asked whether a separate class of</w:t>
      </w:r>
      <w:r>
        <w:t xml:space="preserve"> </w:t>
      </w:r>
      <w:r>
        <w:t xml:space="preserve">genuine multi-hour degradation trajectories also exists, and the</w:t>
      </w:r>
      <w:r>
        <w:t xml:space="preserve"> </w:t>
      </w:r>
      <w:r>
        <w:t xml:space="preserve">honest answer is that they are rare once two artifacts are removed.</w:t>
      </w:r>
      <w:r>
        <w:t xml:space="preserve"> </w:t>
      </w:r>
      <w:r>
        <w:t xml:space="preserve">Collapsing each 24h pre-outage window to its 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and mining ordered chains of three-to-four distinct</w:t>
      </w:r>
      <w:r>
        <w:t xml:space="preserve"> </w:t>
      </w:r>
      <w:r>
        <w:t xml:space="preserve">codes produces hundreds of BY-significant chains, but two-thirds to</w:t>
      </w:r>
      <w:r>
        <w:t xml:space="preserve"> </w:t>
      </w:r>
      <w:r>
        <w:t xml:space="preserve">five-sixths of pre-outage windows contain a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forced outage</w:t>
      </w:r>
      <w:r>
        <w:t xml:space="preserve"> </w:t>
      </w:r>
      <w:r>
        <w:t xml:space="preserve">within the horizon (65% of Kelmarsh and 75% of Penmanshiel 24h</w:t>
      </w:r>
      <w:r>
        <w:t xml:space="preserve"> </w:t>
      </w:r>
      <w:r>
        <w:t xml:space="preserve">windows), so most such chains are the aftermath of an earlier outage,</w:t>
      </w:r>
      <w:r>
        <w:t xml:space="preserve"> </w:t>
      </w:r>
      <w:r>
        <w:t xml:space="preserve">repeat-outage clustering rather than precursor degradation. After</w:t>
      </w:r>
      <w:r>
        <w:t xml:space="preserve"> </w:t>
      </w:r>
      <w:r>
        <w:t xml:space="preserve">(i) excluding every window that contains a prior outage, (ii) closed-</w:t>
      </w:r>
      <w:r>
        <w:t xml:space="preserve"> </w:t>
      </w:r>
      <w:r>
        <w:t xml:space="preserve">chain filtering, and (iii) requiring each chain to add control-side</w:t>
      </w:r>
      <w:r>
        <w:t xml:space="preserve"> </w:t>
      </w:r>
      <w:r>
        <w:t xml:space="preserve">specificity or lead over its own terminal code, only</w:t>
      </w:r>
      <w:r>
        <w:t xml:space="preserve"> </w:t>
      </w:r>
      <w:r>
        <w:rPr>
          <w:b/>
          <w:bCs/>
        </w:rPr>
        <w:t xml:space="preserve">3 chains on</w:t>
      </w:r>
      <w:r>
        <w:rPr>
          <w:b/>
          <w:bCs/>
        </w:rPr>
        <w:t xml:space="preserve"> </w:t>
      </w:r>
      <w:r>
        <w:rPr>
          <w:b/>
          <w:bCs/>
        </w:rPr>
        <w:t xml:space="preserve">Kelmarsh and 2 on Penmanshiel</w:t>
      </w:r>
      <w:r>
        <w:t xml:space="preserve"> </w:t>
      </w:r>
      <w:r>
        <w:t xml:space="preserve">survive on the inference half, reducing</w:t>
      </w:r>
      <w:r>
        <w:t xml:space="preserve"> </w:t>
      </w:r>
      <w:r>
        <w:t xml:space="preserve">to three and one distinct code sets respectively (Table 7).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The degradation chains that survive prior-outage exclusion, closed-chain filtering, and the incremental-over-terminal-code test on the 24h inference half. Each chain is more control-specific than its own terminal code; the lift equals the inference-half ceiling (2.9 on Kelmarsh at 60 cases to 113 controls, 2.2 on Penmanshiel), because every listed chain has zero or one control hit.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The degradation chains that survive prior-outage exclusion, closed-chain filtering, and the incremental-over-terminal-code test on the 24h inference half. Each chain is more control-specific than its own terminal code; the lift equals the inference-half ceiling (2.9 on Kelmarsh at 60 cases to 113 controls, 2.2 on Penmanshiel), because every listed chain has zero or one control hit."/>
      </w:tblPr>
      <w:tblGrid>
        <w:gridCol w:w="435"/>
        <w:gridCol w:w="3415"/>
        <w:gridCol w:w="944"/>
        <w:gridCol w:w="1525"/>
        <w:gridCol w:w="871"/>
        <w:gridCol w:w="7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 (24h, contamination-guarded)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code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chain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info:0 → stop:20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stop:20 (2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info:0 → info:6410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info:6410 (2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stop:3500 → info:3543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info:3543 (4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8/111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stop:3500 → info:3543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info:0 (103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9/111</w:t>
            </w:r>
          </w:p>
        </w:tc>
      </w:tr>
    </w:tbl>
    <w:p>
      <w:pPr>
        <w:pStyle w:val="BodyText"/>
      </w:pPr>
      <w:r>
        <w:t xml:space="preserve">The survivors are genuine but modest, and two points matter. First,</w:t>
      </w:r>
      <w:r>
        <w:t xml:space="preserve"> </w:t>
      </w:r>
      <w:r>
        <w:t xml:space="preserve">the one operationally striking case is Penmanshiel</w:t>
      </w:r>
      <w:r>
        <w:t xml:space="preserve"> </w:t>
      </w:r>
      <w:r>
        <w:rPr>
          <w:rStyle w:val="VerbatimChar"/>
        </w:rPr>
        <w:t xml:space="preserve">info:0 → stop:3500 → info:3543</w:t>
      </w:r>
      <w:r>
        <w:t xml:space="preserve">, which completes a median</w:t>
      </w:r>
      <w:r>
        <w:t xml:space="preserve"> </w:t>
      </w:r>
      <w:r>
        <w:rPr>
          <w:b/>
          <w:bCs/>
        </w:rPr>
        <w:t xml:space="preserve">11.4</w:t>
      </w:r>
      <w:r>
        <w:rPr>
          <w:b/>
          <w:bCs/>
        </w:rPr>
        <w:t xml:space="preserve"> </w:t>
      </w:r>
      <w:r>
        <w:rPr>
          <w:b/>
          <w:bCs/>
        </w:rPr>
        <w:t xml:space="preserve">hours</w:t>
      </w:r>
      <w:r>
        <w:t xml:space="preserve"> </w:t>
      </w:r>
      <w:r>
        <w:t xml:space="preserve">before the outage; its terminal code</w:t>
      </w:r>
      <w:r>
        <w:t xml:space="preserve"> </w:t>
      </w:r>
      <w:r>
        <w:rPr>
          <w:rStyle w:val="VerbatimChar"/>
        </w:rPr>
        <w:t xml:space="preserve">info:3543</w:t>
      </w:r>
      <w:r>
        <w:t xml:space="preserve"> </w:t>
      </w:r>
      <w:r>
        <w:t xml:space="preserve">already fires</w:t>
      </w:r>
      <w:r>
        <w:t xml:space="preserve"> </w:t>
      </w:r>
      <w:r>
        <w:t xml:space="preserve">that far ahead, but with four control false positives, and the ordered</w:t>
      </w:r>
      <w:r>
        <w:t xml:space="preserve"> </w:t>
      </w:r>
      <w:r>
        <w:t xml:space="preserve">chain removes them, so the chain buys specificity on top of an</w:t>
      </w:r>
      <w:r>
        <w:t xml:space="preserve"> </w:t>
      </w:r>
      <w:r>
        <w:t xml:space="preserve">already-long lead. Second, widening the horizon to 72h does not help:</w:t>
      </w:r>
      <w:r>
        <w:t xml:space="preserve"> </w:t>
      </w:r>
      <w:r>
        <w:t xml:space="preserve">the guarded Penmanshiel catalog drops to zero, and the guarded</w:t>
      </w:r>
      <w:r>
        <w:t xml:space="preserve"> </w:t>
      </w:r>
      <w:r>
        <w:t xml:space="preserve">Kelmarsh chains reduce to four distinct code sets whose many ordered</w:t>
      </w:r>
      <w:r>
        <w:t xml:space="preserve"> </w:t>
      </w:r>
      <w:r>
        <w:t xml:space="preserve">variants are the same co-occurring codes in different orders. The</w:t>
      </w:r>
      <w:r>
        <w:t xml:space="preserve"> </w:t>
      </w:r>
      <w:r>
        <w:t xml:space="preserve">finding is therefore that the wind-farm precursor is dominated by</w:t>
      </w:r>
      <w:r>
        <w:t xml:space="preserve"> </w:t>
      </w:r>
      <w:r>
        <w:t xml:space="preserve">co-located bursts and a small number of code sets; genuine long ordered</w:t>
      </w:r>
      <w:r>
        <w:t xml:space="preserve"> </w:t>
      </w:r>
      <w:r>
        <w:t xml:space="preserve">degradation trajectories, once contamination and redundancy are</w:t>
      </w:r>
      <w:r>
        <w:t xml:space="preserve"> </w:t>
      </w:r>
      <w:r>
        <w:t xml:space="preserve">removed, are few, which is itself consistent with the paper’s thesis</w:t>
      </w:r>
      <w:r>
        <w:t xml:space="preserve"> </w:t>
      </w:r>
      <w:r>
        <w:t xml:space="preserve">that co-occurrence is not the same as an ordered trajectory.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asymmetrically. A Kelmarsh-trained rule detects 95% of</w:t>
      </w:r>
      <w:r>
        <w:t xml:space="preserve"> </w:t>
      </w:r>
      <w:r>
        <w:t xml:space="preserve">Penmanshiel forced outages at precision 0.35 and 4.3 false alarms per</w:t>
      </w:r>
      <w:r>
        <w:t xml:space="preserve"> </w:t>
      </w:r>
      <w:r>
        <w:t xml:space="preserve">turbine-month, with a median 72-minute lead; a Penmanshiel-trained</w:t>
      </w:r>
      <w:r>
        <w:t xml:space="preserve"> </w:t>
      </w:r>
      <w:r>
        <w:t xml:space="preserve">rule detects 50% of Kelmarsh outages at precision 0.37, 0.6 false</w:t>
      </w:r>
      <w:r>
        <w:t xml:space="preserve"> </w:t>
      </w:r>
      <w:r>
        <w:t xml:space="preserve">alarms per turbine-month, and a 4-minute lead. (This 95% transfer</w:t>
      </w:r>
      <w:r>
        <w:t xml:space="preserve"> </w:t>
      </w:r>
      <w:r>
        <w:t xml:space="preserve">recall is a distinct quantity from the 95% within-farm replay recall</w:t>
      </w:r>
      <w:r>
        <w:t xml:space="preserve"> </w:t>
      </w:r>
      <w:r>
        <w:t xml:space="preserve">reported below, which happen to coincide.) The generator-fan code</w:t>
      </w:r>
      <w:r>
        <w:t xml:space="preserve"> </w:t>
      </w:r>
      <w:r>
        <w:t xml:space="preserve">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End w:id="54"/>
    <w:bookmarkStart w:id="55" w:name="X5f409ab5bc0cacb368394f2fe592924467a43a9"/>
    <w:p>
      <w:pPr>
        <w:pStyle w:val="Heading3"/>
      </w:pPr>
      <w:r>
        <w:t xml:space="preserve">6.7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 (illustrative, on synthetic Azure PdM data): an alarm rule would</w:t>
      </w:r>
      <w:r>
        <w:t xml:space="preserve"> </w:t>
      </w:r>
      <w:r>
        <w:t xml:space="preserve">raise a component-replacement work order whenever a machine’s log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 window, escalating</w:t>
      </w:r>
      <w:r>
        <w:t xml:space="preserve"> </w:t>
      </w:r>
      <w:r>
        <w:t xml:space="preserve">faster for the direction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 The near-perfect</w:t>
      </w:r>
      <w:r>
        <w:t xml:space="preserve"> </w:t>
      </w:r>
      <w:r>
        <w:t xml:space="preserve">separation here is partly a property of the synthetic generator.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 Reduce task entering Waiting state is the dominant</w:t>
      </w:r>
      <w:r>
        <w:rPr>
          <w:b/>
          <w:bCs/>
        </w:rPr>
        <w:t xml:space="preserve"> </w:t>
      </w:r>
      <w:r>
        <w:rPr>
          <w:b/>
          <w:bCs/>
        </w:rPr>
        <w:t xml:space="preserve">single marker of subsequent job failure</w:t>
      </w:r>
      <w:r>
        <w:t xml:space="preserve">. The near-certain posterior</w:t>
      </w:r>
      <w:r>
        <w:t xml:space="preserve"> </w:t>
      </w:r>
      <w:r>
        <w:t xml:space="preserve">holds at the 1:3 sample base rate; the operational posterior is lower</w:t>
      </w:r>
      <w:r>
        <w:t xml:space="preserve"> </w:t>
      </w:r>
      <w:r>
        <w:t xml:space="preserve">and base-rate dependent (§6.9). Longer patterns add no signal beyond</w:t>
      </w:r>
      <w:r>
        <w:t xml:space="preserve"> </w:t>
      </w:r>
      <w:r>
        <w:t xml:space="preserve">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, and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reading holds.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(§6.11);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6.8 through 6.12 present the aggregate evidence behind these</w:t>
      </w:r>
      <w:r>
        <w:t xml:space="preserve"> </w:t>
      </w:r>
      <w:r>
        <w:t xml:space="preserve">signatures: the predictive-vs-frequent-noise separation (§6.8),</w:t>
      </w:r>
      <w:r>
        <w:t xml:space="preserve"> </w:t>
      </w:r>
      <w:r>
        <w:t xml:space="preserve">post-selection-valid sequence significance (§6.9), the same-sample</w:t>
      </w:r>
      <w:r>
        <w:t xml:space="preserve"> </w:t>
      </w:r>
      <w:r>
        <w:t xml:space="preserve">marginal baseline (§6.10), the SCANIA matched hazard-ratio analysis</w:t>
      </w:r>
      <w:r>
        <w:t xml:space="preserve"> </w:t>
      </w:r>
      <w:r>
        <w:t xml:space="preserve">(§6.11), and lead time on true positives (§6.12).</w:t>
      </w:r>
    </w:p>
    <w:bookmarkEnd w:id="55"/>
    <w:bookmarkStart w:id="56" w:name="X44aeb5833a19b6d32b8998867e975190f65e5f8"/>
    <w:p>
      <w:pPr>
        <w:pStyle w:val="Heading3"/>
      </w:pPr>
      <w:r>
        <w:t xml:space="preserve">6.8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is selected in every split on five of the six traces (20/20</w:t>
      </w:r>
      <w:r>
        <w:t xml:space="preserve"> </w:t>
      </w:r>
      <w:r>
        <w:t xml:space="preserve">on Azure, Alibaba, SCANIA and Kelmarsh; 30/30 on Penmanshiel) and in</w:t>
      </w:r>
      <w:r>
        <w:t xml:space="preserve"> </w:t>
      </w:r>
      <w:r>
        <w:t xml:space="preserve">16 of 20 splits on BGL, the significant fraction varies only within a</w:t>
      </w:r>
      <w:r>
        <w:t xml:space="preserve"> </w:t>
      </w:r>
      <w:r>
        <w:t xml:space="preserve">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§6.11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6.9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6.10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§6.8 and §6.9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6.11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6.12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4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six-contrasting-case-studies"/>
    <w:p>
      <w:pPr>
        <w:pStyle w:val="Heading3"/>
      </w:pPr>
      <w:r>
        <w:t xml:space="preserve">7.2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alarm-code progression is consistent with a</w:t>
      </w:r>
      <w:r>
        <w:t xml:space="preserve"> </w:t>
      </w:r>
      <w:r>
        <w:t xml:space="preserve">physical mechanical-wear cascade that produces the intermediate codes</w:t>
      </w:r>
      <w:r>
        <w:t xml:space="preserve"> </w:t>
      </w:r>
      <w:r>
        <w:t xml:space="preserve">the mining recovers, though the logs alone do not establish the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The two lead-time regimes in §6.12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3"/>
    <w:bookmarkEnd w:id="64"/>
    <w:bookmarkStart w:id="65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5"/>
    <w:bookmarkStart w:id="66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6"/>
    <w:bookmarkStart w:id="67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with an alarm-code progression consistent with a mechanical wear</w:t>
      </w:r>
      <w:r>
        <w:t xml:space="preserve"> </w:t>
      </w:r>
      <w:r>
        <w:t xml:space="preserve">process that terminates as Forced outages, and validated distinct-code</w:t>
      </w:r>
      <w:r>
        <w:t xml:space="preserve"> </w:t>
      </w:r>
      <w:r>
        <w:t xml:space="preserve">degradation chains that complete a median two-to-four hours before the</w:t>
      </w:r>
      <w:r>
        <w:t xml:space="preserve"> </w:t>
      </w:r>
      <w:r>
        <w:t xml:space="preserve">outage. Beyond the co-located catalog, the presence / multiplicity /</w:t>
      </w:r>
      <w:r>
        <w:t xml:space="preserve"> </w:t>
      </w:r>
      <w:r>
        <w:t xml:space="preserve">order decomposition places the two cloud/maintenance traces in</w:t>
      </w:r>
      <w:r>
        <w:t xml:space="preserve"> </w:t>
      </w:r>
      <w:r>
        <w:t xml:space="preserve">opposite corners: on Azure the distinguishing held-out increment is</w:t>
      </w:r>
      <w:r>
        <w:t xml:space="preserve"> </w:t>
      </w:r>
      <w:r>
        <w:t xml:space="preserve">event order, on Alibaba it is event multiplicity, not exact order. On</w:t>
      </w:r>
      <w:r>
        <w:t xml:space="preserve"> </w:t>
      </w:r>
      <w:r>
        <w:t xml:space="preserve">raw accuracy the mined-pattern features do not beat a gradient-boosted</w:t>
      </w:r>
      <w:r>
        <w:t xml:space="preserve"> </w:t>
      </w:r>
      <w:r>
        <w:t xml:space="preserve">count model; their contribution is validated, human-readable</w:t>
      </w:r>
      <w:r>
        <w:t xml:space="preserve"> </w:t>
      </w:r>
      <w:r>
        <w:t xml:space="preserve">signatures and the decomposition itself, not a maximal predictive</w:t>
      </w:r>
      <w:r>
        <w:t xml:space="preserve"> </w:t>
      </w:r>
      <w:r>
        <w:t xml:space="preserve">score.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7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68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8"/>
    <w:bookmarkStart w:id="70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69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0"/>
    <w:bookmarkStart w:id="72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1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2"/>
    <w:bookmarkStart w:id="74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3">
        <w:r>
          <w:rPr>
            <w:rStyle w:val="Hyperlink"/>
          </w:rPr>
          <w:t xml:space="preserve">https://doi.org/10.1023/A:1007652502315</w:t>
        </w:r>
      </w:hyperlink>
    </w:p>
    <w:bookmarkEnd w:id="74"/>
    <w:bookmarkStart w:id="76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5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6"/>
    <w:bookmarkStart w:id="78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7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8"/>
    <w:bookmarkStart w:id="80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79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0"/>
    <w:bookmarkStart w:id="82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1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2"/>
    <w:bookmarkStart w:id="84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4"/>
    <w:bookmarkStart w:id="86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5">
        <w:r>
          <w:rPr>
            <w:rStyle w:val="Hyperlink"/>
          </w:rPr>
          <w:t xml:space="preserve">https://doi.org/10.21105/joss.00638</w:t>
        </w:r>
      </w:hyperlink>
    </w:p>
    <w:bookmarkEnd w:id="86"/>
    <w:bookmarkStart w:id="88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7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8"/>
    <w:bookmarkStart w:id="90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89">
        <w:r>
          <w:rPr>
            <w:rStyle w:val="Hyperlink"/>
          </w:rPr>
          <w:t xml:space="preserve">https://doi.org/10.1007/s11227-024-06297-1</w:t>
        </w:r>
      </w:hyperlink>
    </w:p>
    <w:bookmarkEnd w:id="90"/>
    <w:bookmarkStart w:id="92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1">
        <w:r>
          <w:rPr>
            <w:rStyle w:val="Hyperlink"/>
          </w:rPr>
          <w:t xml:space="preserve">https://doi.org/10.1016/j.jprocont.2023.103041</w:t>
        </w:r>
      </w:hyperlink>
    </w:p>
    <w:bookmarkEnd w:id="92"/>
    <w:bookmarkStart w:id="94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3">
        <w:r>
          <w:rPr>
            <w:rStyle w:val="Hyperlink"/>
          </w:rPr>
          <w:t xml:space="preserve">https://doi.org/10.3390/pr11041169</w:t>
        </w:r>
      </w:hyperlink>
    </w:p>
    <w:bookmarkEnd w:id="94"/>
    <w:bookmarkStart w:id="96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5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6"/>
    <w:bookmarkStart w:id="98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https://doi.org/10.48550/arXiv.2510.06831</w:t>
        </w:r>
      </w:hyperlink>
    </w:p>
    <w:bookmarkEnd w:id="98"/>
    <w:bookmarkStart w:id="100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99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0"/>
    <w:bookmarkStart w:id="102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1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2"/>
    <w:bookmarkStart w:id="104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3">
        <w:r>
          <w:rPr>
            <w:rStyle w:val="Hyperlink"/>
          </w:rPr>
          <w:t xml:space="preserve">https://doi.org/10.1073/pnas.1302233110</w:t>
        </w:r>
      </w:hyperlink>
    </w:p>
    <w:bookmarkEnd w:id="104"/>
    <w:bookmarkStart w:id="106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5">
        <w:r>
          <w:rPr>
            <w:rStyle w:val="Hyperlink"/>
          </w:rPr>
          <w:t xml:space="preserve">https://doi.org/10.1007/s10618-018-0590-x</w:t>
        </w:r>
      </w:hyperlink>
    </w:p>
    <w:bookmarkEnd w:id="106"/>
    <w:bookmarkStart w:id="108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7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8"/>
    <w:bookmarkStart w:id="110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09">
        <w:r>
          <w:rPr>
            <w:rStyle w:val="Hyperlink"/>
          </w:rPr>
          <w:t xml:space="preserve">https://doi.org/10.14778/3675034.3675055</w:t>
        </w:r>
      </w:hyperlink>
    </w:p>
    <w:bookmarkEnd w:id="110"/>
    <w:bookmarkStart w:id="112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1">
        <w:r>
          <w:rPr>
            <w:rStyle w:val="Hyperlink"/>
          </w:rPr>
          <w:t xml:space="preserve">https://doi.org/10.48550/arXiv.1410.2597</w:t>
        </w:r>
      </w:hyperlink>
    </w:p>
    <w:bookmarkEnd w:id="112"/>
    <w:bookmarkStart w:id="114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3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4"/>
    <w:bookmarkStart w:id="116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5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6"/>
    <w:bookmarkStart w:id="118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7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8"/>
    <w:bookmarkStart w:id="120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19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0"/>
    <w:bookmarkStart w:id="122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1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2"/>
    <w:bookmarkStart w:id="124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3">
        <w:r>
          <w:rPr>
            <w:rStyle w:val="Hyperlink"/>
          </w:rPr>
          <w:t xml:space="preserve">https://doi.org/10.48550/arXiv.2401.04749</w:t>
        </w:r>
      </w:hyperlink>
    </w:p>
    <w:bookmarkEnd w:id="124"/>
    <w:bookmarkStart w:id="126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5">
        <w:r>
          <w:rPr>
            <w:rStyle w:val="Hyperlink"/>
          </w:rPr>
          <w:t xml:space="preserve">https://doi.org/10.1016/j.mlwa.2023.100470</w:t>
        </w:r>
      </w:hyperlink>
    </w:p>
    <w:bookmarkEnd w:id="126"/>
    <w:bookmarkStart w:id="128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7">
        <w:r>
          <w:rPr>
            <w:rStyle w:val="Hyperlink"/>
          </w:rPr>
          <w:t xml:space="preserve">https://doi.org/10.1007/s10664-024-10501-4</w:t>
        </w:r>
      </w:hyperlink>
    </w:p>
    <w:bookmarkEnd w:id="128"/>
    <w:bookmarkStart w:id="130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29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0"/>
    <w:bookmarkStart w:id="132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1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2"/>
    <w:bookmarkStart w:id="134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3">
        <w:r>
          <w:rPr>
            <w:rStyle w:val="Hyperlink"/>
          </w:rPr>
          <w:t xml:space="preserve">https://doi.org/10.48550/arXiv.1808.02919</w:t>
        </w:r>
      </w:hyperlink>
    </w:p>
    <w:bookmarkEnd w:id="134"/>
    <w:bookmarkStart w:id="136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5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6"/>
    <w:bookmarkStart w:id="138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7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8"/>
    <w:bookmarkStart w:id="140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39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0"/>
    <w:bookmarkStart w:id="142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1">
        <w:r>
          <w:rPr>
            <w:rStyle w:val="Hyperlink"/>
          </w:rPr>
          <w:t xml:space="preserve">https://doi.org/10.1007/s10489-021-03004-y</w:t>
        </w:r>
      </w:hyperlink>
    </w:p>
    <w:bookmarkEnd w:id="142"/>
    <w:bookmarkStart w:id="144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3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4"/>
    <w:bookmarkStart w:id="146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5">
        <w:r>
          <w:rPr>
            <w:rStyle w:val="Hyperlink"/>
          </w:rPr>
          <w:t xml:space="preserve">https://doi.org/10.1038/s41597-025-04802-6</w:t>
        </w:r>
      </w:hyperlink>
    </w:p>
    <w:bookmarkEnd w:id="146"/>
    <w:bookmarkStart w:id="148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7">
        <w:r>
          <w:rPr>
            <w:rStyle w:val="Hyperlink"/>
          </w:rPr>
          <w:t xml:space="preserve">https://doi.org/10.1111/j.2517-6161.1995.tb02031.x</w:t>
        </w:r>
      </w:hyperlink>
    </w:p>
    <w:bookmarkEnd w:id="148"/>
    <w:bookmarkStart w:id="150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https://doi.org/10.1214/aos/1013699998</w:t>
        </w:r>
      </w:hyperlink>
    </w:p>
    <w:bookmarkEnd w:id="150"/>
    <w:bookmarkStart w:id="152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1">
        <w:r>
          <w:rPr>
            <w:rStyle w:val="Hyperlink"/>
          </w:rPr>
          <w:t xml:space="preserve">https://doi.org/10.1093/biomet/65.1.153</w:t>
        </w:r>
      </w:hyperlink>
    </w:p>
    <w:bookmarkEnd w:id="152"/>
    <w:bookmarkStart w:id="154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3">
        <w:r>
          <w:rPr>
            <w:rStyle w:val="Hyperlink"/>
          </w:rPr>
          <w:t xml:space="preserve">https://doi.org/10.1214/ss/1032209663</w:t>
        </w:r>
      </w:hyperlink>
    </w:p>
    <w:bookmarkEnd w:id="154"/>
    <w:bookmarkStart w:id="156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5">
        <w:r>
          <w:rPr>
            <w:rStyle w:val="Hyperlink"/>
          </w:rPr>
          <w:t xml:space="preserve">Kelmarsh wind farm data</w:t>
        </w:r>
      </w:hyperlink>
    </w:p>
    <w:bookmarkEnd w:id="156"/>
    <w:bookmarkStart w:id="158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7">
        <w:r>
          <w:rPr>
            <w:rStyle w:val="Hyperlink"/>
          </w:rPr>
          <w:t xml:space="preserve">Penmanshiel wind farm data</w:t>
        </w:r>
      </w:hyperlink>
    </w:p>
    <w:bookmarkEnd w:id="158"/>
    <w:bookmarkStart w:id="160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59">
        <w:r>
          <w:rPr>
            <w:rStyle w:val="Hyperlink"/>
          </w:rPr>
          <w:t xml:space="preserve">Azure AI Gallery Predictive Maintenance Sample</w:t>
        </w:r>
      </w:hyperlink>
    </w:p>
    <w:bookmarkEnd w:id="160"/>
    <w:bookmarkStart w:id="162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1">
        <w:r>
          <w:rPr>
            <w:rStyle w:val="Hyperlink"/>
          </w:rPr>
          <w:t xml:space="preserve">Alibaba cluster-trace-v2018</w:t>
        </w:r>
      </w:hyperlink>
    </w:p>
    <w:bookmarkEnd w:id="162"/>
    <w:bookmarkStart w:id="164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3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4"/>
    <w:bookmarkStart w:id="165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5"/>
    <w:bookmarkStart w:id="167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6">
        <w:r>
          <w:rPr>
            <w:rStyle w:val="Hyperlink"/>
          </w:rPr>
          <w:t xml:space="preserve">https://doi.org/10.48550/arXiv.1511.01478</w:t>
        </w:r>
      </w:hyperlink>
    </w:p>
    <w:bookmarkEnd w:id="167"/>
    <w:bookmarkStart w:id="169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8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69"/>
    <w:bookmarkEnd w:id="170"/>
    <w:bookmarkEnd w:id="1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1" Target="https://doi.org/10.1007/978-3-031-11217-1_3" TargetMode="External" /><Relationship Type="http://schemas.openxmlformats.org/officeDocument/2006/relationships/hyperlink" Id="rId95" Target="https://doi.org/10.1007/978-3-031-15842-1_14" TargetMode="External" /><Relationship Type="http://schemas.openxmlformats.org/officeDocument/2006/relationships/hyperlink" Id="rId79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83" Target="https://doi.org/10.1007/978-3-319-46131-1_8" TargetMode="External" /><Relationship Type="http://schemas.openxmlformats.org/officeDocument/2006/relationships/hyperlink" Id="rId143" Target="https://doi.org/10.1007/978-3-319-46349-0_33" TargetMode="External" /><Relationship Type="http://schemas.openxmlformats.org/officeDocument/2006/relationships/hyperlink" Id="rId87" Target="https://doi.org/10.1007/978-981-16-1160-5_13" TargetMode="External" /><Relationship Type="http://schemas.openxmlformats.org/officeDocument/2006/relationships/hyperlink" Id="rId71" Target="https://doi.org/10.1007/BFb0014140" TargetMode="External" /><Relationship Type="http://schemas.openxmlformats.org/officeDocument/2006/relationships/hyperlink" Id="rId14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27" Target="https://doi.org/10.1007/s10664-024-10501-4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91" Target="https://doi.org/10.1016/j.jprocont.2023.103041" TargetMode="External" /><Relationship Type="http://schemas.openxmlformats.org/officeDocument/2006/relationships/hyperlink" Id="rId125" Target="https://doi.org/10.1016/j.mlwa.2023.100470" TargetMode="External" /><Relationship Type="http://schemas.openxmlformats.org/officeDocument/2006/relationships/hyperlink" Id="rId73" Target="https://doi.org/10.1023/A:1007652502315" TargetMode="External" /><Relationship Type="http://schemas.openxmlformats.org/officeDocument/2006/relationships/hyperlink" Id="rId145" Target="https://doi.org/10.1038/s41597-025-04802-6" TargetMode="External" /><Relationship Type="http://schemas.openxmlformats.org/officeDocument/2006/relationships/hyperlink" Id="rId103" Target="https://doi.org/10.1073/pnas.1302233110" TargetMode="External" /><Relationship Type="http://schemas.openxmlformats.org/officeDocument/2006/relationships/hyperlink" Id="rId151" Target="https://doi.org/10.1093/biomet/65.1.153" TargetMode="External" /><Relationship Type="http://schemas.openxmlformats.org/officeDocument/2006/relationships/hyperlink" Id="rId163" Target="https://doi.org/10.1109/BigData.2017.8258257" TargetMode="External" /><Relationship Type="http://schemas.openxmlformats.org/officeDocument/2006/relationships/hyperlink" Id="rId137" Target="https://doi.org/10.1109/DSN.2007.103" TargetMode="External" /><Relationship Type="http://schemas.openxmlformats.org/officeDocument/2006/relationships/hyperlink" Id="rId75" Target="https://doi.org/10.1109/ICDE.2001.914830" TargetMode="External" /><Relationship Type="http://schemas.openxmlformats.org/officeDocument/2006/relationships/hyperlink" Id="rId131" Target="https://doi.org/10.1109/ICSE-SEIP.2019.00021" TargetMode="External" /><Relationship Type="http://schemas.openxmlformats.org/officeDocument/2006/relationships/hyperlink" Id="rId119" Target="https://doi.org/10.1109/ICSE43902.2021.00130" TargetMode="External" /><Relationship Type="http://schemas.openxmlformats.org/officeDocument/2006/relationships/hyperlink" Id="rId121" Target="https://doi.org/10.1109/IJCNN52387.2021.9534113" TargetMode="External" /><Relationship Type="http://schemas.openxmlformats.org/officeDocument/2006/relationships/hyperlink" Id="rId129" Target="https://doi.org/10.1109/ISSRE59848.2023.00071" TargetMode="External" /><Relationship Type="http://schemas.openxmlformats.org/officeDocument/2006/relationships/hyperlink" Id="rId139" Target="https://doi.org/10.1109/PHM.2008.4711414" TargetMode="External" /><Relationship Type="http://schemas.openxmlformats.org/officeDocument/2006/relationships/hyperlink" Id="rId147" Target="https://doi.org/10.1111/j.2517-6161.1995.tb02031.x" TargetMode="External" /><Relationship Type="http://schemas.openxmlformats.org/officeDocument/2006/relationships/hyperlink" Id="rId168" Target="https://doi.org/10.1137/1.9781611972733.15" TargetMode="External" /><Relationship Type="http://schemas.openxmlformats.org/officeDocument/2006/relationships/hyperlink" Id="rId99" Target="https://doi.org/10.1145/312129.312191" TargetMode="External" /><Relationship Type="http://schemas.openxmlformats.org/officeDocument/2006/relationships/hyperlink" Id="rId101" Target="https://doi.org/10.1145/312129.312263" TargetMode="External" /><Relationship Type="http://schemas.openxmlformats.org/officeDocument/2006/relationships/hyperlink" Id="rId113" Target="https://doi.org/10.1145/3133956.3134015" TargetMode="External" /><Relationship Type="http://schemas.openxmlformats.org/officeDocument/2006/relationships/hyperlink" Id="rId117" Target="https://doi.org/10.1145/3338906.3338931" TargetMode="External" /><Relationship Type="http://schemas.openxmlformats.org/officeDocument/2006/relationships/hyperlink" Id="rId69" Target="https://doi.org/10.1145/342009.335372" TargetMode="External" /><Relationship Type="http://schemas.openxmlformats.org/officeDocument/2006/relationships/hyperlink" Id="rId135" Target="https://doi.org/10.1145/3472883.3487003" TargetMode="External" /><Relationship Type="http://schemas.openxmlformats.org/officeDocument/2006/relationships/hyperlink" Id="rId107" Target="https://doi.org/10.1145/3534678.3539398" TargetMode="External" /><Relationship Type="http://schemas.openxmlformats.org/officeDocument/2006/relationships/hyperlink" Id="rId149" Target="https://doi.org/10.1214/aos/1013699998" TargetMode="External" /><Relationship Type="http://schemas.openxmlformats.org/officeDocument/2006/relationships/hyperlink" Id="rId153" Target="https://doi.org/10.1214/ss/1032209663" TargetMode="External" /><Relationship Type="http://schemas.openxmlformats.org/officeDocument/2006/relationships/hyperlink" Id="rId109" Target="https://doi.org/10.14778/3675034.3675055" TargetMode="External" /><Relationship Type="http://schemas.openxmlformats.org/officeDocument/2006/relationships/hyperlink" Id="rId85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93" Target="https://doi.org/10.3390/pr11041169" TargetMode="External" /><Relationship Type="http://schemas.openxmlformats.org/officeDocument/2006/relationships/hyperlink" Id="rId111" Target="https://doi.org/10.48550/arXiv.1410.2597" TargetMode="External" /><Relationship Type="http://schemas.openxmlformats.org/officeDocument/2006/relationships/hyperlink" Id="rId166" Target="https://doi.org/10.48550/arXiv.1511.01478" TargetMode="External" /><Relationship Type="http://schemas.openxmlformats.org/officeDocument/2006/relationships/hyperlink" Id="rId133" Target="https://doi.org/10.48550/arXiv.1808.02919" TargetMode="External" /><Relationship Type="http://schemas.openxmlformats.org/officeDocument/2006/relationships/hyperlink" Id="rId123" Target="https://doi.org/10.48550/arXiv.2401.04749" TargetMode="External" /><Relationship Type="http://schemas.openxmlformats.org/officeDocument/2006/relationships/hyperlink" Id="rId97" Target="https://doi.org/10.48550/arXiv.2510.06831" TargetMode="External" /><Relationship Type="http://schemas.openxmlformats.org/officeDocument/2006/relationships/hyperlink" Id="rId155" Target="https://doi.org/10.5281/zenodo.5841834" TargetMode="External" /><Relationship Type="http://schemas.openxmlformats.org/officeDocument/2006/relationships/hyperlink" Id="rId157" Target="https://doi.org/10.5281/zenodo.5946808" TargetMode="External" /><Relationship Type="http://schemas.openxmlformats.org/officeDocument/2006/relationships/hyperlink" Id="rId161" Target="https://github.com/alibaba/clusterdata" TargetMode="External" /><Relationship Type="http://schemas.openxmlformats.org/officeDocument/2006/relationships/hyperlink" Id="rId159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doi.org/10.1007/978-3-031-11217-1_3" TargetMode="External" /><Relationship Type="http://schemas.openxmlformats.org/officeDocument/2006/relationships/hyperlink" Id="rId95" Target="https://doi.org/10.1007/978-3-031-15842-1_14" TargetMode="External" /><Relationship Type="http://schemas.openxmlformats.org/officeDocument/2006/relationships/hyperlink" Id="rId79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83" Target="https://doi.org/10.1007/978-3-319-46131-1_8" TargetMode="External" /><Relationship Type="http://schemas.openxmlformats.org/officeDocument/2006/relationships/hyperlink" Id="rId143" Target="https://doi.org/10.1007/978-3-319-46349-0_33" TargetMode="External" /><Relationship Type="http://schemas.openxmlformats.org/officeDocument/2006/relationships/hyperlink" Id="rId87" Target="https://doi.org/10.1007/978-981-16-1160-5_13" TargetMode="External" /><Relationship Type="http://schemas.openxmlformats.org/officeDocument/2006/relationships/hyperlink" Id="rId71" Target="https://doi.org/10.1007/BFb0014140" TargetMode="External" /><Relationship Type="http://schemas.openxmlformats.org/officeDocument/2006/relationships/hyperlink" Id="rId14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27" Target="https://doi.org/10.1007/s10664-024-10501-4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91" Target="https://doi.org/10.1016/j.jprocont.2023.103041" TargetMode="External" /><Relationship Type="http://schemas.openxmlformats.org/officeDocument/2006/relationships/hyperlink" Id="rId125" Target="https://doi.org/10.1016/j.mlwa.2023.100470" TargetMode="External" /><Relationship Type="http://schemas.openxmlformats.org/officeDocument/2006/relationships/hyperlink" Id="rId73" Target="https://doi.org/10.1023/A:1007652502315" TargetMode="External" /><Relationship Type="http://schemas.openxmlformats.org/officeDocument/2006/relationships/hyperlink" Id="rId145" Target="https://doi.org/10.1038/s41597-025-04802-6" TargetMode="External" /><Relationship Type="http://schemas.openxmlformats.org/officeDocument/2006/relationships/hyperlink" Id="rId103" Target="https://doi.org/10.1073/pnas.1302233110" TargetMode="External" /><Relationship Type="http://schemas.openxmlformats.org/officeDocument/2006/relationships/hyperlink" Id="rId151" Target="https://doi.org/10.1093/biomet/65.1.153" TargetMode="External" /><Relationship Type="http://schemas.openxmlformats.org/officeDocument/2006/relationships/hyperlink" Id="rId163" Target="https://doi.org/10.1109/BigData.2017.8258257" TargetMode="External" /><Relationship Type="http://schemas.openxmlformats.org/officeDocument/2006/relationships/hyperlink" Id="rId137" Target="https://doi.org/10.1109/DSN.2007.103" TargetMode="External" /><Relationship Type="http://schemas.openxmlformats.org/officeDocument/2006/relationships/hyperlink" Id="rId75" Target="https://doi.org/10.1109/ICDE.2001.914830" TargetMode="External" /><Relationship Type="http://schemas.openxmlformats.org/officeDocument/2006/relationships/hyperlink" Id="rId131" Target="https://doi.org/10.1109/ICSE-SEIP.2019.00021" TargetMode="External" /><Relationship Type="http://schemas.openxmlformats.org/officeDocument/2006/relationships/hyperlink" Id="rId119" Target="https://doi.org/10.1109/ICSE43902.2021.00130" TargetMode="External" /><Relationship Type="http://schemas.openxmlformats.org/officeDocument/2006/relationships/hyperlink" Id="rId121" Target="https://doi.org/10.1109/IJCNN52387.2021.9534113" TargetMode="External" /><Relationship Type="http://schemas.openxmlformats.org/officeDocument/2006/relationships/hyperlink" Id="rId129" Target="https://doi.org/10.1109/ISSRE59848.2023.00071" TargetMode="External" /><Relationship Type="http://schemas.openxmlformats.org/officeDocument/2006/relationships/hyperlink" Id="rId139" Target="https://doi.org/10.1109/PHM.2008.4711414" TargetMode="External" /><Relationship Type="http://schemas.openxmlformats.org/officeDocument/2006/relationships/hyperlink" Id="rId147" Target="https://doi.org/10.1111/j.2517-6161.1995.tb02031.x" TargetMode="External" /><Relationship Type="http://schemas.openxmlformats.org/officeDocument/2006/relationships/hyperlink" Id="rId168" Target="https://doi.org/10.1137/1.9781611972733.15" TargetMode="External" /><Relationship Type="http://schemas.openxmlformats.org/officeDocument/2006/relationships/hyperlink" Id="rId99" Target="https://doi.org/10.1145/312129.312191" TargetMode="External" /><Relationship Type="http://schemas.openxmlformats.org/officeDocument/2006/relationships/hyperlink" Id="rId101" Target="https://doi.org/10.1145/312129.312263" TargetMode="External" /><Relationship Type="http://schemas.openxmlformats.org/officeDocument/2006/relationships/hyperlink" Id="rId113" Target="https://doi.org/10.1145/3133956.3134015" TargetMode="External" /><Relationship Type="http://schemas.openxmlformats.org/officeDocument/2006/relationships/hyperlink" Id="rId117" Target="https://doi.org/10.1145/3338906.3338931" TargetMode="External" /><Relationship Type="http://schemas.openxmlformats.org/officeDocument/2006/relationships/hyperlink" Id="rId69" Target="https://doi.org/10.1145/342009.335372" TargetMode="External" /><Relationship Type="http://schemas.openxmlformats.org/officeDocument/2006/relationships/hyperlink" Id="rId135" Target="https://doi.org/10.1145/3472883.3487003" TargetMode="External" /><Relationship Type="http://schemas.openxmlformats.org/officeDocument/2006/relationships/hyperlink" Id="rId107" Target="https://doi.org/10.1145/3534678.3539398" TargetMode="External" /><Relationship Type="http://schemas.openxmlformats.org/officeDocument/2006/relationships/hyperlink" Id="rId149" Target="https://doi.org/10.1214/aos/1013699998" TargetMode="External" /><Relationship Type="http://schemas.openxmlformats.org/officeDocument/2006/relationships/hyperlink" Id="rId153" Target="https://doi.org/10.1214/ss/1032209663" TargetMode="External" /><Relationship Type="http://schemas.openxmlformats.org/officeDocument/2006/relationships/hyperlink" Id="rId109" Target="https://doi.org/10.14778/3675034.3675055" TargetMode="External" /><Relationship Type="http://schemas.openxmlformats.org/officeDocument/2006/relationships/hyperlink" Id="rId85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93" Target="https://doi.org/10.3390/pr11041169" TargetMode="External" /><Relationship Type="http://schemas.openxmlformats.org/officeDocument/2006/relationships/hyperlink" Id="rId111" Target="https://doi.org/10.48550/arXiv.1410.2597" TargetMode="External" /><Relationship Type="http://schemas.openxmlformats.org/officeDocument/2006/relationships/hyperlink" Id="rId166" Target="https://doi.org/10.48550/arXiv.1511.01478" TargetMode="External" /><Relationship Type="http://schemas.openxmlformats.org/officeDocument/2006/relationships/hyperlink" Id="rId133" Target="https://doi.org/10.48550/arXiv.1808.02919" TargetMode="External" /><Relationship Type="http://schemas.openxmlformats.org/officeDocument/2006/relationships/hyperlink" Id="rId123" Target="https://doi.org/10.48550/arXiv.2401.04749" TargetMode="External" /><Relationship Type="http://schemas.openxmlformats.org/officeDocument/2006/relationships/hyperlink" Id="rId97" Target="https://doi.org/10.48550/arXiv.2510.06831" TargetMode="External" /><Relationship Type="http://schemas.openxmlformats.org/officeDocument/2006/relationships/hyperlink" Id="rId155" Target="https://doi.org/10.5281/zenodo.5841834" TargetMode="External" /><Relationship Type="http://schemas.openxmlformats.org/officeDocument/2006/relationships/hyperlink" Id="rId157" Target="https://doi.org/10.5281/zenodo.5946808" TargetMode="External" /><Relationship Type="http://schemas.openxmlformats.org/officeDocument/2006/relationships/hyperlink" Id="rId161" Target="https://github.com/alibaba/clusterdata" TargetMode="External" /><Relationship Type="http://schemas.openxmlformats.org/officeDocument/2006/relationships/hyperlink" Id="rId159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2026-08-31T16:29:18Z</dcterms:created>
  <dcterms:modified xsi:type="dcterms:W3CDTF">2026-08-31T16:29:18Z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