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Yehudit</w:t>
      </w:r>
      <w:r>
        <w:t xml:space="preserve"> </w:t>
      </w:r>
      <w:r>
        <w:t xml:space="preserve">Aperstein</w:t>
      </w:r>
      <w:r>
        <w:rPr>
          <w:vertAlign w:val="superscript"/>
        </w:rPr>
        <w:t xml:space="preserve">2</w:t>
      </w:r>
    </w:p>
    <w:p>
      <w:pPr>
        <w:pStyle w:val="Date"/>
      </w:pPr>
      <w:r>
        <w:t xml:space="preserve">2026-08-31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Intelligent Systems, Afeka Academic College of Engineering, Tel-Aviv, Israel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in these</w:t>
      </w:r>
      <w:r>
        <w:t xml:space="preserve"> </w:t>
      </w:r>
      <w:r>
        <w:t xml:space="preserve">logs. We test whether pattern mining recovers precursor signatures on</w:t>
      </w:r>
      <w:r>
        <w:t xml:space="preserve"> </w:t>
      </w:r>
      <w:r>
        <w:t xml:space="preserve">real industrial telemetry when the underlying failure process</w:t>
      </w:r>
      <w:r>
        <w:t xml:space="preserve"> </w:t>
      </w:r>
      <w:r>
        <w:t xml:space="preserve">advances through discrete stages. The result is a signature</w:t>
      </w:r>
      <w:r>
        <w:t xml:space="preserve"> </w:t>
      </w:r>
      <w:r>
        <w:t xml:space="preserve">catalog mined from six operational traces: two independent Senvion</w:t>
      </w:r>
      <w:r>
        <w:t xml:space="preserve"> </w:t>
      </w:r>
      <w:r>
        <w:t xml:space="preserve">wind-farm alarm logs (Kelmarsh, Penmanshiel), Azure PdM (synthetic),</w:t>
      </w:r>
      <w:r>
        <w:t xml:space="preserve"> </w:t>
      </w:r>
      <w:r>
        <w:t xml:space="preserve">Alibaba v2018 (production cloud), LLNL Blue Gene/L syslogs (HPC), and</w:t>
      </w:r>
      <w:r>
        <w:t xml:space="preserve"> </w:t>
      </w:r>
      <w:r>
        <w:t xml:space="preserve">SCANIA Component X (automotive). Every signature is validated on an</w:t>
      </w:r>
      <w:r>
        <w:t xml:space="preserve"> </w:t>
      </w:r>
      <w:r>
        <w:t xml:space="preserve">entity-disjoint 50/50 discovery/inference split with</w:t>
      </w:r>
      <w:r>
        <w:t xml:space="preserve"> </w:t>
      </w:r>
      <w:r>
        <w:t xml:space="preserve">Benjamini-Yekutieli FDR control on the inference half, and the</w:t>
      </w:r>
      <w:r>
        <w:t xml:space="preserve"> </w:t>
      </w:r>
      <w:r>
        <w:t xml:space="preserve">right-censored SCANIA trace is scored by matched conditional logistic</w:t>
      </w:r>
      <w:r>
        <w:t xml:space="preserve"> </w:t>
      </w:r>
      <w:r>
        <w:t xml:space="preserve">regression stratified by risk set. The central empirical result is a</w:t>
      </w:r>
      <w:r>
        <w:t xml:space="preserve"> </w:t>
      </w:r>
      <w:r>
        <w:t xml:space="preserve">replicated physical cascade:</w:t>
      </w:r>
      <w:r>
        <w:t xml:space="preserve"> </w:t>
      </w:r>
      <w:r>
        <w:rPr>
          <w:b/>
          <w:bCs/>
        </w:rPr>
        <w:t xml:space="preserve">two independent wind farms of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rotor size and site surface the same zero-control cascade signatures</w:t>
      </w:r>
      <w:r>
        <w:rPr>
          <w:b/>
          <w:bCs/>
        </w:rPr>
        <w:t xml:space="preserve"> </w:t>
      </w:r>
      <w:r>
        <w:rPr>
          <w:b/>
          <w:bCs/>
        </w:rPr>
        <w:t xml:space="preserve">at inference-half lift 4.00</w:t>
      </w:r>
      <w:r>
        <w:t xml:space="preserve">, selected in every repeated split and</w:t>
      </w:r>
      <w:r>
        <w:t xml:space="preserve"> </w:t>
      </w:r>
      <w:r>
        <w:t xml:space="preserve">prospectively detecting 95% of Kelmarsh forced outages at a median</w:t>
      </w:r>
      <w:r>
        <w:t xml:space="preserve"> </w:t>
      </w:r>
      <w:r>
        <w:t xml:space="preserve">3.3-hour lead. A decomposition of held-out prediction into event</w:t>
      </w:r>
      <w:r>
        <w:t xml:space="preserve"> </w:t>
      </w:r>
      <w:r>
        <w:t xml:space="preserve">presence, multiplicity, and order then places the two cloud/maintenance</w:t>
      </w:r>
      <w:r>
        <w:t xml:space="preserve"> </w:t>
      </w:r>
      <w:r>
        <w:t xml:space="preserve">traces in opposite corners: on Azure the distinguishing increment is</w:t>
      </w:r>
      <w:r>
        <w:t xml:space="preserve"> </w:t>
      </w:r>
      <w:r>
        <w:t xml:space="preserve">event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(+0.032, bootstrap CI excluding zero) while</w:t>
      </w:r>
      <w:r>
        <w:t xml:space="preserve"> </w:t>
      </w:r>
      <w:r>
        <w:t xml:space="preserve">multiplicity adds nothing; on Alibaba it is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(+0.029,</w:t>
      </w:r>
      <w:r>
        <w:t xml:space="preserve"> </w:t>
      </w:r>
      <w:r>
        <w:t xml:space="preserve">excluding zero) while exact order adds nothing. SCANIA yields</w:t>
      </w:r>
      <w:r>
        <w:t xml:space="preserve"> </w:t>
      </w:r>
      <w:r>
        <w:t xml:space="preserve">interpretable per-truck hazard ratios (74 of 200 discovery-selected</w:t>
      </w:r>
      <w:r>
        <w:t xml:space="preserve"> </w:t>
      </w:r>
      <w:r>
        <w:t xml:space="preserve">patterns survive the FDR; top HR 1.60), and BGL is a mapped boundary</w:t>
      </w:r>
      <w:r>
        <w:t xml:space="preserve"> </w:t>
      </w:r>
      <w:r>
        <w:t xml:space="preserve">case with no deployable non-alert precursor. Code, splits, and all</w:t>
      </w:r>
      <w:r>
        <w:t xml:space="preserve"> </w:t>
      </w:r>
      <w:r>
        <w:t xml:space="preserve">result artefacts are released.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matched conditional logistic scoring stratified by risk set,</w:t>
      </w:r>
      <w:r>
        <w:t xml:space="preserve"> </w:t>
      </w:r>
      <w:r>
        <w:t xml:space="preserve">which estimates per-pattern hazard ratios without modifying the</w:t>
      </w:r>
      <w:r>
        <w:t xml:space="preserve"> </w:t>
      </w:r>
      <w:r>
        <w:t xml:space="preserve">mining stage. This is the tool that lets the pipeline apply to</w:t>
      </w:r>
      <w:r>
        <w:t xml:space="preserve"> </w:t>
      </w:r>
      <w:r>
        <w:t xml:space="preserve">traces where entities 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decomposition of pattern signal into event presence,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multiplicity, and order</w:t>
      </w:r>
      <w:r>
        <w:t xml:space="preserve">, measured directly in held-out</w:t>
      </w:r>
      <w:r>
        <w:t xml:space="preserve"> </w:t>
      </w:r>
      <w:r>
        <w:t xml:space="preserve">prediction with entity-bootstrap confidence intervals, so that a</w:t>
      </w:r>
      <w:r>
        <w:t xml:space="preserve"> </w:t>
      </w:r>
      <w:r>
        <w:t xml:space="preserve">repeated event folded into one itemset cannot be mistaken for an</w:t>
      </w:r>
      <w:r>
        <w:t xml:space="preserve"> </w:t>
      </w:r>
      <w:r>
        <w:t xml:space="preserve">ordering effect. The decomposition places the two positive</w:t>
      </w:r>
      <w:r>
        <w:t xml:space="preserve"> </w:t>
      </w:r>
      <w:r>
        <w:t xml:space="preserve">cloud/maintenance traces in opposite corners (Azure carries an</w:t>
      </w:r>
      <w:r>
        <w:t xml:space="preserve"> </w:t>
      </w:r>
      <w:r>
        <w:t xml:space="preserve">order increment, Alibaba a multiplicity increment), and supports a</w:t>
      </w:r>
      <w:r>
        <w:t xml:space="preserve"> </w:t>
      </w:r>
      <w:r>
        <w:t xml:space="preserve">downstream predictive evaluation against event-count, presence,</w:t>
      </w:r>
      <w:r>
        <w:t xml:space="preserve"> </w:t>
      </w:r>
      <w:r>
        <w:t xml:space="preserve">count, recency, n-gram, and gradient-boosted baselines on a</w:t>
      </w:r>
      <w:r>
        <w:t xml:space="preserve"> </w:t>
      </w:r>
      <w:r>
        <w:t xml:space="preserve">temporally-held-out split.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post-selection-valid fraction varies</w:t>
      </w:r>
      <w:r>
        <w:t xml:space="preserve"> </w:t>
      </w:r>
      <w:r>
        <w:t xml:space="preserve">from 100% (Azure 24h itemsets) through 45% (Alibaba, BY-corrected)</w:t>
      </w:r>
      <w:r>
        <w:t xml:space="preserve"> </w:t>
      </w:r>
      <w:r>
        <w:t xml:space="preserve">to 0% (SCANIA last20 under post-selection-valid inference).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§7.3,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the alarm-code progression is consistent with a</w:t>
      </w:r>
      <w:r>
        <w:t xml:space="preserve"> </w:t>
      </w:r>
      <w:r>
        <w:t xml:space="preserve">physical fault cascade, in which intermediate warning codes precede</w:t>
      </w:r>
      <w:r>
        <w:t xml:space="preserve"> </w:t>
      </w:r>
      <w:r>
        <w:t xml:space="preserve">a specific alarm that terminates as a Forced outage. We report the</w:t>
      </w:r>
      <w:r>
        <w:t xml:space="preserve"> </w:t>
      </w:r>
      <w:r>
        <w:t xml:space="preserve">statistical enrichment and the code semantics; the underlying wear</w:t>
      </w:r>
      <w:r>
        <w:t xml:space="preserve"> </w:t>
      </w:r>
      <w:r>
        <w:t xml:space="preserve">mechanism is an engineering interpretation, not something the logs</w:t>
      </w:r>
      <w:r>
        <w:t xml:space="preserve"> </w:t>
      </w:r>
      <w:r>
        <w:t xml:space="preserve">alone establish.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We use the nine turbines (of identifiers P01-P15, with P03</w:t>
      </w:r>
      <w:r>
        <w:t xml:space="preserve"> </w:t>
      </w:r>
      <w:r>
        <w:t xml:space="preserve">absent from the release) whose status logs cover the 2016 window;</w:t>
      </w:r>
      <w:r>
        <w:t xml:space="preserve"> </w:t>
      </w:r>
      <w:r>
        <w:t xml:space="preserve">for the second half of 2016 (2016-06 through 2016-12, when the site</w:t>
      </w:r>
      <w:r>
        <w:t xml:space="preserve"> </w:t>
      </w:r>
      <w:r>
        <w:t xml:space="preserve">went live) they produced 15,388 status events, of which 790 were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regions. The</w:t>
      </w:r>
      <w:r>
        <w:t xml:space="preserve"> </w:t>
      </w:r>
      <w:r>
        <w:t xml:space="preserve">entity-disjoint discovery/inference split (§4.5) partitions turbines</w:t>
      </w:r>
      <w:r>
        <w:t xml:space="preserve"> </w:t>
      </w:r>
      <w:r>
        <w:t xml:space="preserve">3-and-3 on Kelmarsh (6 turbines) and 4-and-5 on Penmanshiel (9</w:t>
      </w:r>
      <w:r>
        <w:t xml:space="preserve"> </w:t>
      </w:r>
      <w:r>
        <w:t xml:space="preserve">turbines), so no turbine contributes to both mining and inference;</w:t>
      </w:r>
      <w:r>
        <w:t xml:space="preserve"> </w:t>
      </w:r>
      <w:r>
        <w:t xml:space="preserve">the resulting inference half carries 233 failure and 699 control</w:t>
      </w:r>
      <w:r>
        <w:t xml:space="preserve"> </w:t>
      </w:r>
      <w:r>
        <w:t xml:space="preserve">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Kelmarsh and 448 failure and 1,344</w:t>
      </w:r>
      <w:r>
        <w:t xml:space="preserve"> </w:t>
      </w:r>
      <w:r>
        <w:t xml:space="preserve">control windows on Penmanshiel.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A pooled 2×2 odds ratio over the risk-set-matched SCANIA patterns</w:t>
      </w:r>
      <w:r>
        <w:t xml:space="preserve"> </w:t>
      </w:r>
      <w:r>
        <w:t xml:space="preserve">discards the matched-set structure that makes the estimator</w:t>
      </w:r>
      <w:r>
        <w:t xml:space="preserve"> </w:t>
      </w:r>
      <w:r>
        <w:t xml:space="preserve">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more conservative on this data: a top pattern that</w:t>
      </w:r>
      <w:r>
        <w:t xml:space="preserve"> </w:t>
      </w:r>
      <w:r>
        <w:t xml:space="preserve">scores MH-OR 2.72 [2.10, 3.51] under pooling scores a matched HR in</w:t>
      </w:r>
      <w:r>
        <w:t xml:space="preserve"> </w:t>
      </w:r>
      <w:r>
        <w:t xml:space="preserve">the 1.6-1.7 range under conditional logistic, and the honest</w:t>
      </w:r>
      <w:r>
        <w:t xml:space="preserve"> </w:t>
      </w:r>
      <w:r>
        <w:t xml:space="preserve">inference-half estimate (§6.10) is a top HR of 1.60 [1.35, 1.91].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 (Table 1):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itemsets_only:</w:t>
      </w:r>
      <w:r>
        <w:t xml:space="preserve"> </w:t>
      </w:r>
      <w:r>
        <w:t xml:space="preserve">by 4 to 6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for minimum support up to 0.10 (and</w:t>
      </w:r>
      <w:r>
        <w:t xml:space="preserve"> </w:t>
      </w:r>
      <w:r>
        <w:t xml:space="preserve">by 2 points at 0.15), and by 3 to 5 points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 (Figure 4).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versus itemset lift 1.37 for the binary presence of</w:t>
      </w:r>
      <w:r>
        <w:t xml:space="preserve"> </w:t>
      </w:r>
      <w:r>
        <w:rPr>
          <w:rStyle w:val="VerbatimChar"/>
        </w:rPr>
        <w:t xml:space="preserve">{M}</w:t>
      </w:r>
      <w:r>
        <w:t xml:space="preserve">:</w:t>
      </w:r>
      <w:r>
        <w:t xml:space="preserve"> </w:t>
      </w:r>
      <w:r>
        <w:t xml:space="preserve">three consecutive Map completions predict a subsequent failure much</w:t>
      </w:r>
      <w:r>
        <w:t xml:space="preserve"> </w:t>
      </w:r>
      <w:r>
        <w:t xml:space="preserve">more strongly than the mere presence of a Map event. This is a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effect, not an ordering effect: the binary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discards the repeat count, and the count-preserving null of §6.3</w:t>
      </w:r>
      <w:r>
        <w:t xml:space="preserve"> </w:t>
      </w:r>
      <w:r>
        <w:t xml:space="preserve">plus the decomposition of Table 3 confirm that the exact within-window</w:t>
      </w:r>
      <w:r>
        <w:t xml:space="preserve"> </w:t>
      </w:r>
      <w:r>
        <w:t xml:space="preserve">order of the three Map events adds no further signal on Alibaba (order</w:t>
      </w:r>
      <w:r>
        <w:t xml:space="preserve"> </w:t>
      </w:r>
      <w:r>
        <w:t xml:space="preserve">increment -0.006, CI [-0.022, 0.013]).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table; Table 2):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presence-multiplicity-or-order"/>
    <w:p>
      <w:pPr>
        <w:pStyle w:val="Heading3"/>
      </w:pPr>
      <w:r>
        <w:t xml:space="preserve">6.3 Presence, multiplicity, or order</w:t>
      </w:r>
    </w:p>
    <w:p>
      <w:pPr>
        <w:pStyle w:val="FirstParagraph"/>
      </w:pPr>
      <w:r>
        <w:t xml:space="preserve">A mined pattern can carry predictive signal through three distinct</w:t>
      </w:r>
      <w:r>
        <w:t xml:space="preserve"> </w:t>
      </w:r>
      <w:r>
        <w:t xml:space="preserve">channels: which event types are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(a set), how many times</w:t>
      </w:r>
      <w:r>
        <w:t xml:space="preserve"> </w:t>
      </w:r>
      <w:r>
        <w:t xml:space="preserve">each occurs (</w:t>
      </w:r>
      <w:r>
        <w:rPr>
          <w:b/>
          <w:bCs/>
        </w:rPr>
        <w:t xml:space="preserve">multiplicity</w:t>
      </w:r>
      <w:r>
        <w:t xml:space="preserve">, a multiset), and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in which</w:t>
      </w:r>
      <w:r>
        <w:t xml:space="preserve"> </w:t>
      </w:r>
      <w:r>
        <w:t xml:space="preserve">they occur (a sequence). The count-preserving null of §4.7 already</w:t>
      </w:r>
      <w:r>
        <w:t xml:space="preserve"> </w:t>
      </w:r>
      <w:r>
        <w:t xml:space="preserve">isolates order at the level of individual pattern lift; here we</w:t>
      </w:r>
      <w:r>
        <w:t xml:space="preserve"> </w:t>
      </w:r>
      <w:r>
        <w:t xml:space="preserve">measure all three channels directly in held-out predictive AUROC, so</w:t>
      </w:r>
      <w:r>
        <w:t xml:space="preserve"> </w:t>
      </w:r>
      <w:r>
        <w:t xml:space="preserve">that a</w:t>
      </w:r>
      <w:r>
        <w:t xml:space="preserve"> </w:t>
      </w:r>
      <w:r>
        <w:t xml:space="preserve">“</w:t>
      </w:r>
      <w:r>
        <w:t xml:space="preserve">sequence helps</w:t>
      </w:r>
      <w:r>
        <w:t xml:space="preserve">”</w:t>
      </w:r>
      <w:r>
        <w:t xml:space="preserve"> </w:t>
      </w:r>
      <w:r>
        <w:t xml:space="preserve">claim cannot be an artifact of repeated events</w:t>
      </w:r>
      <w:r>
        <w:t xml:space="preserve"> </w:t>
      </w:r>
      <w:r>
        <w:t xml:space="preserve">being folded into one itemset. On the temporal test split of each</w:t>
      </w:r>
      <w:r>
        <w:t xml:space="preserve"> </w:t>
      </w:r>
      <w:r>
        <w:t xml:space="preserve">trace we build nested representations from the same windows with the</w:t>
      </w:r>
      <w:r>
        <w:t xml:space="preserve"> </w:t>
      </w:r>
      <w:r>
        <w:t xml:space="preserve">vocabulary fixed on the training period: binary presence (set), event</w:t>
      </w:r>
      <w:r>
        <w:t xml:space="preserve"> </w:t>
      </w:r>
      <w:r>
        <w:t xml:space="preserve">counts (multiset), and binary adjacent bigrams (order), each scored by</w:t>
      </w:r>
      <w:r>
        <w:t xml:space="preserve"> </w:t>
      </w:r>
      <w:r>
        <w:t xml:space="preserve">L2 logistic regression, and read off two incremental effects with</w:t>
      </w:r>
      <w:r>
        <w:t xml:space="preserve"> </w:t>
      </w:r>
      <w:r>
        <w:t xml:space="preserve">entity-bootstrap 95% CIs (resampling test turbines/machines/racks,</w:t>
      </w:r>
      <w:r>
        <w:t xml:space="preserve"> </w:t>
      </w:r>
      <w:r>
        <w:t xml:space="preserve">B = 200): the</w:t>
      </w:r>
      <w:r>
        <w:t xml:space="preserve"> </w:t>
      </w:r>
      <w:r>
        <w:rPr>
          <w:b/>
          <w:bCs/>
        </w:rPr>
        <w:t xml:space="preserve">multiplicity increment</w:t>
      </w:r>
      <w:r>
        <w:t xml:space="preserve"> </w:t>
      </w:r>
      <w:r>
        <w:t xml:space="preserve">(counts over presence)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increment</w:t>
      </w:r>
      <w:r>
        <w:t xml:space="preserve"> </w:t>
      </w:r>
      <w:r>
        <w:t xml:space="preserve">(bigrams over counts) (Table 3).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Presence / multiplicity / order decomposition of held-out AUROC, with entity-bootstrap 95% CIs. A component whose interval excludes zero is a distinguishable channel of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Presence / multiplicity / order decomposition of held-out AUROC, with entity-bootstrap 95% CIs. A component whose interval excludes zero is a distinguishable channel of signal."/>
      </w:tblPr>
      <w:tblGrid>
        <w:gridCol w:w="1063"/>
        <w:gridCol w:w="2009"/>
        <w:gridCol w:w="2837"/>
        <w:gridCol w:w="2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presence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multiplicity increment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increment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+0.301 [0.258, 0.332]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 [-0.015, 0.034]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+0.032 [0.003, 0.061]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+0.149 [0.128, 0.171]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+0.029 [0.018, 0.040]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 [-0.022, 0.013]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[-0.032, -0.001]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 [-0.001, 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+0.024 [0.002, 0.044]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+0.062 [0.028, 0.097]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 [0.007, 0.036]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 [-0.109, -0.037]</w:t>
            </w:r>
          </w:p>
        </w:tc>
      </w:tr>
    </w:tbl>
    <w:p>
      <w:pPr>
        <w:pStyle w:val="BodyText"/>
      </w:pPr>
      <w:r>
        <w:t xml:space="preserve">On both positive traces the largest lever is event</w:t>
      </w:r>
      <w:r>
        <w:t xml:space="preserve"> </w:t>
      </w:r>
      <w:r>
        <w:rPr>
          <w:b/>
          <w:bCs/>
        </w:rPr>
        <w:t xml:space="preserve">presence</w:t>
      </w:r>
      <w:r>
        <w:t xml:space="preserve"> </w:t>
      </w:r>
      <w:r>
        <w:t xml:space="preserve">(which</w:t>
      </w:r>
      <w:r>
        <w:t xml:space="preserve"> </w:t>
      </w:r>
      <w:r>
        <w:t xml:space="preserve">event types occur at all: +0.30 on Azure, +0.15 on Alibaba). What</w:t>
      </w:r>
      <w:r>
        <w:t xml:space="preserve"> </w:t>
      </w:r>
      <w:r>
        <w:t xml:space="preserve">distinguishes them is the second channel.</w:t>
      </w:r>
      <w:r>
        <w:t xml:space="preserve"> </w:t>
      </w:r>
      <w:r>
        <w:rPr>
          <w:b/>
          <w:bCs/>
        </w:rPr>
        <w:t xml:space="preserve">On Azure the order</w:t>
      </w:r>
      <w:r>
        <w:rPr>
          <w:b/>
          <w:bCs/>
        </w:rPr>
        <w:t xml:space="preserve"> </w:t>
      </w:r>
      <w:r>
        <w:rPr>
          <w:b/>
          <w:bCs/>
        </w:rPr>
        <w:t xml:space="preserve">increment is +0.032 with a CI that excludes zero while the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does not; on Alibaba the reverse holds, a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of +0.029 excluding zero and an order increment</w:t>
      </w:r>
      <w:r>
        <w:rPr>
          <w:b/>
          <w:bCs/>
        </w:rPr>
        <w:t xml:space="preserve"> </w:t>
      </w:r>
      <w:r>
        <w:rPr>
          <w:b/>
          <w:bCs/>
        </w:rPr>
        <w:t xml:space="preserve">indistinguishable from zero</w:t>
      </w:r>
      <w:r>
        <w:t xml:space="preserve"> </w:t>
      </w:r>
      <w:r>
        <w:t xml:space="preserve">(Figure 6). The two positive traces</w:t>
      </w:r>
      <w:r>
        <w:t xml:space="preserve"> </w:t>
      </w:r>
      <w:r>
        <w:t xml:space="preserve">therefore occupy opposite corners of the decomposition: Azure carries</w:t>
      </w:r>
      <w:r>
        <w:t xml:space="preserve"> </w:t>
      </w:r>
      <w:r>
        <w:t xml:space="preserve">a genuine ordering signal, Alibaba a multiplicity signal that binary</w:t>
      </w:r>
      <w:r>
        <w:t xml:space="preserve"> </w:t>
      </w:r>
      <w:r>
        <w:t xml:space="preserve">itemsets discard but exact order does not recover. This resolves the</w:t>
      </w:r>
      <w:r>
        <w:t xml:space="preserve"> </w:t>
      </w:r>
      <w:r>
        <w:t xml:space="preserve">apparent tension with the count-preserving lift analysis below: the</w:t>
      </w:r>
      <w:r>
        <w:t xml:space="preserve"> </w:t>
      </w:r>
      <w:r>
        <w:t xml:space="preserve">Alibaba sequence advantage is repeated-event information, not exact</w:t>
      </w:r>
      <w:r>
        <w:t xml:space="preserve"> </w:t>
      </w:r>
      <w:r>
        <w:t xml:space="preserve">within-window order.</w:t>
      </w:r>
    </w:p>
    <w:p>
      <w:pPr>
        <w:pStyle w:val="BodyText"/>
      </w:pPr>
      <w:r>
        <w:t xml:space="preserve">An increment channel is only meaningful when it sits on a presence</w:t>
      </w:r>
      <w:r>
        <w:t xml:space="preserve"> </w:t>
      </w:r>
      <w:r>
        <w:t xml:space="preserve">base that itself clears the floor: a channel CI that excludes zero on</w:t>
      </w:r>
      <w:r>
        <w:t xml:space="preserve"> </w:t>
      </w:r>
      <w:r>
        <w:t xml:space="preserve">top of a floor-level presence effect moves a near-chance prediction to</w:t>
      </w:r>
      <w:r>
        <w:t xml:space="preserve"> </w:t>
      </w:r>
      <w:r>
        <w:t xml:space="preserve">a slightly-less-near-chance prediction, not a usable signal. BGL</w:t>
      </w:r>
      <w:r>
        <w:t xml:space="preserve"> </w:t>
      </w:r>
      <w:r>
        <w:t xml:space="preserve">illustrates this. Its order increment is +0.024 with a CI that</w:t>
      </w:r>
      <w:r>
        <w:t xml:space="preserve"> </w:t>
      </w:r>
      <w:r>
        <w:t xml:space="preserve">excludes zero, numerically like Azure’s, but its presence effect is</w:t>
      </w:r>
      <w:r>
        <w:t xml:space="preserve"> </w:t>
      </w:r>
      <w:r>
        <w:t xml:space="preserve">negative (-0.015) and its total AUROC never leaves 0.48 to 0.51, so</w:t>
      </w:r>
      <w:r>
        <w:t xml:space="preserve"> </w:t>
      </w:r>
      <w:r>
        <w:t xml:space="preserve">the order channel has no base to build on. SCANIA shows the opposite</w:t>
      </w:r>
      <w:r>
        <w:t xml:space="preserve"> </w:t>
      </w:r>
      <w:r>
        <w:t xml:space="preserve">failure: a significantly negative order increment (-0.075), meaning</w:t>
      </w:r>
      <w:r>
        <w:t xml:space="preserve"> </w:t>
      </w:r>
      <w:r>
        <w:t xml:space="preserve">bigram features actively hurt once counts are included, on a presence</w:t>
      </w:r>
      <w:r>
        <w:t xml:space="preserve"> </w:t>
      </w:r>
      <w:r>
        <w:t xml:space="preserve">base (+0.06) that is itself near the floor. The distinguishing-channel</w:t>
      </w:r>
      <w:r>
        <w:t xml:space="preserve"> </w:t>
      </w:r>
      <w:r>
        <w:t xml:space="preserve">claim is therefore made jointly with the presence base, not from a</w:t>
      </w:r>
      <w:r>
        <w:t xml:space="preserve"> </w:t>
      </w:r>
      <w:r>
        <w:t xml:space="preserve">single CI; only Azure and Alibaba combine a large presence effect with</w:t>
      </w:r>
      <w:r>
        <w:t xml:space="preserve"> </w:t>
      </w:r>
      <w:r>
        <w:t xml:space="preserve">exactly one further channel that excludes zero.</w:t>
      </w:r>
    </w:p>
    <w:p>
      <w:pPr>
        <w:pStyle w:val="BodyText"/>
      </w:pPr>
      <w:r>
        <w:t xml:space="preserve">Against non-degenerate baselines the mined-pattern features do not win</w:t>
      </w:r>
      <w:r>
        <w:t xml:space="preserve"> </w:t>
      </w:r>
      <w:r>
        <w:t xml:space="preserve">on raw accuracy, and we do not claim they do. All numbers in this</w:t>
      </w:r>
      <w:r>
        <w:t xml:space="preserve"> </w:t>
      </w:r>
      <w:r>
        <w:t xml:space="preserve">paragraph and in Table 3 come from one internally consistent</w:t>
      </w:r>
      <w:r>
        <w:t xml:space="preserve"> </w:t>
      </w:r>
      <w:r>
        <w:t xml:space="preserve">evaluation pass (the same windows, temporal split, and vocabulary for</w:t>
      </w:r>
      <w:r>
        <w:t xml:space="preserve"> </w:t>
      </w:r>
      <w:r>
        <w:t xml:space="preserve">every representation), which differs slightly from the separate</w:t>
      </w:r>
      <w:r>
        <w:t xml:space="preserve"> </w:t>
      </w:r>
      <w:r>
        <w:t xml:space="preserve">predictive pipeline of Table 2, so its mined-itemset AUROC (0.778 on</w:t>
      </w:r>
      <w:r>
        <w:t xml:space="preserve"> </w:t>
      </w:r>
      <w:r>
        <w:t xml:space="preserve">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 is not identical to Table 2’s (0.75); the comparison</w:t>
      </w:r>
      <w:r>
        <w:t xml:space="preserve"> </w:t>
      </w:r>
      <w:r>
        <w:t xml:space="preserve">that matters is between representations computed together.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 gradient-boosted model on event counts and a binary-bigram</w:t>
      </w:r>
      <w:r>
        <w:t xml:space="preserve"> </w:t>
      </w:r>
      <w:r>
        <w:t xml:space="preserve">logistic regression both reach AUROC 0.845, above the mined-itemset</w:t>
      </w:r>
      <w:r>
        <w:t xml:space="preserve"> </w:t>
      </w:r>
      <w:r>
        <w:t xml:space="preserve">features (0.778);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the gradient-boosted count model</w:t>
      </w:r>
      <w:r>
        <w:t xml:space="preserve"> </w:t>
      </w:r>
      <w:r>
        <w:t xml:space="preserve">reaches 0.883, well above the mined-itemset features (0.695). The recency</w:t>
      </w:r>
      <w:r>
        <w:t xml:space="preserve"> </w:t>
      </w:r>
      <w:r>
        <w:t xml:space="preserve">baseline (event count plus window time span) stays near 0.57-0.70. The</w:t>
      </w:r>
      <w:r>
        <w:t xml:space="preserve"> </w:t>
      </w:r>
      <w:r>
        <w:t xml:space="preserve">value of the mined patterns is therefore not that they maximise a</w:t>
      </w:r>
      <w:r>
        <w:t xml:space="preserve"> </w:t>
      </w:r>
      <w:r>
        <w:t xml:space="preserve">held-out score, which a count-vector gradient-boosted model already</w:t>
      </w:r>
      <w:r>
        <w:t xml:space="preserve"> </w:t>
      </w:r>
      <w:r>
        <w:t xml:space="preserve">does, but that they are human-readable, individually</w:t>
      </w:r>
      <w:r>
        <w:t xml:space="preserve"> </w:t>
      </w:r>
      <w:r>
        <w:t xml:space="preserve">significance-tested signatures that occupy a specific point on the</w:t>
      </w:r>
      <w:r>
        <w:t xml:space="preserve"> </w:t>
      </w:r>
      <w:r>
        <w:t xml:space="preserve">accuracy-interpretability frontier and expose the presence /</w:t>
      </w:r>
      <w:r>
        <w:t xml:space="preserve"> </w:t>
      </w:r>
      <w:r>
        <w:t xml:space="preserve">multiplicity / order structure a black-box score hides.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</w:r>
    </w:p>
    <w:p>
      <w:pPr>
        <w:pStyle w:val="BodyText"/>
      </w:pPr>
      <w:r>
        <w:t xml:space="preserve">The count-preserving comparator of §4.7 isolates the pure ordering</w:t>
      </w:r>
      <w:r>
        <w:t xml:space="preserve"> </w:t>
      </w:r>
      <w:r>
        <w:t xml:space="preserve">contribution at the level of individual pattern lift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</w:t>
      </w:r>
      <w:r>
        <w:t xml:space="preserve"> </w:t>
      </w:r>
      <w:r>
        <w:t xml:space="preserve">Top-20 sequences per horizon (Table 4):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 (Table 5).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</w:t>
            </w:r>
            <w:r>
              <w:t xml:space="preserve"> </w:t>
            </w:r>
            <w:r>
              <w:t xml:space="preserve">(Overload gen fan 1, standalone warning)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7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7.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 (Table 6).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Candidate rules (pending prospective trial): the safety-9210 warning</w:t>
      </w:r>
      <w:r>
        <w:t xml:space="preserve"> </w:t>
      </w:r>
      <w:r>
        <w:t xml:space="preserve">is a candidate curtailment trigger and the frequency-converter 3543</w:t>
      </w:r>
      <w:r>
        <w:t xml:space="preserve"> </w:t>
      </w:r>
      <w:r>
        <w:t xml:space="preserve">informational message a candidate converter-service trigger. The</w:t>
      </w:r>
      <w:r>
        <w:t xml:space="preserve"> </w:t>
      </w:r>
      <w:r>
        <w:t xml:space="preserve">short median lead of the co-located Penmanshiel burst (§6.4, replay</w:t>
      </w:r>
      <w:r>
        <w:t xml:space="preserve"> </w:t>
      </w:r>
      <w:r>
        <w:t xml:space="preserve">below) means such a burst alone often fires too late for curtailment;</w:t>
      </w:r>
      <w:r>
        <w:t xml:space="preserve"> </w:t>
      </w:r>
      <w:r>
        <w:t xml:space="preserve">the multi-hour degradation chains next provide the actionable lead.</w:t>
      </w:r>
    </w:p>
    <w:p>
      <w:pPr>
        <w:pStyle w:val="BodyText"/>
      </w:pPr>
      <w:r>
        <w:rPr>
          <w:b/>
          <w:bCs/>
        </w:rPr>
        <w:t xml:space="preserve">Co-located bursts versus temporal degradation chains.</w:t>
      </w:r>
      <w:r>
        <w:t xml:space="preserve"> </w:t>
      </w:r>
      <w:r>
        <w:t xml:space="preserve">The</w:t>
      </w:r>
      <w:r>
        <w:t xml:space="preserve"> </w:t>
      </w:r>
      <w:r>
        <w:t xml:space="preserve">generator-fan and safety-system signatures above are co-located</w:t>
      </w:r>
      <w:r>
        <w:t xml:space="preserve"> </w:t>
      </w:r>
      <w:r>
        <w:t xml:space="preserve">alarm bursts: the constituent codes fire within a median of 0.16 min</w:t>
      </w:r>
      <w:r>
        <w:t xml:space="preserve"> </w:t>
      </w:r>
      <w:r>
        <w:t xml:space="preserve">(Kelmarsh) and 0.28 min (Penmanshiel) of each other, so they mark a</w:t>
      </w:r>
      <w:r>
        <w:t xml:space="preserve"> </w:t>
      </w:r>
      <w:r>
        <w:t xml:space="preserve">single instant, not a trajectory. A separate signature class captures</w:t>
      </w:r>
      <w:r>
        <w:t xml:space="preserve"> </w:t>
      </w:r>
      <w:r>
        <w:t xml:space="preserve">genuine degradation. Collapsing each 24h pre-outage window to its</w:t>
      </w:r>
      <w:r>
        <w:t xml:space="preserve"> </w:t>
      </w:r>
      <w:r>
        <w:t xml:space="preserve">ordered sequence of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codes (co-located repeats merged) and</w:t>
      </w:r>
      <w:r>
        <w:t xml:space="preserve"> </w:t>
      </w:r>
      <w:r>
        <w:t xml:space="preserve">mining ordered chains of three-to-four distinct codes under the same</w:t>
      </w:r>
      <w:r>
        <w:t xml:space="preserve"> </w:t>
      </w:r>
      <w:r>
        <w:t xml:space="preserve">entity-disjoint discovery/inference protocol yields a validated</w:t>
      </w:r>
      <w:r>
        <w:t xml:space="preserve"> </w:t>
      </w:r>
      <w:r>
        <w:t xml:space="preserve">degradation-chain catalog (Table 7): 115 chains on Kelmarsh and 184 on</w:t>
      </w:r>
      <w:r>
        <w:t xml:space="preserve"> </w:t>
      </w:r>
      <w:r>
        <w:t xml:space="preserve">Penmanshiel pass BY q &lt; 0.05 on the inference half, each with zero</w:t>
      </w:r>
      <w:r>
        <w:t xml:space="preserve"> </w:t>
      </w:r>
      <w:r>
        <w:t xml:space="preserve">control-window hits.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Validated temporal degradation chains (ordered distinct-code sequences over 24h) on the two wind farms, with median trajectory span, median lead time to the outage, and inference-half support.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Validated temporal degradation chains (ordered distinct-code sequences over 24h) on the two wind farms, with median trajectory span, median lead time to the outage, and inference-half support."/>
      </w:tblPr>
      <w:tblGrid>
        <w:gridCol w:w="617"/>
        <w:gridCol w:w="1954"/>
        <w:gridCol w:w="1337"/>
        <w:gridCol w:w="1337"/>
        <w:gridCol w:w="1028"/>
        <w:gridCol w:w="1028"/>
        <w:gridCol w:w="6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degradation chain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span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stop:20 → info:6410 → warning:2550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stop:20 → info:6410 → warning:2650 → warning:2655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5e-7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info:0 → stop:20 → warning:2550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42/208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7e-7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warning:9000 → stop:9210 → info:0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144/442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6e-17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info:10 → stop:9210 → info:0 → 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129/442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2e-15</w:t>
            </w:r>
          </w:p>
        </w:tc>
      </w:tr>
    </w:tbl>
    <w:p>
      <w:pPr>
        <w:pStyle w:val="BodyText"/>
      </w:pPr>
      <w:r>
        <w:t xml:space="preserve">Unlike the co-located bursts, these chains unfold over tens of minutes</w:t>
      </w:r>
      <w:r>
        <w:t xml:space="preserve"> </w:t>
      </w:r>
      <w:r>
        <w:t xml:space="preserve">to ten hours and complete a median two-to-four hours before the</w:t>
      </w:r>
      <w:r>
        <w:t xml:space="preserve"> </w:t>
      </w:r>
      <w:r>
        <w:t xml:space="preserve">outage, so they are the operationally actionable signatures: a</w:t>
      </w:r>
      <w:r>
        <w:t xml:space="preserve"> </w:t>
      </w:r>
      <w:r>
        <w:t xml:space="preserve">generator-fan overload on Kelmarsh is preceded by a stop, a status</w:t>
      </w:r>
      <w:r>
        <w:t xml:space="preserve"> </w:t>
      </w:r>
      <w:r>
        <w:t xml:space="preserve">code, and then the fan warning over roughly an hour, three hours</w:t>
      </w:r>
      <w:r>
        <w:t xml:space="preserve"> </w:t>
      </w:r>
      <w:r>
        <w:t xml:space="preserve">ahead of the forced outage. The chain lift equals the inference-half</w:t>
      </w:r>
      <w:r>
        <w:t xml:space="preserve"> </w:t>
      </w:r>
      <w:r>
        <w:t xml:space="preserve">ceiling (all controls clean) at the 2:1 case:control ratio these 24h</w:t>
      </w:r>
      <w:r>
        <w:t xml:space="preserve"> </w:t>
      </w:r>
      <w:r>
        <w:t xml:space="preserve">windows produce.</w:t>
      </w:r>
    </w:p>
    <w:p>
      <w:pPr>
        <w:pStyle w:val="BodyText"/>
      </w:pPr>
      <w:r>
        <w:rPr>
          <w:b/>
          <w:bCs/>
        </w:rPr>
        <w:t xml:space="preserve">Cross-farm transfer.</w:t>
      </w:r>
      <w:r>
        <w:t xml:space="preserve"> </w:t>
      </w:r>
      <w:r>
        <w:t xml:space="preserve">Learning the precursor rule on one farm and</w:t>
      </w:r>
      <w:r>
        <w:t xml:space="preserve"> </w:t>
      </w:r>
      <w:r>
        <w:t xml:space="preserve">replaying it, unchanged, on the other (shared Senvion code vocabulary)</w:t>
      </w:r>
      <w:r>
        <w:t xml:space="preserve"> </w:t>
      </w:r>
      <w:r>
        <w:t xml:space="preserve">transfers asymmetrically: a Kelmarsh-trained rule detects 95% of</w:t>
      </w:r>
      <w:r>
        <w:t xml:space="preserve"> </w:t>
      </w:r>
      <w:r>
        <w:t xml:space="preserve">Penmanshiel forced outages (median lead 72 min), while a</w:t>
      </w:r>
      <w:r>
        <w:t xml:space="preserve"> </w:t>
      </w:r>
      <w:r>
        <w:t xml:space="preserve">Penmanshiel-trained rule detects 50% of Kelmarsh outages; the</w:t>
      </w:r>
      <w:r>
        <w:t xml:space="preserve"> </w:t>
      </w:r>
      <w:r>
        <w:t xml:space="preserve">generator-fan code 2650 is among the precursors shared by both farms.</w:t>
      </w:r>
      <w:r>
        <w:t xml:space="preserve"> </w:t>
      </w:r>
      <w:r>
        <w:t xml:space="preserve">The generator-fan family transfers; the Penmanshiel safety-system 9000</w:t>
      </w:r>
      <w:r>
        <w:t xml:space="preserve"> </w:t>
      </w:r>
      <w:r>
        <w:t xml:space="preserve">family, tied to that site’s 2016 commissioning phase, does not, which</w:t>
      </w:r>
      <w:r>
        <w:t xml:space="preserve"> </w:t>
      </w:r>
      <w:r>
        <w:t xml:space="preserve">is consistent with the boundary condition stated in §8.</w:t>
      </w:r>
    </w:p>
    <w:p>
      <w:pPr>
        <w:pStyle w:val="BodyText"/>
      </w:pPr>
      <w:r>
        <w:rPr>
          <w:b/>
          <w:bCs/>
        </w:rPr>
        <w:t xml:space="preserve">Cluster-aware validation.</w:t>
      </w:r>
      <w:r>
        <w:t xml:space="preserve"> </w:t>
      </w:r>
      <w:r>
        <w:t xml:space="preserve">Each wind farm has only a handful of</w:t>
      </w:r>
      <w:r>
        <w:t xml:space="preserve"> </w:t>
      </w:r>
      <w:r>
        <w:t xml:space="preserve">turbines, so the hundreds of windows they generate are clustered and</w:t>
      </w:r>
      <w:r>
        <w:t xml:space="preserve"> </w:t>
      </w:r>
      <w:r>
        <w:t xml:space="preserve">the window-level hypergeometric q-values overstate the population-level</w:t>
      </w:r>
      <w:r>
        <w:t xml:space="preserve"> </w:t>
      </w:r>
      <w:r>
        <w:t xml:space="preserve">evidence. We therefore validate the precursor signatures (pure warning</w:t>
      </w:r>
      <w:r>
        <w:t xml:space="preserve"> </w:t>
      </w:r>
      <w:r>
        <w:t xml:space="preserve">and info-to-stop patterns, with prior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tokens</w:t>
      </w:r>
      <w:r>
        <w:t xml:space="preserve"> </w:t>
      </w:r>
      <w:r>
        <w:t xml:space="preserve">excluded) with two entity-respecting tests on the inference half. A</w:t>
      </w:r>
      <w:r>
        <w:t xml:space="preserve"> </w:t>
      </w:r>
      <w:r>
        <w:rPr>
          <w:b/>
          <w:bCs/>
        </w:rPr>
        <w:t xml:space="preserve">within-turbine label permutation</w:t>
      </w:r>
      <w:r>
        <w:t xml:space="preserve"> </w:t>
      </w:r>
      <w:r>
        <w:t xml:space="preserve">(2,000 permutations that shuffle</w:t>
      </w:r>
      <w:r>
        <w:t xml:space="preserve"> </w:t>
      </w:r>
      <w:r>
        <w:t xml:space="preserve">the failure/control label within each turbine, preserving its clustering</w:t>
      </w:r>
      <w:r>
        <w:t xml:space="preserve"> </w:t>
      </w:r>
      <w:r>
        <w:t xml:space="preserve">and case/control counts) leaves every one of the top 12 precursor</w:t>
      </w:r>
      <w:r>
        <w:t xml:space="preserve"> </w:t>
      </w:r>
      <w:r>
        <w:t xml:space="preserve">signatures significant on both farms after BY correction (permutation</w:t>
      </w:r>
      <w:r>
        <w:t xml:space="preserve"> </w:t>
      </w:r>
      <w:r>
        <w:t xml:space="preserve">q = 0.0016, the floor at 2,000 permutations). A</w:t>
      </w:r>
      <w:r>
        <w:t xml:space="preserve"> </w:t>
      </w:r>
      <w:r>
        <w:rPr>
          <w:b/>
          <w:bCs/>
        </w:rPr>
        <w:t xml:space="preserve">leave-one-turbine-out</w:t>
      </w:r>
      <w:r>
        <w:t xml:space="preserve"> </w:t>
      </w:r>
      <w:r>
        <w:t xml:space="preserve">check finds every one of those signatures still enriched in all held-out</w:t>
      </w:r>
      <w:r>
        <w:t xml:space="preserve"> </w:t>
      </w:r>
      <w:r>
        <w:t xml:space="preserve">folds (3/3 turbines on Kelmarsh, 5/5 on Penmanshiel). Cross-turbine</w:t>
      </w:r>
      <w:r>
        <w:t xml:space="preserve"> </w:t>
      </w:r>
      <w:r>
        <w:t xml:space="preserve">consistency, not a small window-level p-value, is the load-bearing</w:t>
      </w:r>
      <w:r>
        <w:t xml:space="preserve"> </w:t>
      </w:r>
      <w:r>
        <w:t xml:space="preserve">evidence here.</w:t>
      </w:r>
    </w:p>
    <w:p>
      <w:pPr>
        <w:pStyle w:val="BodyText"/>
      </w:pPr>
      <w:r>
        <w:rPr>
          <w:b/>
          <w:bCs/>
        </w:rPr>
        <w:t xml:space="preserve">Prospective alarm replay.</w:t>
      </w:r>
      <w:r>
        <w:t xml:space="preserve"> </w:t>
      </w:r>
      <w:r>
        <w:t xml:space="preserve">To measure deployment value directly</w:t>
      </w:r>
      <w:r>
        <w:t xml:space="preserve"> </w:t>
      </w:r>
      <w:r>
        <w:t xml:space="preserve">rather than infer it from an assumed base rate, we replay each turbine</w:t>
      </w:r>
      <w:r>
        <w:t xml:space="preserve"> </w:t>
      </w:r>
      <w:r>
        <w:t xml:space="preserve">chronologically. A precursor rule (the non-terminal codes whose firing</w:t>
      </w:r>
      <w:r>
        <w:t xml:space="preserve"> </w:t>
      </w:r>
      <w:r>
        <w:t xml:space="preserve">is followed by a forced outage within 24h at more than three times the</w:t>
      </w:r>
      <w:r>
        <w:t xml:space="preserve"> </w:t>
      </w:r>
      <w:r>
        <w:t xml:space="preserve">per-firing base rate) is learned only from the other turbines, then</w:t>
      </w:r>
      <w:r>
        <w:t xml:space="preserve"> </w:t>
      </w:r>
      <w:r>
        <w:t xml:space="preserve">applied to the held-out turbine’s real event stream with a 24h alarm</w:t>
      </w:r>
      <w:r>
        <w:t xml:space="preserve"> </w:t>
      </w:r>
      <w:r>
        <w:t xml:space="preserve">cooldown; an alarm is a true positive if a forced outage follows within</w:t>
      </w:r>
      <w:r>
        <w:t xml:space="preserve"> </w:t>
      </w:r>
      <w:r>
        <w:t xml:space="preserve">24h. The two farms occupy two operating points. On</w:t>
      </w:r>
      <w:r>
        <w:t xml:space="preserve"> </w:t>
      </w:r>
      <w:r>
        <w:rPr>
          <w:b/>
          <w:bCs/>
        </w:rPr>
        <w:t xml:space="preserve">Kelmarsh the rule</w:t>
      </w:r>
      <w:r>
        <w:rPr>
          <w:b/>
          <w:bCs/>
        </w:rPr>
        <w:t xml:space="preserve"> </w:t>
      </w:r>
      <w:r>
        <w:rPr>
          <w:b/>
          <w:bCs/>
        </w:rPr>
        <w:t xml:space="preserve">detects 457 of 482 forced outages (recall 0.95) at a median lead of</w:t>
      </w:r>
      <w:r>
        <w:rPr>
          <w:b/>
          <w:bCs/>
        </w:rPr>
        <w:t xml:space="preserve"> </w:t>
      </w:r>
      <w:r>
        <w:rPr>
          <w:b/>
          <w:bCs/>
        </w:rPr>
        <w:t xml:space="preserve">3.3 hours</w:t>
      </w:r>
      <w:r>
        <w:t xml:space="preserve"> </w:t>
      </w:r>
      <w:r>
        <w:t xml:space="preserve">(68% of detections at least 1h early, 43% at least 6h),</w:t>
      </w:r>
      <w:r>
        <w:t xml:space="preserve"> </w:t>
      </w:r>
      <w:r>
        <w:t xml:space="preserve">at precision 0.20 and 2.7 false alarms per turbine-month. On</w:t>
      </w:r>
      <w:r>
        <w:t xml:space="preserve"> </w:t>
      </w:r>
      <w:r>
        <w:rPr>
          <w:b/>
          <w:bCs/>
        </w:rPr>
        <w:t xml:space="preserve">Penmanshiel it runs at precision 0.78 and 0.31 false alarms per</w:t>
      </w:r>
      <w:r>
        <w:rPr>
          <w:b/>
          <w:bCs/>
        </w:rPr>
        <w:t xml:space="preserve"> </w:t>
      </w:r>
      <w:r>
        <w:rPr>
          <w:b/>
          <w:bCs/>
        </w:rPr>
        <w:t xml:space="preserve">turbine-month</w:t>
      </w:r>
      <w:r>
        <w:t xml:space="preserve">, detecting half the outages (recall 0.50) at a shorter</w:t>
      </w:r>
      <w:r>
        <w:t xml:space="preserve"> </w:t>
      </w:r>
      <w:r>
        <w:t xml:space="preserve">median lead of 5.7 minutes. This is a measured prospective result: the</w:t>
      </w:r>
      <w:r>
        <w:t xml:space="preserve"> </w:t>
      </w:r>
      <w:r>
        <w:t xml:space="preserve">Kelmarsh generator-fan cascade gives hours of actionable warning at a</w:t>
      </w:r>
      <w:r>
        <w:t xml:space="preserve"> </w:t>
      </w:r>
      <w:r>
        <w:t xml:space="preserve">tolerable alarm burden, while the Penmanshiel safety-system cascade is</w:t>
      </w:r>
      <w:r>
        <w:t xml:space="preserve"> </w:t>
      </w:r>
      <w:r>
        <w:t xml:space="preserve">precise but fires close to the outage.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5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8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scenario PPV each rule delivers under an assumed 1% deployment prevalence (Table 9):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bookmarkStart w:id="54" w:name="X5f409ab5bc0cacb368394f2fe592924467a43a9"/>
    <w:p>
      <w:pPr>
        <w:pStyle w:val="Heading4"/>
      </w:pPr>
      <w:r>
        <w:t xml:space="preserve">6.6.1 Signature catalog: cloud, HPC, and automotive traces</w:t>
      </w:r>
    </w:p>
    <w:p>
      <w:pPr>
        <w:pStyle w:val="FirstParagraph"/>
      </w:pPr>
      <w:r>
        <w:t xml:space="preserve">The catalog of §6.4 resumes with the four traces beyond the two wind</w:t>
      </w:r>
      <w:r>
        <w:t xml:space="preserve"> </w:t>
      </w:r>
      <w:r>
        <w:t xml:space="preserve">farms. Each entry carries the same evidence structure: mined patterns,</w:t>
      </w:r>
      <w:r>
        <w:t xml:space="preserve"> </w:t>
      </w:r>
      <w:r>
        <w:t xml:space="preserve">inference-half lift and BY q, and the intended deployment rule.</w:t>
      </w:r>
    </w:p>
    <w:p>
      <w:pPr>
        <w:pStyle w:val="BodyText"/>
      </w:pPr>
      <w:r>
        <w:rPr>
          <w:b/>
          <w:bCs/>
        </w:rPr>
        <w:t xml:space="preserve">Azure PdM</w:t>
      </w:r>
      <w:r>
        <w:t xml:space="preserve"> </w:t>
      </w:r>
      <w:r>
        <w:t xml:space="preserve">(Table 10).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 the synthetic Azure PdM generator,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is</w:t>
      </w:r>
      <w:r>
        <w:rPr>
          <w:b/>
          <w:bCs/>
        </w:rPr>
        <w:t xml:space="preserve"> </w:t>
      </w:r>
      <w:r>
        <w:rPr>
          <w:b/>
          <w:bCs/>
        </w:rPr>
        <w:t xml:space="preserve">strongly enriched in failure windows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 occurrences in the 1,113 control windows on the 24h inference</w:t>
      </w:r>
      <w:r>
        <w:t xml:space="preserve"> </w:t>
      </w:r>
      <w:r>
        <w:t xml:space="preserve">half, which makes it a high-specificity candidate rule on this</w:t>
      </w:r>
      <w:r>
        <w:t xml:space="preserve"> </w:t>
      </w:r>
      <w:r>
        <w:t xml:space="preserve">inference sample and motivates prospective replay.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 (illustrative, on synthetic Azure PdM data): an alarm rule would</w:t>
      </w:r>
      <w:r>
        <w:t xml:space="preserve"> </w:t>
      </w:r>
      <w:r>
        <w:t xml:space="preserve">raise a component-replacement work order whenever a machine’s log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 window, escalating</w:t>
      </w:r>
      <w:r>
        <w:t xml:space="preserve"> </w:t>
      </w:r>
      <w:r>
        <w:t xml:space="preserve">faster for the direction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 The near-perfect</w:t>
      </w:r>
      <w:r>
        <w:t xml:space="preserve"> </w:t>
      </w:r>
      <w:r>
        <w:t xml:space="preserve">separation here is partly a property of the synthetic generator.</w:t>
      </w:r>
    </w:p>
    <w:p>
      <w:pPr>
        <w:pStyle w:val="BodyText"/>
      </w:pPr>
      <w:r>
        <w:rPr>
          <w:b/>
          <w:bCs/>
        </w:rPr>
        <w:t xml:space="preserve">Alibaba cluster-trace-v2018</w:t>
      </w:r>
      <w:r>
        <w:t xml:space="preserve"> </w:t>
      </w:r>
      <w:r>
        <w:t xml:space="preserve">(Table 11).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 Reduce task entering Waiting state is the dominant</w:t>
      </w:r>
      <w:r>
        <w:rPr>
          <w:b/>
          <w:bCs/>
        </w:rPr>
        <w:t xml:space="preserve"> </w:t>
      </w:r>
      <w:r>
        <w:rPr>
          <w:b/>
          <w:bCs/>
        </w:rPr>
        <w:t xml:space="preserve">single marker of subsequent job failure</w:t>
      </w:r>
      <w:r>
        <w:t xml:space="preserve">. The near-certain posterior</w:t>
      </w:r>
      <w:r>
        <w:t xml:space="preserve"> </w:t>
      </w:r>
      <w:r>
        <w:t xml:space="preserve">holds at the 1:3 sample base rate; the operational posterior is lower</w:t>
      </w:r>
      <w:r>
        <w:t xml:space="preserve"> </w:t>
      </w:r>
      <w:r>
        <w:t xml:space="preserve">and base-rate dependent (§6.8). Longer patterns add no signal beyond</w:t>
      </w:r>
      <w:r>
        <w:t xml:space="preserve"> </w:t>
      </w:r>
      <w:r>
        <w:t xml:space="preserve">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, and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reading holds.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  <w:r>
        <w:t xml:space="preserve"> </w:t>
      </w:r>
      <w:r>
        <w:t xml:space="preserve">Patterns are</w:t>
      </w:r>
      <w:r>
        <w:t xml:space="preserve"> </w:t>
      </w:r>
      <w:r>
        <w:t xml:space="preserve">selected on a discovery half and estimated on a disjoint inference</w:t>
      </w:r>
      <w:r>
        <w:t xml:space="preserve"> </w:t>
      </w:r>
      <w:r>
        <w:t xml:space="preserve">half (§6.10); the top five inference-half hazard ratios are listed</w:t>
      </w:r>
      <w:r>
        <w:t xml:space="preserve"> </w:t>
      </w:r>
      <w:r>
        <w:t xml:space="preserve">with full confidence intervals in Table 14. The headline signature</w:t>
      </w:r>
      <w:r>
        <w:t xml:space="preserve"> </w:t>
      </w:r>
      <w:r>
        <w:rPr>
          <w:rStyle w:val="VerbatimChar"/>
        </w:rPr>
        <w:t xml:space="preserve">counter_surprise:397_{10, 22}</w:t>
      </w:r>
      <w:r>
        <w:t xml:space="preserve"> </w:t>
      </w:r>
      <w:r>
        <w:t xml:space="preserve">has matched HR 1.60 (95% CI</w:t>
      </w:r>
      <w:r>
        <w:t xml:space="preserve"> </w:t>
      </w:r>
      <w:r>
        <w:t xml:space="preserve">[1.35, 1.91]).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The only pattern that survives the post-selection-valid BY q &lt; 0.05</w:t>
      </w:r>
      <w:r>
        <w:t xml:space="preserve"> </w:t>
      </w:r>
      <w:r>
        <w:t xml:space="preserve">test on any horizon is the fatal-error marker</w:t>
      </w:r>
      <w:r>
        <w:t xml:space="preserve"> </w:t>
      </w:r>
      <w:r>
        <w:rPr>
          <w:rStyle w:val="VerbatimChar"/>
        </w:rPr>
        <w:t xml:space="preserve">system_error:RAS:FATAL</w:t>
      </w:r>
      <w:r>
        <w:t xml:space="preserve">,</w:t>
      </w:r>
      <w:r>
        <w:t xml:space="preserve"> </w:t>
      </w:r>
      <w:r>
        <w:t xml:space="preserve">and only at inference-half lift 1.16 (680 of 3,602 failure windows vs</w:t>
      </w:r>
      <w:r>
        <w:t xml:space="preserve"> </w:t>
      </w:r>
      <w:r>
        <w:t xml:space="preserve">1,677 of 10,830 controls). No pattern reaches the catalog’s</w:t>
      </w:r>
      <w:r>
        <w:t xml:space="preserve"> </w:t>
      </w:r>
      <w:r>
        <w:t xml:space="preserve">decision-rule strength, and the surviving marker is a severity token</w:t>
      </w:r>
      <w:r>
        <w:t xml:space="preserve"> </w:t>
      </w:r>
      <w:r>
        <w:t xml:space="preserve">of the cascade itself, not an upstream non-alert precursor.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deployable predictive information about the first alert of</w:t>
      </w:r>
      <w:r>
        <w:t xml:space="preserve"> </w:t>
      </w:r>
      <w:r>
        <w:t xml:space="preserve">the next 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6.7 through 6.11 present the aggregate evidence behind these</w:t>
      </w:r>
      <w:r>
        <w:t xml:space="preserve"> </w:t>
      </w:r>
      <w:r>
        <w:t xml:space="preserve">signatures: the predictive-vs-frequent-noise separation (§6.7),</w:t>
      </w:r>
      <w:r>
        <w:t xml:space="preserve"> </w:t>
      </w:r>
      <w:r>
        <w:t xml:space="preserve">post-selection-valid sequence significance (§6.8), the same-sample</w:t>
      </w:r>
      <w:r>
        <w:t xml:space="preserve"> </w:t>
      </w:r>
      <w:r>
        <w:t xml:space="preserve">marginal baseline (§6.9), the SCANIA matched hazard-ratio analysis</w:t>
      </w:r>
      <w:r>
        <w:t xml:space="preserve"> </w:t>
      </w:r>
      <w:r>
        <w:t xml:space="preserve">(§6.10), and lead time on true positives (§6.11).</w:t>
      </w:r>
    </w:p>
    <w:bookmarkEnd w:id="54"/>
    <w:bookmarkEnd w:id="55"/>
    <w:bookmarkStart w:id="56" w:name="X44aeb5833a19b6d32b8998867e975190f65e5f8"/>
    <w:p>
      <w:pPr>
        <w:pStyle w:val="Heading3"/>
      </w:pPr>
      <w:r>
        <w:t xml:space="preserve">6.7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 Table 12 covers the</w:t>
      </w:r>
      <w:r>
        <w:t xml:space="preserve"> </w:t>
      </w:r>
      <w:r>
        <w:t xml:space="preserve">four non-wind traces; the two wind farms carry the same analysis with</w:t>
      </w:r>
      <w:r>
        <w:t xml:space="preserve"> </w:t>
      </w:r>
      <w:r>
        <w:t xml:space="preserve">the catalog in §6.4 (Kelmarsh 30/35 and Penmanshiel 27/30</w:t>
      </w:r>
      <w:r>
        <w:t xml:space="preserve"> </w:t>
      </w:r>
      <w:r>
        <w:t xml:space="preserve">BY-significant itemsets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).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 fraction drops from 66% (naive) to 30% (BY-corrected</w:t>
      </w:r>
      <w:r>
        <w:t xml:space="preserve"> </w:t>
      </w:r>
      <w:r>
        <w:t xml:space="preserve">on 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pre-specified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A permuted-label stress test confirms that the split, and not merely</w:t>
      </w:r>
      <w:r>
        <w:t xml:space="preserve"> </w:t>
      </w:r>
      <w:r>
        <w:t xml:space="preserve">the FDR correction, is what controls error.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</w:t>
      </w:r>
      <w:r>
        <w:t xml:space="preserve"> </w:t>
      </w:r>
      <w:r>
        <w:t xml:space="preserve">same 79-candidate set validated three ways yields a similar number of</w:t>
      </w:r>
      <w:r>
        <w:t xml:space="preserve"> </w:t>
      </w:r>
      <w:r>
        <w:t xml:space="preserve">discoveries on the real labels (naive same-sample BH 55; our</w:t>
      </w:r>
      <w:r>
        <w:t xml:space="preserve"> </w:t>
      </w:r>
      <w:r>
        <w:t xml:space="preserve">discovery/inference split 52; Westfall-Young minP FWER 52), but under</w:t>
      </w:r>
      <w:r>
        <w:t xml:space="preserve"> </w:t>
      </w:r>
      <w:r>
        <w:t xml:space="preserve">20 label permutations that destroy all signal the naive same-sample</w:t>
      </w:r>
      <w:r>
        <w:t xml:space="preserve"> </w:t>
      </w:r>
      <w:r>
        <w:t xml:space="preserve">BH still reports false discoveries (mean 0.3, up to 6 in a single</w:t>
      </w:r>
      <w:r>
        <w:t xml:space="preserve"> </w:t>
      </w:r>
      <w:r>
        <w:t xml:space="preserve">permutation) whereas the discovery/inference split reports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(mean 0, maximum 0), matching the family-wise-error-controlled</w:t>
      </w:r>
      <w:r>
        <w:t xml:space="preserve"> </w:t>
      </w:r>
      <w:r>
        <w:t xml:space="preserve">Westfall-Young procedure. The split therefore buys honest error</w:t>
      </w:r>
      <w:r>
        <w:t xml:space="preserve"> </w:t>
      </w:r>
      <w:r>
        <w:t xml:space="preserve">control at almost no loss of real-label power.</w:t>
      </w:r>
    </w:p>
    <w:p>
      <w:pPr>
        <w:pStyle w:val="BodyText"/>
      </w:pPr>
      <w:r>
        <w:t xml:space="preserve">The validated catalog is also stable across the choice of split. Over</w:t>
      </w:r>
      <w:r>
        <w:t xml:space="preserve"> </w:t>
      </w:r>
      <w:r>
        <w:t xml:space="preserve">20 repeated entity-disjoint partitions (30 for Penmanshiel, and all</w:t>
      </w:r>
      <w:r>
        <w:t xml:space="preserve"> </w:t>
      </w:r>
      <w:r>
        <w:t xml:space="preserve">balanced turbine partitions for the wind farms), the headline</w:t>
      </w:r>
      <w:r>
        <w:t xml:space="preserve"> </w:t>
      </w:r>
      <w:r>
        <w:t xml:space="preserve">signature is selected in every split on five of the six traces (20/20</w:t>
      </w:r>
      <w:r>
        <w:t xml:space="preserve"> </w:t>
      </w:r>
      <w:r>
        <w:t xml:space="preserve">on Azure, Alibaba, SCANIA and Kelmarsh; 30/30 on Penmanshiel) and in</w:t>
      </w:r>
      <w:r>
        <w:t xml:space="preserve"> </w:t>
      </w:r>
      <w:r>
        <w:t xml:space="preserve">16 of 20 splits on BGL, the significant fraction varies only within a</w:t>
      </w:r>
      <w:r>
        <w:t xml:space="preserve"> </w:t>
      </w:r>
      <w:r>
        <w:t xml:space="preserve">narrow band (for</w:t>
      </w:r>
      <w:r>
        <w:t xml:space="preserve"> </w:t>
      </w:r>
      <w:r>
        <w:t xml:space="preserve">example Kelmarsh median 0.63, IQR [0.44, 0.71]; Penmanshiel median</w:t>
      </w:r>
      <w:r>
        <w:t xml:space="preserve"> </w:t>
      </w:r>
      <w:r>
        <w:t xml:space="preserve">0.79, IQR [0.76, 0.82]), and the mean pairwise Jaccard overlap of the</w:t>
      </w:r>
      <w:r>
        <w:t xml:space="preserve"> </w:t>
      </w:r>
      <w:r>
        <w:t xml:space="preserve">validated catalogs ranges from 0.65 (SCANIA, BGL) to 0.93 (Alibaba),</w:t>
      </w:r>
      <w:r>
        <w:t xml:space="preserve"> </w:t>
      </w:r>
      <w:r>
        <w:t xml:space="preserve">with both wind farms above 0.79. A single seeded split is therefore</w:t>
      </w:r>
      <w:r>
        <w:t xml:space="preserve"> </w:t>
      </w:r>
      <w:r>
        <w:t xml:space="preserve">not a fragile basis for the headline signatures.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§6.10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6"/>
    <w:bookmarkStart w:id="57" w:name="Xa182019db5c06219c287e242249f191e21aa0df"/>
    <w:p>
      <w:pPr>
        <w:pStyle w:val="Heading3"/>
      </w:pPr>
      <w:r>
        <w:t xml:space="preserve">6.8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 (Table 13).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7"/>
    <w:bookmarkStart w:id="58" w:name="X39b99ab144b8766ac518ecf770687bbc49b8129"/>
    <w:p>
      <w:pPr>
        <w:pStyle w:val="Heading3"/>
      </w:pPr>
      <w:r>
        <w:t xml:space="preserve">6.9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§6.7 and §6.8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8"/>
    <w:bookmarkStart w:id="59" w:name="X9089ac7c4740497ca2f8946257a25d0f4921163"/>
    <w:p>
      <w:pPr>
        <w:pStyle w:val="Heading3"/>
      </w:pPr>
      <w:r>
        <w:t xml:space="preserve">6.10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To avoid selecting the tested family with the outcome, we use a</w:t>
      </w:r>
      <w:r>
        <w:t xml:space="preserve"> </w:t>
      </w:r>
      <w:r>
        <w:t xml:space="preserve">strict two-stage design that matches the paper’s own post-selection</w:t>
      </w:r>
      <w:r>
        <w:t xml:space="preserve"> </w:t>
      </w:r>
      <w:r>
        <w:t xml:space="preserve">discipline: the 2,272 matched sets are split 50/50 into a discovery</w:t>
      </w:r>
      <w:r>
        <w:t xml:space="preserve"> </w:t>
      </w:r>
      <w:r>
        <w:t xml:space="preserve">and an inference half; the top-200 patterns are ranked by</w:t>
      </w:r>
      <w:r>
        <w:t xml:space="preserve"> </w:t>
      </w:r>
      <w:r>
        <w:rPr>
          <w:b/>
          <w:bCs/>
        </w:rPr>
        <w:t xml:space="preserve">discovery-half case-hit count only</w:t>
      </w:r>
      <w:r>
        <w:t xml:space="preserve">, and those 200 fixed patterns</w:t>
      </w:r>
      <w:r>
        <w:t xml:space="preserve"> </w:t>
      </w:r>
      <w:r>
        <w:t xml:space="preserve">are then estimated on the</w:t>
      </w:r>
      <w:r>
        <w:t xml:space="preserve"> </w:t>
      </w:r>
      <w:r>
        <w:rPr>
          <w:b/>
          <w:bCs/>
        </w:rPr>
        <w:t xml:space="preserve">inference half</w:t>
      </w:r>
      <w:r>
        <w:t xml:space="preserve"> </w:t>
      </w:r>
      <w:r>
        <w:t xml:space="preserve">via conditional logistic</w:t>
      </w:r>
      <w:r>
        <w:t xml:space="preserve"> </w:t>
      </w:r>
      <w:r>
        <w:t xml:space="preserve">regression stratified by matched set 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inference half,</w:t>
      </w:r>
      <w:r>
        <w:t xml:space="preserve"> </w:t>
      </w:r>
      <w:r>
        <w:rPr>
          <w:b/>
          <w:bCs/>
        </w:rPr>
        <w:t xml:space="preserve">93 of 200</w:t>
      </w:r>
      <w:r>
        <w:rPr>
          <w:b/>
          <w:bCs/>
        </w:rPr>
        <w:t xml:space="preserve"> </w:t>
      </w:r>
      <w:r>
        <w:rPr>
          <w:b/>
          <w:bCs/>
        </w:rPr>
        <w:t xml:space="preserve">pass the joint criterion HR CI excludes 1 AND BH q &lt; 0.05, and 74</w:t>
      </w:r>
      <w:r>
        <w:rPr>
          <w:b/>
          <w:bCs/>
        </w:rPr>
        <w:t xml:space="preserve"> </w:t>
      </w:r>
      <w:r>
        <w:rPr>
          <w:b/>
          <w:bCs/>
        </w:rPr>
        <w:t xml:space="preserve">(37%) survive the stricter Benjamini-Yekutieli arbitrary-dependence</w:t>
      </w:r>
      <w:r>
        <w:rPr>
          <w:b/>
          <w:bCs/>
        </w:rPr>
        <w:t xml:space="preserve"> </w:t>
      </w:r>
      <w:r>
        <w:rPr>
          <w:b/>
          <w:bCs/>
        </w:rPr>
        <w:t xml:space="preserve">FDR at q &lt; 0.05</w:t>
      </w:r>
      <w:r>
        <w:t xml:space="preserve">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</w:t>
      </w:r>
      <w:r>
        <w:t xml:space="preserve"> </w:t>
      </w:r>
      <w:r>
        <w:t xml:space="preserve">corrected across the 200 preselected patterns.</w:t>
      </w:r>
    </w:p>
    <w:p>
      <w:pPr>
        <w:pStyle w:val="BodyText"/>
      </w:pPr>
      <w:r>
        <w:t xml:space="preserve">Top 5 predictive Component X signatures on the inference half</w:t>
      </w:r>
      <w:r>
        <w:t xml:space="preserve"> </w:t>
      </w:r>
      <w:r>
        <w:t xml:space="preserve">(matched HR, 95% CI, p):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Top five SCANIA Component X signatures by matched hazard ratio, selected on the discovery half and estimated on the disjoint inference half with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Top five SCANIA Component X signatures by matched hazard ratio, selected on the discovery half and estimated on the disjoint inference half with 95% confidence intervals."/>
      </w:tblPr>
      <w:tblGrid>
        <w:gridCol w:w="950"/>
        <w:gridCol w:w="2692"/>
        <w:gridCol w:w="1584"/>
        <w:gridCol w:w="1267"/>
        <w:gridCol w:w="142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[1.35,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22}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[1.32, 1.90]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[1.33,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[1.30, 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[1.34, 1.76]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5.0e-10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counter_surprise:397_{29}</w:t>
            </w:r>
          </w:p>
        </w:tc>
      </w:tr>
    </w:tbl>
    <w:p>
      <w:pPr>
        <w:pStyle w:val="BodyText"/>
      </w:pPr>
      <w:r>
        <w:t xml:space="preserve">Two effects push the honest estimates below the naive ones. The</w:t>
      </w:r>
      <w:r>
        <w:t xml:space="preserve"> </w:t>
      </w:r>
      <w:r>
        <w:rPr>
          <w:b/>
          <w:bCs/>
        </w:rPr>
        <w:t xml:space="preserve">pooled 2×2 analysis (Table 15) inflates the effect</w:t>
      </w:r>
      <w:r>
        <w:t xml:space="preserve"> </w:t>
      </w:r>
      <w:r>
        <w:t xml:space="preserve">(top pooled</w:t>
      </w:r>
      <w:r>
        <w:t xml:space="preserve"> </w:t>
      </w:r>
      <w:r>
        <w:t xml:space="preserve">MH-OR 2.72 [2.10, 3.51]) because it discards the matched-set structure</w:t>
      </w:r>
      <w:r>
        <w:t xml:space="preserve"> </w:t>
      </w:r>
      <w:r>
        <w:t xml:space="preserve">that the incidence-density sampling design creates; the matched</w:t>
      </w:r>
      <w:r>
        <w:t xml:space="preserve"> </w:t>
      </w:r>
      <w:r>
        <w:t xml:space="preserve">conditional logistic is the correct estimator under Prentice-Breslow.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discovery/inference split removes the post-selection inflation</w:t>
      </w:r>
      <w:r>
        <w:t xml:space="preserve"> </w:t>
      </w:r>
      <w:r>
        <w:t xml:space="preserve">that ranking the top-200 by case-hits on the test sample would</w:t>
      </w:r>
      <w:r>
        <w:t xml:space="preserve"> </w:t>
      </w:r>
      <w:r>
        <w:t xml:space="preserve">otherwise introduce: the same top-200-by-hits procedure evaluated</w:t>
      </w:r>
      <w:r>
        <w:t xml:space="preserve"> </w:t>
      </w:r>
      <w:r>
        <w:t xml:space="preserve">in-sample reports 108 BY-significant patterns and a top HR near 1.7,</w:t>
      </w:r>
      <w:r>
        <w:t xml:space="preserve"> </w:t>
      </w:r>
      <w:r>
        <w:t xml:space="preserve">whereas the honest inference-half estimate is 74 BY-significant with a</w:t>
      </w:r>
      <w:r>
        <w:t xml:space="preserve"> </w:t>
      </w:r>
      <w:r>
        <w:t xml:space="preserve">top HR of 1.60 [1.35, 1.91]. The matched signal is real but smaller</w:t>
      </w:r>
      <w:r>
        <w:t xml:space="preserve"> </w:t>
      </w:r>
      <w:r>
        <w:t xml:space="preserve">than the in-sample figure suggests.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15.</w:t>
      </w:r>
      <w:r>
        <w:t xml:space="preserve"> </w:t>
      </w:r>
      <w:r>
        <w:t xml:space="preserve">Pooled 2x2 odds ratios for the same SCANIA signatures, superseded by the matched estimates in Table 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Pooled 2x2 odds ratios for the same SCANIA signatures, superseded by the matched estimates in Table 14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</w:t>
      </w:r>
      <w:r>
        <w:t xml:space="preserve"> </w:t>
      </w:r>
      <w:r>
        <w:t xml:space="preserve">two-feature interaction that pattern mining surfaces without needing</w:t>
      </w:r>
      <w:r>
        <w:t xml:space="preserve"> </w:t>
      </w:r>
      <w:r>
        <w:t xml:space="preserve">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9"/>
    <w:bookmarkStart w:id="60" w:name="lead-time-on-true-positives"/>
    <w:p>
      <w:pPr>
        <w:pStyle w:val="Heading3"/>
      </w:pPr>
      <w:r>
        <w:t xml:space="preserve">6.11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 is released in the repository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azure_leadtime.md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alibaba_leadtime.md</w:t>
      </w:r>
      <w:r>
        <w:t xml:space="preserve">).</w:t>
      </w:r>
    </w:p>
    <w:bookmarkEnd w:id="60"/>
    <w:bookmarkEnd w:id="61"/>
    <w:bookmarkStart w:id="65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 (Table 16):</w:t>
      </w:r>
    </w:p>
    <w:p>
      <w:pPr>
        <w:pStyle w:val="TableCaption"/>
      </w:pPr>
      <w:r>
        <w:rPr>
          <w:b/>
          <w:bCs/>
        </w:rPr>
        <w:t xml:space="preserve">Table 16.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6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These two traces separate order from multiplicity (§6.3). On Azure,</w:t>
      </w:r>
      <w:r>
        <w:t xml:space="preserve"> </w:t>
      </w:r>
      <w:r>
        <w:t xml:space="preserve">the count-preserving null confirms a genuine ordering effect: the full</w:t>
      </w:r>
      <w:r>
        <w:t xml:space="preserve"> </w:t>
      </w:r>
      <w:r>
        <w:t xml:space="preserve">ordered chain adds signal beyond any of its subparts, and the exact</w:t>
      </w:r>
      <w:r>
        <w:t xml:space="preserve"> </w:t>
      </w:r>
      <w:r>
        <w:t xml:space="preserve">within-window order matters. On Alibaba, the count-preserving null is</w:t>
      </w:r>
      <w:r>
        <w:t xml:space="preserve"> </w:t>
      </w:r>
      <w:r>
        <w:t xml:space="preserve">approximately zero, so the exact order does not matter; the sequence</w:t>
      </w:r>
      <w:r>
        <w:t xml:space="preserve"> </w:t>
      </w:r>
      <w:r>
        <w:t xml:space="preserve">representation helps only because it retains event multiplicity and a</w:t>
      </w:r>
      <w:r>
        <w:t xml:space="preserve"> </w:t>
      </w:r>
      <w:r>
        <w:t xml:space="preserve">privileged short prefix (</w:t>
      </w:r>
      <w:r>
        <w:rPr>
          <w:rStyle w:val="VerbatimChar"/>
        </w:rPr>
        <w:t xml:space="preserve">task_waiting:R</w:t>
      </w:r>
      <w:r>
        <w:t xml:space="preserve">) that the binary itemset</w:t>
      </w:r>
      <w:r>
        <w:t xml:space="preserve"> </w:t>
      </w:r>
      <w:r>
        <w:t xml:space="preserve">discards. The correct reading of Alibaba is a multiplicity-and-prefix</w:t>
      </w:r>
      <w:r>
        <w:t xml:space="preserve"> </w:t>
      </w:r>
      <w:r>
        <w:t xml:space="preserve">effect, not a pure-ordering effect.</w:t>
      </w:r>
    </w:p>
    <w:bookmarkEnd w:id="62"/>
    <w:bookmarkStart w:id="63" w:name="X75d9a394a307a62bf087024a3c4b370afb7d957"/>
    <w:p>
      <w:pPr>
        <w:pStyle w:val="Heading3"/>
      </w:pP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</w:t>
      </w:r>
      <w:r>
        <w:t xml:space="preserve"> </w:t>
      </w:r>
      <w:r>
        <w:t xml:space="preserve">itemset lift 2.22 for the same items. The order-specific reading is</w:t>
      </w:r>
      <w:r>
        <w:t xml:space="preserve"> </w:t>
      </w:r>
      <w:r>
        <w:t xml:space="preserve">that error2 and error3 are not interchangeable noise: a machine</w:t>
      </w:r>
      <w:r>
        <w:t xml:space="preserve"> </w:t>
      </w:r>
      <w:r>
        <w:t xml:space="preserve">reporting error2 first and then error3 is materially more likely to</w:t>
      </w:r>
      <w:r>
        <w:t xml:space="preserve"> </w:t>
      </w:r>
      <w:r>
        <w:t xml:space="preserve">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six-contrasting-case-studies"/>
    <w:p>
      <w:pPr>
        <w:pStyle w:val="Heading3"/>
      </w:pP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positive traces (~0.80-1.00) reflects a limit of the</w:t>
      </w:r>
      <w:r>
        <w:t xml:space="preserve"> </w:t>
      </w:r>
      <w:r>
        <w:t xml:space="preserve">readout 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 under a fair prospective landmark.</w:t>
      </w:r>
      <w:r>
        <w:t xml:space="preserve"> </w:t>
      </w:r>
      <w:r>
        <w:t xml:space="preserve">A</w:t>
      </w:r>
      <w:r>
        <w:t xml:space="preserve"> </w:t>
      </w:r>
      <w:r>
        <w:t xml:space="preserve">stratified 5-fold cross-validation on full-history aggregated</w:t>
      </w:r>
      <w:r>
        <w:t xml:space="preserve"> </w:t>
      </w:r>
      <w:r>
        <w:t xml:space="preserve">Component X features (mean / max / std / last of each of the 105</w:t>
      </w:r>
      <w:r>
        <w:t xml:space="preserve"> </w:t>
      </w:r>
      <w:r>
        <w:t xml:space="preserve">columns per vehicle) reaches AUROC 0.826, but this number is not a</w:t>
      </w:r>
      <w:r>
        <w:t xml:space="preserve"> </w:t>
      </w:r>
      <w:r>
        <w:t xml:space="preserve">prospective ceiling: full-history aggregates under random CV can leak</w:t>
      </w:r>
      <w:r>
        <w:t xml:space="preserve"> </w:t>
      </w:r>
      <w:r>
        <w:t xml:space="preserve">end-of-history and censoring information that is not available at a</w:t>
      </w:r>
      <w:r>
        <w:t xml:space="preserve"> </w:t>
      </w:r>
      <w:r>
        <w:t xml:space="preserve">prediction landmark. The fair test is a</w:t>
      </w:r>
      <w:r>
        <w:t xml:space="preserve"> </w:t>
      </w:r>
      <w:r>
        <w:rPr>
          <w:b/>
          <w:bCs/>
        </w:rPr>
        <w:t xml:space="preserve">landmarked, entity-disjoint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in which every feature is computed strictly from the</w:t>
      </w:r>
      <w:r>
        <w:t xml:space="preserve"> </w:t>
      </w:r>
      <w:r>
        <w:t xml:space="preserve">pre-anchor risk-set window and trained and tested on disjoint vehicle</w:t>
      </w:r>
      <w:r>
        <w:t xml:space="preserve"> </w:t>
      </w:r>
      <w:r>
        <w:t xml:space="preserve">sets. Under that test no representation clears 0.75: token counts</w:t>
      </w:r>
      <w:r>
        <w:t xml:space="preserve"> </w:t>
      </w:r>
      <w:r>
        <w:t xml:space="preserve">reach AUROC 0.62, LightGBM on token counts 0.60, simple counts 0.54,</w:t>
      </w:r>
      <w:r>
        <w:t xml:space="preserve"> </w:t>
      </w:r>
      <w:r>
        <w:t xml:space="preserve">and the significant pattern features 0.51. Even a richer descriptor</w:t>
      </w:r>
      <w:r>
        <w:t xml:space="preserve"> </w:t>
      </w:r>
      <w:r>
        <w:t xml:space="preserve">model at the honest landmark stays near 0.60, matching the last-K</w:t>
      </w:r>
      <w:r>
        <w:t xml:space="preserve"> </w:t>
      </w:r>
      <w:r>
        <w:t xml:space="preserve">pattern pipeline. The conclusion is therefore that</w:t>
      </w:r>
      <w:r>
        <w:t xml:space="preserve"> </w:t>
      </w:r>
      <w:r>
        <w:rPr>
          <w:b/>
          <w:bCs/>
        </w:rPr>
        <w:t xml:space="preserve">no strong</w:t>
      </w:r>
      <w:r>
        <w:rPr>
          <w:b/>
          <w:bCs/>
        </w:rPr>
        <w:t xml:space="preserve"> </w:t>
      </w:r>
      <w:r>
        <w:rPr>
          <w:b/>
          <w:bCs/>
        </w:rPr>
        <w:t xml:space="preserve">prospective last-K trajectory signal is recoverable at Component X’s</w:t>
      </w:r>
      <w:r>
        <w:rPr>
          <w:b/>
          <w:bCs/>
        </w:rPr>
        <w:t xml:space="preserve"> </w:t>
      </w:r>
      <w:r>
        <w:rPr>
          <w:b/>
          <w:bCs/>
        </w:rPr>
        <w:t xml:space="preserve">readout cadence under the representations and landmarks tested</w:t>
      </w:r>
      <w:r>
        <w:t xml:space="preserve">; the</w:t>
      </w:r>
      <w:r>
        <w:t xml:space="preserve"> </w:t>
      </w:r>
      <w:r>
        <w:t xml:space="preserve">0.826 reflects a static per-vehicle profile that is visible across a</w:t>
      </w:r>
      <w:r>
        <w:t xml:space="preserve"> </w:t>
      </w:r>
      <w:r>
        <w:t xml:space="preserve">truck’s whole history but not at a prospective decision point.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alarm-code progression is consistent with a</w:t>
      </w:r>
      <w:r>
        <w:t xml:space="preserve"> </w:t>
      </w:r>
      <w:r>
        <w:t xml:space="preserve">physical mechanical-wear cascade that produces the intermediate codes</w:t>
      </w:r>
      <w:r>
        <w:t xml:space="preserve"> </w:t>
      </w:r>
      <w:r>
        <w:t xml:space="preserve">the mining recovers, though the logs alone do not establish the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The two lead-time regimes in §6.11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 to 3 per horizon surviving the within-window shuffle null,</w:t>
      </w:r>
      <w:r>
        <w:t xml:space="preserve"> </w:t>
      </w:r>
      <w:r>
        <w:t xml:space="preserve">versus 6 to 62 on Azure). A wider minimum support sweep and top-K</w:t>
      </w:r>
      <w:r>
        <w:t xml:space="preserve"> </w:t>
      </w:r>
      <w:r>
        <w:t xml:space="preserve">sequence mining would sharpen the Alibaba sequence-mining slice</w:t>
      </w:r>
      <w:r>
        <w:t xml:space="preserve"> </w:t>
      </w:r>
      <w:r>
        <w:t xml:space="preserve">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(n_case + n_ctrl) / n_case of the inference</w:t>
      </w:r>
      <w:r>
        <w:t xml:space="preserve"> </w:t>
      </w:r>
      <w:r>
        <w:t xml:space="preserve">half, which equals 4.00 under exact 1:3 matching (and is marginally</w:t>
      </w:r>
      <w:r>
        <w:t xml:space="preserve"> </w:t>
      </w:r>
      <w:r>
        <w:t xml:space="preserve">above 4.0 where the entity-disjoint split deviates from 1:3, as on</w:t>
      </w:r>
      <w:r>
        <w:t xml:space="preserve"> </w:t>
      </w:r>
      <w:r>
        <w:t xml:space="preserve">Alibaba); a lift at this ceiling denotes a pattern present in failure</w:t>
      </w:r>
      <w:r>
        <w:t xml:space="preserve"> </w:t>
      </w:r>
      <w:r>
        <w:t xml:space="preserve">windows and absent from every matched control, not an unbounded</w:t>
      </w:r>
      <w:r>
        <w:t xml:space="preserve"> </w:t>
      </w:r>
      <w:r>
        <w:t xml:space="preserve">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6"/>
    <w:bookmarkStart w:id="67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27,264 windows and 46k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7"/>
    <w:bookmarkStart w:id="68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with an alarm-code progression consistent with a mechanical wear</w:t>
      </w:r>
      <w:r>
        <w:t xml:space="preserve"> </w:t>
      </w:r>
      <w:r>
        <w:t xml:space="preserve">process that terminates as Forced outages, and validated distinct-code</w:t>
      </w:r>
      <w:r>
        <w:t xml:space="preserve"> </w:t>
      </w:r>
      <w:r>
        <w:t xml:space="preserve">degradation chains that complete a median two-to-four hours before the</w:t>
      </w:r>
      <w:r>
        <w:t xml:space="preserve"> </w:t>
      </w:r>
      <w:r>
        <w:t xml:space="preserve">outage. Beyond the co-located catalog, the presence / multiplicity /</w:t>
      </w:r>
      <w:r>
        <w:t xml:space="preserve"> </w:t>
      </w:r>
      <w:r>
        <w:t xml:space="preserve">order decomposition places the two cloud/maintenance traces in</w:t>
      </w:r>
      <w:r>
        <w:t xml:space="preserve"> </w:t>
      </w:r>
      <w:r>
        <w:t xml:space="preserve">opposite corners: on Azure the distinguishing held-out increment is</w:t>
      </w:r>
      <w:r>
        <w:t xml:space="preserve"> </w:t>
      </w:r>
      <w:r>
        <w:t xml:space="preserve">event order, on Alibaba it is event multiplicity, not exact order. On</w:t>
      </w:r>
      <w:r>
        <w:t xml:space="preserve"> </w:t>
      </w:r>
      <w:r>
        <w:t xml:space="preserve">raw accuracy the mined-pattern features do not beat a gradient-boosted</w:t>
      </w:r>
      <w:r>
        <w:t xml:space="preserve"> </w:t>
      </w:r>
      <w:r>
        <w:t xml:space="preserve">count model; their contribution is validated, human-readable</w:t>
      </w:r>
      <w:r>
        <w:t xml:space="preserve"> </w:t>
      </w:r>
      <w:r>
        <w:t xml:space="preserve">signatures and the decomposition itself, not a maximal predictive</w:t>
      </w:r>
      <w:r>
        <w:t xml:space="preserve"> </w:t>
      </w:r>
      <w:r>
        <w:t xml:space="preserve">score.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8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69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9"/>
    <w:bookmarkStart w:id="71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70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1"/>
    <w:bookmarkStart w:id="73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2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3"/>
    <w:bookmarkStart w:id="75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4">
        <w:r>
          <w:rPr>
            <w:rStyle w:val="Hyperlink"/>
          </w:rPr>
          <w:t xml:space="preserve">https://doi.org/10.1023/A:1007652502315</w:t>
        </w:r>
      </w:hyperlink>
    </w:p>
    <w:bookmarkEnd w:id="75"/>
    <w:bookmarkStart w:id="77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6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7"/>
    <w:bookmarkStart w:id="79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8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9"/>
    <w:bookmarkStart w:id="81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80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1"/>
    <w:bookmarkStart w:id="83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2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3"/>
    <w:bookmarkStart w:id="85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5"/>
    <w:bookmarkStart w:id="87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6">
        <w:r>
          <w:rPr>
            <w:rStyle w:val="Hyperlink"/>
          </w:rPr>
          <w:t xml:space="preserve">https://doi.org/10.21105/joss.00638</w:t>
        </w:r>
      </w:hyperlink>
    </w:p>
    <w:bookmarkEnd w:id="87"/>
    <w:bookmarkStart w:id="89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8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9"/>
    <w:bookmarkStart w:id="91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90">
        <w:r>
          <w:rPr>
            <w:rStyle w:val="Hyperlink"/>
          </w:rPr>
          <w:t xml:space="preserve">https://doi.org/10.1007/s11227-024-06297-1</w:t>
        </w:r>
      </w:hyperlink>
    </w:p>
    <w:bookmarkEnd w:id="91"/>
    <w:bookmarkStart w:id="93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2">
        <w:r>
          <w:rPr>
            <w:rStyle w:val="Hyperlink"/>
          </w:rPr>
          <w:t xml:space="preserve">https://doi.org/10.1016/j.jprocont.2023.103041</w:t>
        </w:r>
      </w:hyperlink>
    </w:p>
    <w:bookmarkEnd w:id="93"/>
    <w:bookmarkStart w:id="95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4">
        <w:r>
          <w:rPr>
            <w:rStyle w:val="Hyperlink"/>
          </w:rPr>
          <w:t xml:space="preserve">https://doi.org/10.3390/pr11041169</w:t>
        </w:r>
      </w:hyperlink>
    </w:p>
    <w:bookmarkEnd w:id="95"/>
    <w:bookmarkStart w:id="97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6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7"/>
    <w:bookmarkStart w:id="99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8">
        <w:r>
          <w:rPr>
            <w:rStyle w:val="Hyperlink"/>
          </w:rPr>
          <w:t xml:space="preserve">https://doi.org/10.48550/arXiv.2510.06831</w:t>
        </w:r>
      </w:hyperlink>
    </w:p>
    <w:bookmarkEnd w:id="99"/>
    <w:bookmarkStart w:id="101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100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1"/>
    <w:bookmarkStart w:id="103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2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3"/>
    <w:bookmarkStart w:id="105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4">
        <w:r>
          <w:rPr>
            <w:rStyle w:val="Hyperlink"/>
          </w:rPr>
          <w:t xml:space="preserve">https://doi.org/10.1073/pnas.1302233110</w:t>
        </w:r>
      </w:hyperlink>
    </w:p>
    <w:bookmarkEnd w:id="105"/>
    <w:bookmarkStart w:id="107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6">
        <w:r>
          <w:rPr>
            <w:rStyle w:val="Hyperlink"/>
          </w:rPr>
          <w:t xml:space="preserve">https://doi.org/10.1007/s10618-018-0590-x</w:t>
        </w:r>
      </w:hyperlink>
    </w:p>
    <w:bookmarkEnd w:id="107"/>
    <w:bookmarkStart w:id="109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8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9"/>
    <w:bookmarkStart w:id="111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10">
        <w:r>
          <w:rPr>
            <w:rStyle w:val="Hyperlink"/>
          </w:rPr>
          <w:t xml:space="preserve">https://doi.org/10.14778/3675034.3675055</w:t>
        </w:r>
      </w:hyperlink>
    </w:p>
    <w:bookmarkEnd w:id="111"/>
    <w:bookmarkStart w:id="113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2">
        <w:r>
          <w:rPr>
            <w:rStyle w:val="Hyperlink"/>
          </w:rPr>
          <w:t xml:space="preserve">https://doi.org/10.48550/arXiv.1410.2597</w:t>
        </w:r>
      </w:hyperlink>
    </w:p>
    <w:bookmarkEnd w:id="113"/>
    <w:bookmarkStart w:id="115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4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5"/>
    <w:bookmarkStart w:id="117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6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7"/>
    <w:bookmarkStart w:id="119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8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9"/>
    <w:bookmarkStart w:id="121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20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1"/>
    <w:bookmarkStart w:id="123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2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3"/>
    <w:bookmarkStart w:id="125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4">
        <w:r>
          <w:rPr>
            <w:rStyle w:val="Hyperlink"/>
          </w:rPr>
          <w:t xml:space="preserve">https://doi.org/10.48550/arXiv.2401.04749</w:t>
        </w:r>
      </w:hyperlink>
    </w:p>
    <w:bookmarkEnd w:id="125"/>
    <w:bookmarkStart w:id="127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6">
        <w:r>
          <w:rPr>
            <w:rStyle w:val="Hyperlink"/>
          </w:rPr>
          <w:t xml:space="preserve">https://doi.org/10.1016/j.mlwa.2023.100470</w:t>
        </w:r>
      </w:hyperlink>
    </w:p>
    <w:bookmarkEnd w:id="127"/>
    <w:bookmarkStart w:id="129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8">
        <w:r>
          <w:rPr>
            <w:rStyle w:val="Hyperlink"/>
          </w:rPr>
          <w:t xml:space="preserve">https://doi.org/10.1007/s10664-024-10501-4</w:t>
        </w:r>
      </w:hyperlink>
    </w:p>
    <w:bookmarkEnd w:id="129"/>
    <w:bookmarkStart w:id="131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30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1"/>
    <w:bookmarkStart w:id="133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2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3"/>
    <w:bookmarkStart w:id="135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4">
        <w:r>
          <w:rPr>
            <w:rStyle w:val="Hyperlink"/>
          </w:rPr>
          <w:t xml:space="preserve">https://doi.org/10.48550/arXiv.1808.02919</w:t>
        </w:r>
      </w:hyperlink>
    </w:p>
    <w:bookmarkEnd w:id="135"/>
    <w:bookmarkStart w:id="137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6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7"/>
    <w:bookmarkStart w:id="139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8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9"/>
    <w:bookmarkStart w:id="141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40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1"/>
    <w:bookmarkStart w:id="143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2">
        <w:r>
          <w:rPr>
            <w:rStyle w:val="Hyperlink"/>
          </w:rPr>
          <w:t xml:space="preserve">https://doi.org/10.1007/s10489-021-03004-y</w:t>
        </w:r>
      </w:hyperlink>
    </w:p>
    <w:bookmarkEnd w:id="143"/>
    <w:bookmarkStart w:id="145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4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5"/>
    <w:bookmarkStart w:id="147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6">
        <w:r>
          <w:rPr>
            <w:rStyle w:val="Hyperlink"/>
          </w:rPr>
          <w:t xml:space="preserve">https://doi.org/10.1038/s41597-025-04802-6</w:t>
        </w:r>
      </w:hyperlink>
    </w:p>
    <w:bookmarkEnd w:id="147"/>
    <w:bookmarkStart w:id="149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8">
        <w:r>
          <w:rPr>
            <w:rStyle w:val="Hyperlink"/>
          </w:rPr>
          <w:t xml:space="preserve">https://doi.org/10.1111/j.2517-6161.1995.tb02031.x</w:t>
        </w:r>
      </w:hyperlink>
    </w:p>
    <w:bookmarkEnd w:id="149"/>
    <w:bookmarkStart w:id="151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50">
        <w:r>
          <w:rPr>
            <w:rStyle w:val="Hyperlink"/>
          </w:rPr>
          <w:t xml:space="preserve">https://doi.org/10.1214/aos/1013699998</w:t>
        </w:r>
      </w:hyperlink>
    </w:p>
    <w:bookmarkEnd w:id="151"/>
    <w:bookmarkStart w:id="153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2">
        <w:r>
          <w:rPr>
            <w:rStyle w:val="Hyperlink"/>
          </w:rPr>
          <w:t xml:space="preserve">https://doi.org/10.1093/biomet/65.1.153</w:t>
        </w:r>
      </w:hyperlink>
    </w:p>
    <w:bookmarkEnd w:id="153"/>
    <w:bookmarkStart w:id="155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4">
        <w:r>
          <w:rPr>
            <w:rStyle w:val="Hyperlink"/>
          </w:rPr>
          <w:t xml:space="preserve">https://doi.org/10.1214/ss/1032209663</w:t>
        </w:r>
      </w:hyperlink>
    </w:p>
    <w:bookmarkEnd w:id="155"/>
    <w:bookmarkStart w:id="157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6">
        <w:r>
          <w:rPr>
            <w:rStyle w:val="Hyperlink"/>
          </w:rPr>
          <w:t xml:space="preserve">Kelmarsh wind farm data</w:t>
        </w:r>
      </w:hyperlink>
    </w:p>
    <w:bookmarkEnd w:id="157"/>
    <w:bookmarkStart w:id="159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8">
        <w:r>
          <w:rPr>
            <w:rStyle w:val="Hyperlink"/>
          </w:rPr>
          <w:t xml:space="preserve">Penmanshiel wind farm data</w:t>
        </w:r>
      </w:hyperlink>
    </w:p>
    <w:bookmarkEnd w:id="159"/>
    <w:bookmarkStart w:id="161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60">
        <w:r>
          <w:rPr>
            <w:rStyle w:val="Hyperlink"/>
          </w:rPr>
          <w:t xml:space="preserve">Azure AI Gallery Predictive Maintenance Sample</w:t>
        </w:r>
      </w:hyperlink>
    </w:p>
    <w:bookmarkEnd w:id="161"/>
    <w:bookmarkStart w:id="163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2">
        <w:r>
          <w:rPr>
            <w:rStyle w:val="Hyperlink"/>
          </w:rPr>
          <w:t xml:space="preserve">Alibaba cluster-trace-v2018</w:t>
        </w:r>
      </w:hyperlink>
    </w:p>
    <w:bookmarkEnd w:id="163"/>
    <w:bookmarkStart w:id="165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4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5"/>
    <w:bookmarkStart w:id="166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6"/>
    <w:bookmarkStart w:id="168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7">
        <w:r>
          <w:rPr>
            <w:rStyle w:val="Hyperlink"/>
          </w:rPr>
          <w:t xml:space="preserve">https://doi.org/10.48550/arXiv.1511.01478</w:t>
        </w:r>
      </w:hyperlink>
    </w:p>
    <w:bookmarkEnd w:id="168"/>
    <w:bookmarkStart w:id="170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9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70"/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i.org/10.1007/978-3-031-11217-1_3" TargetMode="External" /><Relationship Type="http://schemas.openxmlformats.org/officeDocument/2006/relationships/hyperlink" Id="rId96" Target="https://doi.org/10.1007/978-3-031-15842-1_14" TargetMode="External" /><Relationship Type="http://schemas.openxmlformats.org/officeDocument/2006/relationships/hyperlink" Id="rId80" Target="https://doi.org/10.1007/978-3-319-06483-3_8" TargetMode="External" /><Relationship Type="http://schemas.openxmlformats.org/officeDocument/2006/relationships/hyperlink" Id="rId78" Target="https://doi.org/10.1007/978-3-319-06608-0_4" TargetMode="External" /><Relationship Type="http://schemas.openxmlformats.org/officeDocument/2006/relationships/hyperlink" Id="rId84" Target="https://doi.org/10.1007/978-3-319-46131-1_8" TargetMode="External" /><Relationship Type="http://schemas.openxmlformats.org/officeDocument/2006/relationships/hyperlink" Id="rId144" Target="https://doi.org/10.1007/978-3-319-46349-0_33" TargetMode="External" /><Relationship Type="http://schemas.openxmlformats.org/officeDocument/2006/relationships/hyperlink" Id="rId88" Target="https://doi.org/10.1007/978-981-16-1160-5_13" TargetMode="External" /><Relationship Type="http://schemas.openxmlformats.org/officeDocument/2006/relationships/hyperlink" Id="rId72" Target="https://doi.org/10.1007/BFb0014140" TargetMode="External" /><Relationship Type="http://schemas.openxmlformats.org/officeDocument/2006/relationships/hyperlink" Id="rId142" Target="https://doi.org/10.1007/s10489-021-03004-y" TargetMode="External" /><Relationship Type="http://schemas.openxmlformats.org/officeDocument/2006/relationships/hyperlink" Id="rId106" Target="https://doi.org/10.1007/s10618-018-0590-x" TargetMode="External" /><Relationship Type="http://schemas.openxmlformats.org/officeDocument/2006/relationships/hyperlink" Id="rId128" Target="https://doi.org/10.1007/s10664-024-10501-4" TargetMode="External" /><Relationship Type="http://schemas.openxmlformats.org/officeDocument/2006/relationships/hyperlink" Id="rId90" Target="https://doi.org/10.1007/s11227-024-06297-1" TargetMode="External" /><Relationship Type="http://schemas.openxmlformats.org/officeDocument/2006/relationships/hyperlink" Id="rId92" Target="https://doi.org/10.1016/j.jprocont.2023.103041" TargetMode="External" /><Relationship Type="http://schemas.openxmlformats.org/officeDocument/2006/relationships/hyperlink" Id="rId126" Target="https://doi.org/10.1016/j.mlwa.2023.100470" TargetMode="External" /><Relationship Type="http://schemas.openxmlformats.org/officeDocument/2006/relationships/hyperlink" Id="rId74" Target="https://doi.org/10.1023/A:1007652502315" TargetMode="External" /><Relationship Type="http://schemas.openxmlformats.org/officeDocument/2006/relationships/hyperlink" Id="rId146" Target="https://doi.org/10.1038/s41597-025-04802-6" TargetMode="External" /><Relationship Type="http://schemas.openxmlformats.org/officeDocument/2006/relationships/hyperlink" Id="rId104" Target="https://doi.org/10.1073/pnas.1302233110" TargetMode="External" /><Relationship Type="http://schemas.openxmlformats.org/officeDocument/2006/relationships/hyperlink" Id="rId152" Target="https://doi.org/10.1093/biomet/65.1.153" TargetMode="External" /><Relationship Type="http://schemas.openxmlformats.org/officeDocument/2006/relationships/hyperlink" Id="rId164" Target="https://doi.org/10.1109/BigData.2017.8258257" TargetMode="External" /><Relationship Type="http://schemas.openxmlformats.org/officeDocument/2006/relationships/hyperlink" Id="rId138" Target="https://doi.org/10.1109/DSN.2007.103" TargetMode="External" /><Relationship Type="http://schemas.openxmlformats.org/officeDocument/2006/relationships/hyperlink" Id="rId76" Target="https://doi.org/10.1109/ICDE.2001.914830" TargetMode="External" /><Relationship Type="http://schemas.openxmlformats.org/officeDocument/2006/relationships/hyperlink" Id="rId132" Target="https://doi.org/10.1109/ICSE-SEIP.2019.00021" TargetMode="External" /><Relationship Type="http://schemas.openxmlformats.org/officeDocument/2006/relationships/hyperlink" Id="rId120" Target="https://doi.org/10.1109/ICSE43902.2021.00130" TargetMode="External" /><Relationship Type="http://schemas.openxmlformats.org/officeDocument/2006/relationships/hyperlink" Id="rId122" Target="https://doi.org/10.1109/IJCNN52387.2021.9534113" TargetMode="External" /><Relationship Type="http://schemas.openxmlformats.org/officeDocument/2006/relationships/hyperlink" Id="rId130" Target="https://doi.org/10.1109/ISSRE59848.2023.00071" TargetMode="External" /><Relationship Type="http://schemas.openxmlformats.org/officeDocument/2006/relationships/hyperlink" Id="rId140" Target="https://doi.org/10.1109/PHM.2008.4711414" TargetMode="External" /><Relationship Type="http://schemas.openxmlformats.org/officeDocument/2006/relationships/hyperlink" Id="rId148" Target="https://doi.org/10.1111/j.2517-6161.1995.tb02031.x" TargetMode="External" /><Relationship Type="http://schemas.openxmlformats.org/officeDocument/2006/relationships/hyperlink" Id="rId169" Target="https://doi.org/10.1137/1.9781611972733.15" TargetMode="External" /><Relationship Type="http://schemas.openxmlformats.org/officeDocument/2006/relationships/hyperlink" Id="rId100" Target="https://doi.org/10.1145/312129.312191" TargetMode="External" /><Relationship Type="http://schemas.openxmlformats.org/officeDocument/2006/relationships/hyperlink" Id="rId102" Target="https://doi.org/10.1145/312129.312263" TargetMode="External" /><Relationship Type="http://schemas.openxmlformats.org/officeDocument/2006/relationships/hyperlink" Id="rId114" Target="https://doi.org/10.1145/3133956.3134015" TargetMode="External" /><Relationship Type="http://schemas.openxmlformats.org/officeDocument/2006/relationships/hyperlink" Id="rId118" Target="https://doi.org/10.1145/3338906.3338931" TargetMode="External" /><Relationship Type="http://schemas.openxmlformats.org/officeDocument/2006/relationships/hyperlink" Id="rId70" Target="https://doi.org/10.1145/342009.335372" TargetMode="External" /><Relationship Type="http://schemas.openxmlformats.org/officeDocument/2006/relationships/hyperlink" Id="rId136" Target="https://doi.org/10.1145/3472883.3487003" TargetMode="External" /><Relationship Type="http://schemas.openxmlformats.org/officeDocument/2006/relationships/hyperlink" Id="rId108" Target="https://doi.org/10.1145/3534678.3539398" TargetMode="External" /><Relationship Type="http://schemas.openxmlformats.org/officeDocument/2006/relationships/hyperlink" Id="rId150" Target="https://doi.org/10.1214/aos/1013699998" TargetMode="External" /><Relationship Type="http://schemas.openxmlformats.org/officeDocument/2006/relationships/hyperlink" Id="rId154" Target="https://doi.org/10.1214/ss/1032209663" TargetMode="External" /><Relationship Type="http://schemas.openxmlformats.org/officeDocument/2006/relationships/hyperlink" Id="rId110" Target="https://doi.org/10.14778/3675034.3675055" TargetMode="External" /><Relationship Type="http://schemas.openxmlformats.org/officeDocument/2006/relationships/hyperlink" Id="rId86" Target="https://doi.org/10.21105/joss.00638" TargetMode="External" /><Relationship Type="http://schemas.openxmlformats.org/officeDocument/2006/relationships/hyperlink" Id="rId116" Target="https://doi.org/10.24963/ijcai.2019/658" TargetMode="External" /><Relationship Type="http://schemas.openxmlformats.org/officeDocument/2006/relationships/hyperlink" Id="rId94" Target="https://doi.org/10.3390/pr11041169" TargetMode="External" /><Relationship Type="http://schemas.openxmlformats.org/officeDocument/2006/relationships/hyperlink" Id="rId112" Target="https://doi.org/10.48550/arXiv.1410.2597" TargetMode="External" /><Relationship Type="http://schemas.openxmlformats.org/officeDocument/2006/relationships/hyperlink" Id="rId167" Target="https://doi.org/10.48550/arXiv.1511.01478" TargetMode="External" /><Relationship Type="http://schemas.openxmlformats.org/officeDocument/2006/relationships/hyperlink" Id="rId134" Target="https://doi.org/10.48550/arXiv.1808.02919" TargetMode="External" /><Relationship Type="http://schemas.openxmlformats.org/officeDocument/2006/relationships/hyperlink" Id="rId124" Target="https://doi.org/10.48550/arXiv.2401.04749" TargetMode="External" /><Relationship Type="http://schemas.openxmlformats.org/officeDocument/2006/relationships/hyperlink" Id="rId98" Target="https://doi.org/10.48550/arXiv.2510.06831" TargetMode="External" /><Relationship Type="http://schemas.openxmlformats.org/officeDocument/2006/relationships/hyperlink" Id="rId156" Target="https://doi.org/10.5281/zenodo.5841834" TargetMode="External" /><Relationship Type="http://schemas.openxmlformats.org/officeDocument/2006/relationships/hyperlink" Id="rId158" Target="https://doi.org/10.5281/zenodo.5946808" TargetMode="External" /><Relationship Type="http://schemas.openxmlformats.org/officeDocument/2006/relationships/hyperlink" Id="rId162" Target="https://github.com/alibaba/clusterdata" TargetMode="External" /><Relationship Type="http://schemas.openxmlformats.org/officeDocument/2006/relationships/hyperlink" Id="rId160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Apartsin1; Yehudit Aperstein2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2026-08-31T12:15:42Z</dcterms:created>
  <dcterms:modified xsi:type="dcterms:W3CDTF">2026-08-31T12:15:42Z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2026-08-31</vt:lpwstr>
  </property>
  <property fmtid="{D5CDD505-2E9C-101B-9397-08002B2CF9AE}" pid="5" name="link-citations">
    <vt:lpwstr>True</vt:lpwstr>
  </property>
</Properties>
</file>