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Mining Frequent Failure Sequences in Operational Event Logs</w:t>
      </w:r>
    </w:p>
    <w:p>
      <w:pPr>
        <w:pStyle w:val="Date"/>
      </w:pPr>
      <w:r>
        <w:t xml:space="preserve">2026-08-29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7" w:name="Xce1c4f30b6249f262e85315bbd79ad996dfa10c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Mining Frequent Failure Sequences in Operational Event Logs</w:t>
      </w:r>
    </w:p>
    <w:p>
      <w:pPr>
        <w:pStyle w:val="FirstParagraph"/>
      </w:pPr>
      <w:r>
        <w:rPr>
          <w:i/>
          <w:iCs/>
        </w:rPr>
        <w:t xml:space="preserve">Restructured draft. Numbers are current best estimates from the</w:t>
      </w:r>
      <w:r>
        <w:rPr>
          <w:i/>
          <w:iCs/>
        </w:rPr>
        <w:t xml:space="preserve"> </w:t>
      </w:r>
      <w:r>
        <w:rPr>
          <w:i/>
          <w:iCs/>
        </w:rPr>
        <w:t xml:space="preserve">pipeline as of 2026-08-28. TODO markers name what is still missing.</w:t>
      </w:r>
    </w:p>
    <w:bookmarkStart w:id="20" w:name="abstract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Abstract</w:t>
      </w:r>
    </w:p>
    <w:p>
      <w:pPr>
        <w:pStyle w:val="FirstParagraph"/>
      </w:pPr>
      <w:r>
        <w:t xml:space="preserve">Every large system logs discrete operational events: errors, retries,</w:t>
      </w:r>
      <w:r>
        <w:t xml:space="preserve"> </w:t>
      </w:r>
      <w:r>
        <w:t xml:space="preserve">task failures, maintenance actions. Frequent-pattern mining</w:t>
      </w:r>
      <w:r>
        <w:t xml:space="preserve"> </w:t>
      </w:r>
      <w:r>
        <w:t xml:space="preserve">(FP-Growth, PrefixSpan) surfaces recurrent event patterns from these</w:t>
      </w:r>
      <w:r>
        <w:t xml:space="preserve"> </w:t>
      </w:r>
      <w:r>
        <w:t xml:space="preserve">logs, but frequency does not imply predictiveness. Many of the</w:t>
      </w:r>
      <w:r>
        <w:t xml:space="preserve"> </w:t>
      </w:r>
      <w:r>
        <w:t xml:space="preserve">mined patterns are common cascades that occur equally often before</w:t>
      </w:r>
      <w:r>
        <w:t xml:space="preserve"> </w:t>
      </w:r>
      <w:r>
        <w:t xml:space="preserve">failures and in normal operation. This paper’s central claim:</w:t>
      </w:r>
      <w:r>
        <w:t xml:space="preserve"> </w:t>
      </w:r>
      <w:r>
        <w:rPr>
          <w:b/>
          <w:bCs/>
        </w:rPr>
        <w:t xml:space="preserve">only</w:t>
      </w:r>
      <w:r>
        <w:rPr>
          <w:b/>
          <w:bCs/>
        </w:rPr>
        <w:t xml:space="preserve"> </w:t>
      </w:r>
      <w:r>
        <w:rPr>
          <w:b/>
          <w:bCs/>
        </w:rPr>
        <w:t xml:space="preserve">a specific minority of frequent event patterns carries elevated</w:t>
      </w:r>
      <w:r>
        <w:rPr>
          <w:b/>
          <w:bCs/>
        </w:rPr>
        <w:t xml:space="preserve"> </w:t>
      </w:r>
      <w:r>
        <w:rPr>
          <w:b/>
          <w:bCs/>
        </w:rPr>
        <w:t xml:space="preserve">hazard for future failure, and a matched-control + statistical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 methodology cleanly separates the predictive subset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frequent-but-uninformative noise</w:t>
      </w:r>
      <w:r>
        <w:t xml:space="preserve">. We demonstrate the</w:t>
      </w:r>
      <w:r>
        <w:t xml:space="preserve"> </w:t>
      </w:r>
      <w:r>
        <w:t xml:space="preserve">separation on four traces spanning three domains: synthetic</w:t>
      </w:r>
      <w:r>
        <w:t xml:space="preserve"> </w:t>
      </w:r>
      <w:r>
        <w:t xml:space="preserve">industrial per-machine (Azure PdM), real cloud per-job (Alibaba</w:t>
      </w:r>
      <w:r>
        <w:t xml:space="preserve"> </w:t>
      </w:r>
      <w:r>
        <w:t xml:space="preserve">v2018), real HPC per-rack (LLNL Blue Gene/L syslogs), and real</w:t>
      </w:r>
      <w:r>
        <w:t xml:space="preserve"> </w:t>
      </w:r>
      <w:r>
        <w:t xml:space="preserve">automotive per-vehicle (SCANIA Component X). On the two rich-discrete-</w:t>
      </w:r>
      <w:r>
        <w:t xml:space="preserve"> </w:t>
      </w:r>
      <w:r>
        <w:t xml:space="preserve">vocabulary traces, 60-100% of mined frequent patterns at each</w:t>
      </w:r>
      <w:r>
        <w:t xml:space="preserve"> </w:t>
      </w:r>
      <w:r>
        <w:t xml:space="preserve">horizon pass BH q&lt;0.05, and concrete predictive signatures include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on Azure (sequence</w:t>
      </w:r>
      <w:r>
        <w:t xml:space="preserve"> </w:t>
      </w:r>
      <w:r>
        <w:t xml:space="preserve">lift 3.73 vs itemset lift 2.22) and</w:t>
      </w:r>
      <w:r>
        <w:t xml:space="preserve"> </w:t>
      </w:r>
      <w:r>
        <w:rPr>
          <w:rStyle w:val="VerbatimChar"/>
        </w:rPr>
        <w:t xml:space="preserve">task_success:M → task_success:R → task_success:M → task_success:M</w:t>
      </w:r>
      <w:r>
        <w:t xml:space="preserve"> </w:t>
      </w:r>
      <w:r>
        <w:t xml:space="preserve">on Alibaba (sequence lift 2.43 vs itemset lift 0.94). Adding these</w:t>
      </w:r>
      <w:r>
        <w:t xml:space="preserve"> </w:t>
      </w:r>
      <w:r>
        <w:t xml:space="preserve">predictive patterns to a temporally-held-out logistic regression as</w:t>
      </w:r>
      <w:r>
        <w:t xml:space="preserve"> </w:t>
      </w:r>
      <w:r>
        <w:t xml:space="preserve">binary features improves failure prediction by +5.6 AUROC on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and +6.2 AUROC on 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over itemset-only features.</w:t>
      </w:r>
      <w:r>
        <w:t xml:space="preserve"> </w:t>
      </w:r>
      <w:r>
        <w:t xml:space="preserve">On the two boundary traces, 0-11% of mined patterns pass</w:t>
      </w:r>
      <w:r>
        <w:t xml:space="preserve"> </w:t>
      </w:r>
      <w:r>
        <w:t xml:space="preserve">significance: BGL syslogs (0 patterns; self-triggering alert</w:t>
      </w:r>
      <w:r>
        <w:t xml:space="preserve"> </w:t>
      </w:r>
      <w:r>
        <w:t xml:space="preserve">cascades leave no discriminable non-alert precursors) and Component</w:t>
      </w:r>
      <w:r>
        <w:t xml:space="preserve"> </w:t>
      </w:r>
      <w:r>
        <w:t xml:space="preserve">X (of 42,453 candidate itemsets mined at min-support 0.05, 2,560</w:t>
      </w:r>
      <w:r>
        <w:t xml:space="preserve"> </w:t>
      </w:r>
      <w:r>
        <w:t xml:space="preserve">pass a risk-set matched hazard-ratio test at Benjamini-Yekutieli</w:t>
      </w:r>
      <w:r>
        <w:t xml:space="preserve"> </w:t>
      </w:r>
      <w:r>
        <w:t xml:space="preserve">q &lt; 0.05 that is valid under arbitrary dependence between patterns;</w:t>
      </w:r>
      <w:r>
        <w:t xml:space="preserve"> </w:t>
      </w:r>
      <w:r>
        <w:t xml:space="preserve">top MH-OR 2.72 [2.10, 3.51]. The strongest per-pattern signals</w:t>
      </w:r>
      <w:r>
        <w:t xml:space="preserve"> </w:t>
      </w:r>
      <w:r>
        <w:t xml:space="preserve">cannot lift a temporally-held-out classifier beyond AUROC 0.60</w:t>
      </w:r>
      <w:r>
        <w:t xml:space="preserve"> </w:t>
      </w:r>
      <w:r>
        <w:t xml:space="preserve">because the underlying signal is a static per-truck usage profile</w:t>
      </w:r>
      <w:r>
        <w:t xml:space="preserve"> </w:t>
      </w:r>
      <w:r>
        <w:t xml:space="preserve">rather than a temporal degradation trajectory). We</w:t>
      </w:r>
      <w:r>
        <w:t xml:space="preserve"> </w:t>
      </w:r>
      <w:r>
        <w:t xml:space="preserve">generalise the matched-control pipeline to right-censored survival-</w:t>
      </w:r>
      <w:r>
        <w:t xml:space="preserve"> </w:t>
      </w:r>
      <w:r>
        <w:t xml:space="preserve">style data via incidence-density (risk-set) sampling with</w:t>
      </w:r>
      <w:r>
        <w:t xml:space="preserve"> </w:t>
      </w:r>
      <w:r>
        <w:t xml:space="preserve">Mantel-Haenszel odds-ratio scoring, which estimates per-pattern</w:t>
      </w:r>
      <w:r>
        <w:t xml:space="preserve"> </w:t>
      </w:r>
      <w:r>
        <w:t xml:space="preserve">hazard ratios and applies without modifying the mining stage. Mined</w:t>
      </w:r>
      <w:r>
        <w:t xml:space="preserve"> </w:t>
      </w:r>
      <w:r>
        <w:t xml:space="preserve">patterns, matched-control windows, and hazard-ratio-scored risk-set</w:t>
      </w:r>
      <w:r>
        <w:t xml:space="preserve"> </w:t>
      </w:r>
      <w:r>
        <w:t xml:space="preserve">patterns are released as reproducible parquet artefacts.</w:t>
      </w:r>
    </w:p>
    <w:bookmarkEnd w:id="20"/>
    <w:bookmarkStart w:id="21" w:name="introduction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1 Introduction</w:t>
      </w:r>
    </w:p>
    <w:p>
      <w:pPr>
        <w:pStyle w:val="FirstParagraph"/>
      </w:pPr>
      <w:r>
        <w:t xml:space="preserve">Operational logs from datacenters, industrial fleets, and cloud</w:t>
      </w:r>
      <w:r>
        <w:t xml:space="preserve"> </w:t>
      </w:r>
      <w:r>
        <w:t xml:space="preserve">platforms carry a rich stream of discrete events: software errors,</w:t>
      </w:r>
      <w:r>
        <w:t xml:space="preserve"> </w:t>
      </w:r>
      <w:r>
        <w:t xml:space="preserve">task failures, retries, eviction notices, maintenance actions,</w:t>
      </w:r>
      <w:r>
        <w:t xml:space="preserve"> </w:t>
      </w:r>
      <w:r>
        <w:t xml:space="preserve">component replacements. These events are usually consumed one at a</w:t>
      </w:r>
      <w:r>
        <w:t xml:space="preserve"> </w:t>
      </w:r>
      <w:r>
        <w:t xml:space="preserve">time by alerting systems and dashboards. We ask a different question:</w:t>
      </w:r>
      <w:r>
        <w:t xml:space="preserve"> </w:t>
      </w:r>
      <w:r>
        <w:t xml:space="preserve">do RECURRENT ORDERED SEQUENCES of these events precede failures</w:t>
      </w:r>
      <w:r>
        <w:t xml:space="preserve"> </w:t>
      </w:r>
      <w:r>
        <w:t xml:space="preserve">systematically enough to serve as early-warning signatures?</w:t>
      </w:r>
    </w:p>
    <w:p>
      <w:pPr>
        <w:pStyle w:val="BodyText"/>
      </w:pPr>
      <w:r>
        <w:t xml:space="preserve">Two mining families answer this shape of question. Frequent itemset</w:t>
      </w:r>
      <w:r>
        <w:t xml:space="preserve"> </w:t>
      </w:r>
      <w:r>
        <w:t xml:space="preserve">mining (Apriori, FP-Growth) treats each pre-failure window as an</w:t>
      </w:r>
      <w:r>
        <w:t xml:space="preserve"> </w:t>
      </w:r>
      <w:r>
        <w:t xml:space="preserve">unordered set of events. Sequential pattern mining (PrefixSpan,</w:t>
      </w:r>
      <w:r>
        <w:t xml:space="preserve"> </w:t>
      </w:r>
      <w:r>
        <w:t xml:space="preserve">SPADE, GSP) preserves temporal order. The paper’s central question is</w:t>
      </w:r>
      <w:r>
        <w:t xml:space="preserve"> </w:t>
      </w:r>
      <w:r>
        <w:t xml:space="preserve">whether the second family finds anything the first does not.</w:t>
      </w:r>
    </w:p>
    <w:p>
      <w:pPr>
        <w:pStyle w:val="BodyText"/>
      </w:pPr>
      <w:r>
        <w:t xml:space="preserve">We contribute: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matched-control frequent-pattern pipeline that separates</w:t>
      </w:r>
      <w:r>
        <w:rPr>
          <w:b/>
          <w:bCs/>
        </w:rPr>
        <w:t xml:space="preserve"> </w:t>
      </w:r>
      <w:r>
        <w:rPr>
          <w:b/>
          <w:bCs/>
        </w:rPr>
        <w:t xml:space="preserve">predictive patterns from frequent noise</w:t>
      </w:r>
      <w:r>
        <w:t xml:space="preserve">, with sanity invariants</w:t>
      </w:r>
      <w:r>
        <w:t xml:space="preserve"> </w:t>
      </w:r>
      <w:r>
        <w:t xml:space="preserve">at every phase (random-label permutation for itemsets, within-</w:t>
      </w:r>
      <w:r>
        <w:t xml:space="preserve"> </w:t>
      </w:r>
      <w:r>
        <w:t xml:space="preserve">window order shuffle for sequences), exact hypergeometric</w:t>
      </w:r>
      <w:r>
        <w:t xml:space="preserve"> </w:t>
      </w:r>
      <w:r>
        <w:t xml:space="preserve">permutation p-values, and BH FDR correction on the per-pattern</w:t>
      </w:r>
      <w:r>
        <w:t xml:space="preserve"> </w:t>
      </w:r>
      <w:r>
        <w:t xml:space="preserve">significance test. The predictive-vs-noise separation is the</w:t>
      </w:r>
      <w:r>
        <w:t xml:space="preserve"> </w:t>
      </w:r>
      <w:r>
        <w:t xml:space="preserve">central object we characterise, not a downstream AUROC number.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generalisation of matched-control mining to right-censored</w:t>
      </w:r>
      <w:r>
        <w:rPr>
          <w:b/>
          <w:bCs/>
        </w:rPr>
        <w:t xml:space="preserve"> </w:t>
      </w:r>
      <w:r>
        <w:rPr>
          <w:b/>
          <w:bCs/>
        </w:rPr>
        <w:t xml:space="preserve">survival-style data via incidence-density (risk-set) sampling</w:t>
      </w:r>
      <w:r>
        <w:t xml:space="preserve"> </w:t>
      </w:r>
      <w:r>
        <w:t xml:space="preserve">with Mantel-Haenszel odds-ratio scoring, which estimates per-</w:t>
      </w:r>
      <w:r>
        <w:t xml:space="preserve"> </w:t>
      </w:r>
      <w:r>
        <w:t xml:space="preserve">pattern hazard ratios without modifying the mining stage. This is</w:t>
      </w:r>
      <w:r>
        <w:t xml:space="preserve"> </w:t>
      </w:r>
      <w:r>
        <w:t xml:space="preserve">the tool that lets the pipeline apply to traces where entities</w:t>
      </w:r>
      <w:r>
        <w:t xml:space="preserve"> </w:t>
      </w:r>
      <w:r>
        <w:t xml:space="preserve">exit observation upon failure (Component X).</w:t>
      </w:r>
    </w:p>
    <w:p>
      <w:pPr>
        <w:pStyle w:val="Compact"/>
        <w:numPr>
          <w:ilvl w:val="0"/>
          <w:numId w:val="1001"/>
        </w:numPr>
      </w:pPr>
      <w:r>
        <w:t xml:space="preserve">A downstream</w:t>
      </w:r>
      <w:r>
        <w:t xml:space="preserve"> </w:t>
      </w:r>
      <w:r>
        <w:rPr>
          <w:b/>
          <w:bCs/>
        </w:rPr>
        <w:t xml:space="preserve">predictive evaluation</w:t>
      </w:r>
      <w:r>
        <w:t xml:space="preserve"> </w:t>
      </w:r>
      <w:r>
        <w:t xml:space="preserve">on a temporally-held-out</w:t>
      </w:r>
      <w:r>
        <w:t xml:space="preserve"> </w:t>
      </w:r>
      <w:r>
        <w:t xml:space="preserve">split that compares four feature sets (event-count baseline,</w:t>
      </w:r>
      <w:r>
        <w:t xml:space="preserve"> </w:t>
      </w:r>
      <w:r>
        <w:t xml:space="preserve">itemsets, sequences, combined) built from patterns that survived</w:t>
      </w:r>
      <w:r>
        <w:t xml:space="preserve"> </w:t>
      </w:r>
      <w:r>
        <w:t xml:space="preserve">training-set significance, under logistic regression.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Cross-dataset characterisation</w:t>
      </w:r>
      <w:r>
        <w:t xml:space="preserve"> </w:t>
      </w:r>
      <w:r>
        <w:t xml:space="preserve">on four public event-log</w:t>
      </w:r>
      <w:r>
        <w:t xml:space="preserve"> </w:t>
      </w:r>
      <w:r>
        <w:t xml:space="preserve">traces spanning three domains: synthetic industrial per-machine</w:t>
      </w:r>
      <w:r>
        <w:t xml:space="preserve"> </w:t>
      </w:r>
      <w:r>
        <w:t xml:space="preserve">(Azure PdM), real cloud per-job (Alibaba cluster-trace-v2018),</w:t>
      </w:r>
      <w:r>
        <w:t xml:space="preserve"> </w:t>
      </w:r>
      <w:r>
        <w:t xml:space="preserve">real HPC per-rack (LLNL Blue Gene/L syslogs), and real automotive</w:t>
      </w:r>
      <w:r>
        <w:t xml:space="preserve"> </w:t>
      </w:r>
      <w:r>
        <w:t xml:space="preserve">per-vehicle (SCANIA Component X). We report the fraction of mined</w:t>
      </w:r>
      <w:r>
        <w:t xml:space="preserve"> </w:t>
      </w:r>
      <w:r>
        <w:t xml:space="preserve">patterns that pass significance on each trace, the strongest</w:t>
      </w:r>
      <w:r>
        <w:t xml:space="preserve"> </w:t>
      </w:r>
      <w:r>
        <w:t xml:space="preserve">predictive signatures, and the mechanistic reason why the</w:t>
      </w:r>
      <w:r>
        <w:t xml:space="preserve"> </w:t>
      </w:r>
      <w:r>
        <w:t xml:space="preserve">fraction varies from ~85% (Azure last5 sequences) to 0% (BGL) to</w:t>
      </w:r>
      <w:r>
        <w:t xml:space="preserve"> </w:t>
      </w:r>
      <w:r>
        <w:t xml:space="preserve">6% (SCANIA risk-set matched, BY-corrected).</w:t>
      </w:r>
    </w:p>
    <w:bookmarkEnd w:id="21"/>
    <w:bookmarkStart w:id="29" w:name="background-and-related-work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2 Background and related work</w:t>
      </w:r>
    </w:p>
    <w:bookmarkStart w:id="22" w:name="X9628e7f76eef08e98b9d1aca8c234075694d1d8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2.1 Frequent itemset and sequential pattern mining</w:t>
      </w:r>
    </w:p>
    <w:p>
      <w:pPr>
        <w:pStyle w:val="FirstParagraph"/>
      </w:pPr>
      <w:r>
        <w:t xml:space="preserve">The two mining families this paper compares are well-established.</w:t>
      </w:r>
      <w:r>
        <w:t xml:space="preserve"> </w:t>
      </w:r>
      <w:r>
        <w:t xml:space="preserve">Association-rule mining introduced Apriori</w:t>
      </w:r>
      <w:r>
        <w:t xml:space="preserve"> </w:t>
      </w:r>
      <w:r>
        <w:t xml:space="preserve">(Agrawal and Srikant 1994)</w:t>
      </w:r>
      <w:r>
        <w:t xml:space="preserve"> </w:t>
      </w:r>
      <w:r>
        <w:t xml:space="preserve">and</w:t>
      </w:r>
      <w:r>
        <w:t xml:space="preserve"> </w:t>
      </w:r>
      <w:r>
        <w:t xml:space="preserve">FP-Growth</w:t>
      </w:r>
      <w:r>
        <w:t xml:space="preserve"> </w:t>
      </w:r>
      <w:r>
        <w:t xml:space="preserve">(Han, Pei, and Yin 2000)</w:t>
      </w:r>
      <w:r>
        <w:t xml:space="preserve"> </w:t>
      </w:r>
      <w:r>
        <w:t xml:space="preserve">over unordered transactions, the latter</w:t>
      </w:r>
      <w:r>
        <w:t xml:space="preserve"> </w:t>
      </w:r>
      <w:r>
        <w:t xml:space="preserve">avoiding candidate generation through a compressed frequent-pattern</w:t>
      </w:r>
      <w:r>
        <w:t xml:space="preserve"> </w:t>
      </w:r>
      <w:r>
        <w:t xml:space="preserve">tree. Sequential pattern mining extended this to ordered event</w:t>
      </w:r>
      <w:r>
        <w:t xml:space="preserve"> </w:t>
      </w:r>
      <w:r>
        <w:t xml:space="preserve">streams: GSP</w:t>
      </w:r>
      <w:r>
        <w:t xml:space="preserve"> </w:t>
      </w:r>
      <w:r>
        <w:t xml:space="preserve">(Srikant and Agrawal 1996)</w:t>
      </w:r>
      <w:r>
        <w:t xml:space="preserve"> </w:t>
      </w:r>
      <w:r>
        <w:t xml:space="preserve">generalises Apriori-style level-wise</w:t>
      </w:r>
      <w:r>
        <w:t xml:space="preserve"> </w:t>
      </w:r>
      <w:r>
        <w:t xml:space="preserve">generation to sequences; SPADE</w:t>
      </w:r>
      <w:r>
        <w:t xml:space="preserve"> </w:t>
      </w:r>
      <w:r>
        <w:t xml:space="preserve">(Zaki 2001)</w:t>
      </w:r>
      <w:r>
        <w:t xml:space="preserve"> </w:t>
      </w:r>
      <w:r>
        <w:t xml:space="preserve">uses a vertical</w:t>
      </w:r>
      <w:r>
        <w:t xml:space="preserve"> </w:t>
      </w:r>
      <w:r>
        <w:t xml:space="preserve">id-list format; PrefixSpan</w:t>
      </w:r>
      <w:r>
        <w:t xml:space="preserve"> </w:t>
      </w:r>
      <w:r>
        <w:t xml:space="preserve">(Pei et al. 2001)</w:t>
      </w:r>
      <w:r>
        <w:t xml:space="preserve"> </w:t>
      </w:r>
      <w:r>
        <w:t xml:space="preserve">uses prefix-projected</w:t>
      </w:r>
      <w:r>
        <w:t xml:space="preserve"> </w:t>
      </w:r>
      <w:r>
        <w:t xml:space="preserve">pattern growth, and is the algorithm we use in this paper.</w:t>
      </w:r>
    </w:p>
    <w:p>
      <w:pPr>
        <w:pStyle w:val="BodyText"/>
      </w:pPr>
      <w:r>
        <w:t xml:space="preserve">Later variants sharpen the raw output. CM-SPAM / CM-SPADE</w:t>
      </w:r>
      <w:r>
        <w:t xml:space="preserve"> </w:t>
      </w:r>
      <w:r>
        <w:t xml:space="preserve">(Fournier-Viger, Gomariz, et al. 2014)</w:t>
      </w:r>
      <w:r>
        <w:t xml:space="preserve"> </w:t>
      </w:r>
      <w:r>
        <w:t xml:space="preserve">speed vertical mining through co-occurrence</w:t>
      </w:r>
      <w:r>
        <w:t xml:space="preserve"> </w:t>
      </w:r>
      <w:r>
        <w:t xml:space="preserve">pruning; VMSP</w:t>
      </w:r>
      <w:r>
        <w:t xml:space="preserve"> </w:t>
      </w:r>
      <w:r>
        <w:t xml:space="preserve">(Fournier-Viger, Wu, et al. 2014)</w:t>
      </w:r>
      <w:r>
        <w:t xml:space="preserve"> </w:t>
      </w:r>
      <w:r>
        <w:t xml:space="preserve">returns only maximal sequences,</w:t>
      </w:r>
      <w:r>
        <w:t xml:space="preserve"> </w:t>
      </w:r>
      <w:r>
        <w:t xml:space="preserve">compressing the pattern set without losing coverage. A recent survey</w:t>
      </w:r>
      <w:r>
        <w:t xml:space="preserve"> </w:t>
      </w:r>
      <w:r>
        <w:t xml:space="preserve">(Fournier-Viger et al. 2022)</w:t>
      </w:r>
      <w:r>
        <w:t xml:space="preserve"> </w:t>
      </w:r>
      <w:r>
        <w:t xml:space="preserve">summarises open problems in the</w:t>
      </w:r>
      <w:r>
        <w:t xml:space="preserve"> </w:t>
      </w:r>
      <w:r>
        <w:t xml:space="preserve">area. All of these algorithms are implemented in the SPMF library</w:t>
      </w:r>
      <w:r>
        <w:t xml:space="preserve"> </w:t>
      </w:r>
      <w:r>
        <w:t xml:space="preserve">(Fournier-Viger et al. 2016)</w:t>
      </w:r>
      <w:r>
        <w:t xml:space="preserve">, which we call from Python for the sequence-mining</w:t>
      </w:r>
      <w:r>
        <w:t xml:space="preserve"> </w:t>
      </w:r>
      <w:r>
        <w:t xml:space="preserve">half of our pipeline; the itemset half uses</w:t>
      </w:r>
      <w:r>
        <w:t xml:space="preserve"> </w:t>
      </w:r>
      <w:r>
        <w:rPr>
          <w:rStyle w:val="VerbatimChar"/>
        </w:rPr>
        <w:t xml:space="preserve">mlxtend</w:t>
      </w:r>
      <w:r>
        <w:t xml:space="preserve"> </w:t>
      </w:r>
      <w:r>
        <w:t xml:space="preserve">(Raschka 2018)</w:t>
      </w:r>
      <w:r>
        <w:t xml:space="preserve">.</w:t>
      </w:r>
    </w:p>
    <w:bookmarkEnd w:id="22"/>
    <w:bookmarkStart w:id="23" w:name="Xa808e2839045ed9b5bd28673ad2f734e83696c3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2.2 Failure prediction from operational event logs</w:t>
      </w:r>
    </w:p>
    <w:p>
      <w:pPr>
        <w:pStyle w:val="FirstParagraph"/>
      </w:pPr>
      <w:r>
        <w:t xml:space="preserve">Two families of methods dominate the literature: (i) explicit</w:t>
      </w:r>
      <w:r>
        <w:t xml:space="preserve"> </w:t>
      </w:r>
      <w:r>
        <w:t xml:space="preserve">frequent-pattern mining on parsed log templates, close to what this</w:t>
      </w:r>
      <w:r>
        <w:t xml:space="preserve"> </w:t>
      </w:r>
      <w:r>
        <w:t xml:space="preserve">paper does, and (ii) deep learning over log sequences.</w:t>
      </w:r>
    </w:p>
    <w:p>
      <w:pPr>
        <w:pStyle w:val="BodyText"/>
      </w:pPr>
      <w:r>
        <w:rPr>
          <w:b/>
          <w:bCs/>
        </w:rPr>
        <w:t xml:space="preserve">Pattern mining.</w:t>
      </w:r>
      <w:r>
        <w:t xml:space="preserve"> </w:t>
      </w:r>
      <w:r>
        <w:t xml:space="preserve">Ren et al.</w:t>
      </w:r>
      <w:r>
        <w:t xml:space="preserve"> </w:t>
      </w:r>
      <w:r>
        <w:t xml:space="preserve">(Ren et al. 2021)</w:t>
      </w:r>
      <w:r>
        <w:t xml:space="preserve"> </w:t>
      </w:r>
      <w:r>
        <w:t xml:space="preserve">apply Spark FP-Growth</w:t>
      </w:r>
      <w:r>
        <w:t xml:space="preserve"> </w:t>
      </w:r>
      <w:r>
        <w:t xml:space="preserve">to failure prediction on BlueGene/L, LANL-HPC, and CMRI-Hadoop logs,</w:t>
      </w:r>
      <w:r>
        <w:t xml:space="preserve"> </w:t>
      </w:r>
      <w:r>
        <w:t xml:space="preserve">using event-density sliding windows over long-tail event vocabularies.</w:t>
      </w:r>
      <w:r>
        <w:t xml:space="preserve"> </w:t>
      </w:r>
      <w:r>
        <w:t xml:space="preserve">İfraz and Ersöz</w:t>
      </w:r>
      <w:r>
        <w:t xml:space="preserve"> </w:t>
      </w:r>
      <w:r>
        <w:t xml:space="preserve">(İfraz and Ersöz 2024)</w:t>
      </w:r>
      <w:r>
        <w:t xml:space="preserve"> </w:t>
      </w:r>
      <w:r>
        <w:t xml:space="preserve">run PrefixSpan and Apriori</w:t>
      </w:r>
      <w:r>
        <w:t xml:space="preserve"> </w:t>
      </w:r>
      <w:r>
        <w:t xml:space="preserve">side-by-side on a bus-fleet maintenance log, showing that sequence</w:t>
      </w:r>
      <w:r>
        <w:t xml:space="preserve"> </w:t>
      </w:r>
      <w:r>
        <w:t xml:space="preserve">mining recovers</w:t>
      </w:r>
      <w:r>
        <w:t xml:space="preserve"> </w:t>
      </w:r>
      <w:r>
        <w:t xml:space="preserve">“</w:t>
      </w:r>
      <w:r>
        <w:t xml:space="preserve">errors → replacement</w:t>
      </w:r>
      <w:r>
        <w:t xml:space="preserve">”</w:t>
      </w:r>
      <w:r>
        <w:t xml:space="preserve"> </w:t>
      </w:r>
      <w:r>
        <w:t xml:space="preserve">trajectories that itemset</w:t>
      </w:r>
      <w:r>
        <w:t xml:space="preserve"> </w:t>
      </w:r>
      <w:r>
        <w:t xml:space="preserve">mining misses. Both studies stop short of the head-to-head</w:t>
      </w:r>
      <w:r>
        <w:t xml:space="preserve"> </w:t>
      </w:r>
      <w:r>
        <w:t xml:space="preserve">matched-control + BH-corrected + predictive-utility comparison used</w:t>
      </w:r>
      <w:r>
        <w:t xml:space="preserve"> </w:t>
      </w:r>
      <w:r>
        <w:t xml:space="preserve">here, and neither touches Alibaba PdM or Azure.</w:t>
      </w:r>
    </w:p>
    <w:p>
      <w:pPr>
        <w:pStyle w:val="BodyText"/>
      </w:pPr>
      <w:r>
        <w:rPr>
          <w:b/>
          <w:bCs/>
        </w:rPr>
        <w:t xml:space="preserve">Deep learning on log sequences.</w:t>
      </w:r>
      <w:r>
        <w:t xml:space="preserve"> </w:t>
      </w:r>
      <w:r>
        <w:t xml:space="preserve">DeepLog</w:t>
      </w:r>
      <w:r>
        <w:t xml:space="preserve"> </w:t>
      </w:r>
      <w:r>
        <w:t xml:space="preserve">(Du et al. 2017)</w:t>
      </w:r>
      <w:r>
        <w:t xml:space="preserve"> </w:t>
      </w:r>
      <w:r>
        <w:t xml:space="preserve">frames</w:t>
      </w:r>
      <w:r>
        <w:t xml:space="preserve"> </w:t>
      </w:r>
      <w:r>
        <w:t xml:space="preserve">system-log anomaly detection as next-template prediction with a</w:t>
      </w:r>
      <w:r>
        <w:t xml:space="preserve"> </w:t>
      </w:r>
      <w:r>
        <w:t xml:space="preserve">stacked LSTM, and remains the canonical DL baseline. LogAnomaly</w:t>
      </w:r>
      <w:r>
        <w:t xml:space="preserve"> </w:t>
      </w:r>
      <w:r>
        <w:t xml:space="preserve">(Meng et al. 2019)</w:t>
      </w:r>
      <w:r>
        <w:t xml:space="preserve"> </w:t>
      </w:r>
      <w:r>
        <w:t xml:space="preserve">adds unsupervised quantitative-anomaly detection</w:t>
      </w:r>
      <w:r>
        <w:t xml:space="preserve"> </w:t>
      </w:r>
      <w:r>
        <w:t xml:space="preserve">alongside sequential anomalies. LogRobust</w:t>
      </w:r>
      <w:r>
        <w:t xml:space="preserve"> </w:t>
      </w:r>
      <w:r>
        <w:t xml:space="preserve">(Zhang et al. 2019)</w:t>
      </w:r>
      <w:r>
        <w:t xml:space="preserve"> </w:t>
      </w:r>
      <w:r>
        <w:t xml:space="preserve">adds</w:t>
      </w:r>
      <w:r>
        <w:t xml:space="preserve"> </w:t>
      </w:r>
      <w:r>
        <w:t xml:space="preserve">an attention Bi-LSTM to survive log-template drift, and PLELog</w:t>
      </w:r>
      <w:r>
        <w:t xml:space="preserve"> </w:t>
      </w:r>
      <w:r>
        <w:t xml:space="preserve">(Yang et al. 2021)</w:t>
      </w:r>
      <w:r>
        <w:t xml:space="preserve"> </w:t>
      </w:r>
      <w:r>
        <w:t xml:space="preserve">introduces semi-supervised label estimation for the</w:t>
      </w:r>
      <w:r>
        <w:t xml:space="preserve"> </w:t>
      </w:r>
      <w:r>
        <w:t xml:space="preserve">weakly-labelled setting. Recent transformer approaches (LogBERT</w:t>
      </w:r>
      <w:r>
        <w:t xml:space="preserve"> </w:t>
      </w:r>
      <w:r>
        <w:t xml:space="preserve">(Haixuan Guo, Yuan, and Wu 2021)</w:t>
      </w:r>
      <w:r>
        <w:t xml:space="preserve">; LogFormer</w:t>
      </w:r>
      <w:r>
        <w:t xml:space="preserve"> </w:t>
      </w:r>
      <w:r>
        <w:t xml:space="preserve">(Hongcheng Guo et al. 2024)</w:t>
      </w:r>
      <w:r>
        <w:t xml:space="preserve">) pre-train on unlabelled</w:t>
      </w:r>
      <w:r>
        <w:t xml:space="preserve"> </w:t>
      </w:r>
      <w:r>
        <w:t xml:space="preserve">logs and fine-tune for anomaly detection. These methods generally</w:t>
      </w:r>
      <w:r>
        <w:t xml:space="preserve"> </w:t>
      </w:r>
      <w:r>
        <w:t xml:space="preserve">outperform classical pattern miners on held-out AUROC when trained on</w:t>
      </w:r>
      <w:r>
        <w:t xml:space="preserve"> </w:t>
      </w:r>
      <w:r>
        <w:t xml:space="preserve">enough data, but produce opaque per-line anomaly scores rather than</w:t>
      </w:r>
      <w:r>
        <w:t xml:space="preserve"> </w:t>
      </w:r>
      <w:r>
        <w:t xml:space="preserve">interpretable pre-failure signatures. Our contribution is orthogonal:</w:t>
      </w:r>
      <w:r>
        <w:t xml:space="preserve"> </w:t>
      </w:r>
      <w:r>
        <w:t xml:space="preserve">we ask whether explicit ordered patterns add signal over their</w:t>
      </w:r>
      <w:r>
        <w:t xml:space="preserve"> </w:t>
      </w:r>
      <w:r>
        <w:t xml:space="preserve">itemset counterparts, with every mined pattern human-readable and</w:t>
      </w:r>
      <w:r>
        <w:t xml:space="preserve"> </w:t>
      </w:r>
      <w:r>
        <w:t xml:space="preserve">independently significance-tested.</w:t>
      </w:r>
    </w:p>
    <w:bookmarkEnd w:id="23"/>
    <w:bookmarkStart w:id="24" w:name="log-parsing-infrastructure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2.3 Log-parsing infrastructure</w:t>
      </w:r>
    </w:p>
    <w:p>
      <w:pPr>
        <w:pStyle w:val="FirstParagraph"/>
      </w:pPr>
      <w:r>
        <w:t xml:space="preserve">The raw text of most system logs must first be converted into event</w:t>
      </w:r>
      <w:r>
        <w:t xml:space="preserve"> </w:t>
      </w:r>
      <w:r>
        <w:t xml:space="preserve">templates before either family of methods applies. The Loghub</w:t>
      </w:r>
      <w:r>
        <w:t xml:space="preserve"> </w:t>
      </w:r>
      <w:r>
        <w:t xml:space="preserve">collection</w:t>
      </w:r>
      <w:r>
        <w:t xml:space="preserve"> </w:t>
      </w:r>
      <w:r>
        <w:t xml:space="preserve">(Zhu et al. 2023)</w:t>
      </w:r>
      <w:r>
        <w:t xml:space="preserve"> </w:t>
      </w:r>
      <w:r>
        <w:t xml:space="preserve">curates parsed versions of BGL, HDFS,</w:t>
      </w:r>
      <w:r>
        <w:t xml:space="preserve"> </w:t>
      </w:r>
      <w:r>
        <w:t xml:space="preserve">Thunderbird, and 13 other benchmark log datasets; the parsing</w:t>
      </w:r>
      <w:r>
        <w:t xml:space="preserve"> </w:t>
      </w:r>
      <w:r>
        <w:t xml:space="preserve">benchmark of Zhu et al.</w:t>
      </w:r>
      <w:r>
        <w:t xml:space="preserve"> </w:t>
      </w:r>
      <w:r>
        <w:t xml:space="preserve">(Zhu et al. 2019)</w:t>
      </w:r>
      <w:r>
        <w:t xml:space="preserve"> </w:t>
      </w:r>
      <w:r>
        <w:t xml:space="preserve">compares Drain and</w:t>
      </w:r>
      <w:r>
        <w:t xml:space="preserve"> </w:t>
      </w:r>
      <w:r>
        <w:t xml:space="preserve">alternative parsers on the same corpora. We take BGL from Loghub</w:t>
      </w:r>
      <w:r>
        <w:t xml:space="preserve"> </w:t>
      </w:r>
      <w:r>
        <w:t xml:space="preserve">directly and use its native label field, avoiding the parsing step</w:t>
      </w:r>
      <w:r>
        <w:t xml:space="preserve"> </w:t>
      </w:r>
      <w:r>
        <w:t xml:space="preserve">as a confound.</w:t>
      </w:r>
    </w:p>
    <w:bookmarkEnd w:id="24"/>
    <w:bookmarkStart w:id="25" w:name="X2cee95283128710baeed23d400dc2bb84c6e9a3"/>
    <w:p>
      <w:pPr>
        <w:pStyle w:val="Heading3"/>
      </w:pPr>
      <w:r>
        <w:rPr>
          <w:rStyle w:val="SectionNumber"/>
        </w:rPr>
        <w:t xml:space="preserve">1.3.4</w:t>
      </w:r>
      <w:r>
        <w:tab/>
      </w:r>
      <w:r>
        <w:t xml:space="preserve">2.4 Failure characterisation on Alibaba and BGL</w:t>
      </w:r>
    </w:p>
    <w:p>
      <w:pPr>
        <w:pStyle w:val="FirstParagraph"/>
      </w:pPr>
      <w:r>
        <w:t xml:space="preserve">Cheng et al.</w:t>
      </w:r>
      <w:r>
        <w:t xml:space="preserve"> </w:t>
      </w:r>
      <w:r>
        <w:t xml:space="preserve">(Cheng, Chai, and Anwar 2018)</w:t>
      </w:r>
      <w:r>
        <w:t xml:space="preserve"> </w:t>
      </w:r>
      <w:r>
        <w:t xml:space="preserve">provide the standard</w:t>
      </w:r>
      <w:r>
        <w:t xml:space="preserve"> </w:t>
      </w:r>
      <w:r>
        <w:t xml:space="preserve">characterisation of the Alibaba 2018 trace, reporting failure</w:t>
      </w:r>
      <w:r>
        <w:t xml:space="preserve"> </w:t>
      </w:r>
      <w:r>
        <w:t xml:space="preserve">statistics and co-location effects but not extracting sequential</w:t>
      </w:r>
      <w:r>
        <w:t xml:space="preserve"> </w:t>
      </w:r>
      <w:r>
        <w:t xml:space="preserve">patterns. Luo et al.</w:t>
      </w:r>
      <w:r>
        <w:t xml:space="preserve"> </w:t>
      </w:r>
      <w:r>
        <w:t xml:space="preserve">(Luo et al. 2021)</w:t>
      </w:r>
      <w:r>
        <w:t xml:space="preserve"> </w:t>
      </w:r>
      <w:r>
        <w:t xml:space="preserve">extend this to the microservice</w:t>
      </w:r>
      <w:r>
        <w:t xml:space="preserve"> </w:t>
      </w:r>
      <w:r>
        <w:t xml:space="preserve">trace with focus on dependency and latency rather than fault</w:t>
      </w:r>
      <w:r>
        <w:t xml:space="preserve"> </w:t>
      </w:r>
      <w:r>
        <w:t xml:space="preserve">prediction. Oliner and Stearley</w:t>
      </w:r>
      <w:r>
        <w:t xml:space="preserve"> </w:t>
      </w:r>
      <w:r>
        <w:t xml:space="preserve">(Oliner and Stearley 2007)</w:t>
      </w:r>
      <w:r>
        <w:t xml:space="preserve"> </w:t>
      </w:r>
      <w:r>
        <w:t xml:space="preserve">introduce</w:t>
      </w:r>
      <w:r>
        <w:t xml:space="preserve"> </w:t>
      </w:r>
      <w:r>
        <w:t xml:space="preserve">the BGL log we use, along with four other HPC logs, and characterise</w:t>
      </w:r>
      <w:r>
        <w:t xml:space="preserve"> </w:t>
      </w:r>
      <w:r>
        <w:t xml:space="preserve">their alert statistics.</w:t>
      </w:r>
    </w:p>
    <w:bookmarkEnd w:id="25"/>
    <w:bookmarkStart w:id="26" w:name="X26eeaefc54ccd912ad82e9cce20d5b6441a9657"/>
    <w:p>
      <w:pPr>
        <w:pStyle w:val="Heading3"/>
      </w:pPr>
      <w:r>
        <w:rPr>
          <w:rStyle w:val="SectionNumber"/>
        </w:rPr>
        <w:t xml:space="preserve">1.3.5</w:t>
      </w:r>
      <w:r>
        <w:tab/>
      </w:r>
      <w:r>
        <w:t xml:space="preserve">2.5 Predictive maintenance beyond system logs</w:t>
      </w:r>
    </w:p>
    <w:p>
      <w:pPr>
        <w:pStyle w:val="FirstParagraph"/>
      </w:pPr>
      <w:r>
        <w:t xml:space="preserve">The broader predictive-maintenance literature works mostly on</w:t>
      </w:r>
      <w:r>
        <w:t xml:space="preserve"> </w:t>
      </w:r>
      <w:r>
        <w:t xml:space="preserve">continuous sensor telemetry. NASA C-MAPSS</w:t>
      </w:r>
      <w:r>
        <w:t xml:space="preserve"> </w:t>
      </w:r>
      <w:r>
        <w:t xml:space="preserve">(Saxena et al. 2008)</w:t>
      </w:r>
      <w:r>
        <w:t xml:space="preserve"> </w:t>
      </w:r>
      <w:r>
        <w:t xml:space="preserve">is the</w:t>
      </w:r>
      <w:r>
        <w:t xml:space="preserve"> </w:t>
      </w:r>
      <w:r>
        <w:t xml:space="preserve">de-facto Remaining-Useful-Life benchmark; recent surveys</w:t>
      </w:r>
      <w:r>
        <w:t xml:space="preserve"> </w:t>
      </w:r>
      <w:r>
        <w:t xml:space="preserve">(Serradilla et al. 2022)</w:t>
      </w:r>
      <w:r>
        <w:t xml:space="preserve"> </w:t>
      </w:r>
      <w:r>
        <w:t xml:space="preserve">catalogue the deep-learning methods trained</w:t>
      </w:r>
      <w:r>
        <w:t xml:space="preserve"> </w:t>
      </w:r>
      <w:r>
        <w:t xml:space="preserve">on it. Automotive predictive maintenance has historically used</w:t>
      </w:r>
      <w:r>
        <w:t xml:space="preserve"> </w:t>
      </w:r>
      <w:r>
        <w:t xml:space="preserve">per-vehicle sensor snapshots (SCANIA APS Failure via the IDA 2016</w:t>
      </w:r>
      <w:r>
        <w:t xml:space="preserve"> </w:t>
      </w:r>
      <w:r>
        <w:t xml:space="preserve">industrial challenge</w:t>
      </w:r>
      <w:r>
        <w:t xml:space="preserve"> </w:t>
      </w:r>
      <w:r>
        <w:t xml:space="preserve">(Costa and Nascimento 2016)</w:t>
      </w:r>
      <w:r>
        <w:t xml:space="preserve">); the SCANIA Component X release</w:t>
      </w:r>
      <w:r>
        <w:t xml:space="preserve"> </w:t>
      </w:r>
      <w:r>
        <w:t xml:space="preserve">(Kharazian et al. 2025)</w:t>
      </w:r>
      <w:r>
        <w:t xml:space="preserve"> </w:t>
      </w:r>
      <w:r>
        <w:t xml:space="preserve">we adopt extends this to a per-vehicle</w:t>
      </w:r>
      <w:r>
        <w:t xml:space="preserve"> </w:t>
      </w:r>
      <w:r>
        <w:t xml:space="preserve">longitudinal readout stream. Our work sits between these traditions:</w:t>
      </w:r>
      <w:r>
        <w:t xml:space="preserve"> </w:t>
      </w:r>
      <w:r>
        <w:t xml:space="preserve">we take discrete-event traces where possible, and derive discrete</w:t>
      </w:r>
      <w:r>
        <w:t xml:space="preserve"> </w:t>
      </w:r>
      <w:r>
        <w:t xml:space="preserve">tokens (per §3.4) where we must.</w:t>
      </w:r>
    </w:p>
    <w:bookmarkEnd w:id="26"/>
    <w:bookmarkStart w:id="27" w:name="statistical-significance"/>
    <w:p>
      <w:pPr>
        <w:pStyle w:val="Heading3"/>
      </w:pPr>
      <w:r>
        <w:rPr>
          <w:rStyle w:val="SectionNumber"/>
        </w:rPr>
        <w:t xml:space="preserve">1.3.6</w:t>
      </w:r>
      <w:r>
        <w:tab/>
      </w:r>
      <w:r>
        <w:t xml:space="preserve">2.6 Statistical significance</w:t>
      </w:r>
    </w:p>
    <w:p>
      <w:pPr>
        <w:pStyle w:val="FirstParagraph"/>
      </w:pPr>
      <w:r>
        <w:t xml:space="preserve">We apply Benjamini-Hochberg FDR correction</w:t>
      </w:r>
      <w:r>
        <w:t xml:space="preserve"> </w:t>
      </w:r>
      <w:r>
        <w:t xml:space="preserve">(Benjamini and Hochberg 1995)</w:t>
      </w:r>
      <w:r>
        <w:t xml:space="preserve"> </w:t>
      </w:r>
      <w:r>
        <w:t xml:space="preserve">to the one-sided hypergeometric p-values induced by label permutation</w:t>
      </w:r>
      <w:r>
        <w:t xml:space="preserve"> </w:t>
      </w:r>
      <w:r>
        <w:t xml:space="preserve">on mined patterns. Under a fixed pattern hit-set, the label-permutation</w:t>
      </w:r>
      <w:r>
        <w:t xml:space="preserve"> </w:t>
      </w:r>
      <w:r>
        <w:t xml:space="preserve">distribution of failure-class hit count is exactly hypergeometric,</w:t>
      </w:r>
      <w:r>
        <w:t xml:space="preserve"> </w:t>
      </w:r>
      <w:r>
        <w:t xml:space="preserve">so we compute exact p-values in closed form instead of Monte Carlo.</w:t>
      </w:r>
    </w:p>
    <w:bookmarkEnd w:id="27"/>
    <w:bookmarkStart w:id="28" w:name="positioning"/>
    <w:p>
      <w:pPr>
        <w:pStyle w:val="Heading3"/>
      </w:pPr>
      <w:r>
        <w:rPr>
          <w:rStyle w:val="SectionNumber"/>
        </w:rPr>
        <w:t xml:space="preserve">1.3.7</w:t>
      </w:r>
      <w:r>
        <w:tab/>
      </w:r>
      <w:r>
        <w:t xml:space="preserve">2.7 Positioning</w:t>
      </w:r>
    </w:p>
    <w:p>
      <w:pPr>
        <w:pStyle w:val="FirstParagraph"/>
      </w:pPr>
      <w:r>
        <w:t xml:space="preserve">To our knowledge no peer-reviewed study applies FP-Growth and</w:t>
      </w:r>
      <w:r>
        <w:t xml:space="preserve"> </w:t>
      </w:r>
      <w:r>
        <w:t xml:space="preserve">PrefixSpan head-to-head to Alibaba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status transitions</w:t>
      </w:r>
      <w:r>
        <w:t xml:space="preserve"> </w:t>
      </w:r>
      <w:r>
        <w:t xml:space="preserve">or to Azure PdM</w:t>
      </w:r>
      <w:r>
        <w:t xml:space="preserve"> </w:t>
      </w:r>
      <w:r>
        <w:rPr>
          <w:rStyle w:val="VerbatimChar"/>
        </w:rPr>
        <w:t xml:space="preserve">errorID → failure</w:t>
      </w:r>
      <w:r>
        <w:t xml:space="preserve"> </w:t>
      </w:r>
      <w:r>
        <w:t xml:space="preserve">sequences with the matched-control</w:t>
      </w:r>
      <w:r>
        <w:t xml:space="preserve"> </w:t>
      </w:r>
      <w:r>
        <w:t xml:space="preserve">design used here, then evaluates the resulting patterns as binary</w:t>
      </w:r>
      <w:r>
        <w:t xml:space="preserve"> </w:t>
      </w:r>
      <w:r>
        <w:t xml:space="preserve">features against event-count and deep-learning-adjacent alternatives</w:t>
      </w:r>
      <w:r>
        <w:t xml:space="preserve"> </w:t>
      </w:r>
      <w:r>
        <w:t xml:space="preserve">on a temporally-held-out split. The four-trace regime-of-validity</w:t>
      </w:r>
      <w:r>
        <w:t xml:space="preserve"> </w:t>
      </w:r>
      <w:r>
        <w:t xml:space="preserve">study in §7.2 is likewise, to our knowledge, unprecedented in the</w:t>
      </w:r>
      <w:r>
        <w:t xml:space="preserve"> </w:t>
      </w:r>
      <w:r>
        <w:t xml:space="preserve">pattern-mining log-analysis literature.</w:t>
      </w:r>
    </w:p>
    <w:bookmarkEnd w:id="28"/>
    <w:bookmarkEnd w:id="29"/>
    <w:bookmarkStart w:id="34" w:name="data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3 Data</w:t>
      </w:r>
    </w:p>
    <w:p>
      <w:pPr>
        <w:pStyle w:val="FirstParagraph"/>
      </w:pPr>
      <w:r>
        <w:t xml:space="preserve">We use four public event-log traces covering three domains.</w:t>
      </w:r>
    </w:p>
    <w:bookmarkStart w:id="30" w:name="X80a7b106efa4995aea7e5e4fef80939ac602abf"/>
    <w:p>
      <w:pPr>
        <w:pStyle w:val="Heading3"/>
      </w:pPr>
      <w:r>
        <w:rPr>
          <w:rStyle w:val="SectionNumber"/>
        </w:rPr>
        <w:t xml:space="preserve">1.4.1</w:t>
      </w:r>
      <w:r>
        <w:tab/>
      </w:r>
      <w:r>
        <w:t xml:space="preserve">3.1 Azure Predictive Maintenance (synthetic, per-machine)</w:t>
      </w:r>
    </w:p>
    <w:p>
      <w:pPr>
        <w:pStyle w:val="FirstParagraph"/>
      </w:pPr>
      <w:r>
        <w:t xml:space="preserve">100 machines, 2015-01-01 to 2016-01-01, hourly telemetry.</w:t>
      </w:r>
      <w:r>
        <w:t xml:space="preserve"> </w:t>
      </w:r>
      <w:r>
        <w:rPr>
          <w:rStyle w:val="VerbatimChar"/>
        </w:rPr>
        <w:t xml:space="preserve">PdM_errors</w:t>
      </w:r>
      <w:r>
        <w:t xml:space="preserve"> </w:t>
      </w:r>
      <w:r>
        <w:t xml:space="preserve">(3,919 non-fatal errors, five error codes),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(3,286 maintenance actions, four components),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(761 component replacements). We join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on (machineID, datetime, comp) to distinguish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. Failures at exactly 2015-01-02 03:00 (18</w:t>
      </w:r>
      <w:r>
        <w:t xml:space="preserve"> </w:t>
      </w:r>
      <w:r>
        <w:t xml:space="preserve">rows) do not match any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record; they are a bootstrap seed</w:t>
      </w:r>
      <w:r>
        <w:t xml:space="preserve"> </w:t>
      </w:r>
      <w:r>
        <w:t xml:space="preserve">batch planted by the synthetic generator and are excluded from BOTH</w:t>
      </w:r>
      <w:r>
        <w:t xml:space="preserve"> </w:t>
      </w:r>
      <w:r>
        <w:t xml:space="preserve">anchors and event streams so they do not contaminate windows for</w:t>
      </w:r>
      <w:r>
        <w:t xml:space="preserve"> </w:t>
      </w:r>
      <w:r>
        <w:t xml:space="preserve">subsequent real failures.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software_error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, each with a subtype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error1..error5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comp1..comp4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machineID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(Microsoft 2016)</w:t>
      </w:r>
      <w:r>
        <w:t xml:space="preserve">.</w:t>
      </w:r>
    </w:p>
    <w:bookmarkEnd w:id="30"/>
    <w:bookmarkStart w:id="31" w:name="X63889831d02285240bcac1226077e46efa3cd0f"/>
    <w:p>
      <w:pPr>
        <w:pStyle w:val="Heading3"/>
      </w:pPr>
      <w:r>
        <w:rPr>
          <w:rStyle w:val="SectionNumber"/>
        </w:rPr>
        <w:t xml:space="preserve">1.4.2</w:t>
      </w:r>
      <w:r>
        <w:tab/>
      </w:r>
      <w:r>
        <w:t xml:space="preserve">3.2 Alibaba cluster-trace-v2018 (production cloud, per-job)</w:t>
      </w:r>
    </w:p>
    <w:p>
      <w:pPr>
        <w:pStyle w:val="FirstParagraph"/>
      </w:pPr>
      <w:r>
        <w:rPr>
          <w:rStyle w:val="VerbatimChar"/>
        </w:rPr>
        <w:t xml:space="preserve">batch_task.csv</w:t>
      </w:r>
      <w:r>
        <w:t xml:space="preserve"> </w:t>
      </w:r>
      <w:r>
        <w:t xml:space="preserve">from the public Alibaba trace</w:t>
      </w:r>
      <w:r>
        <w:t xml:space="preserve"> </w:t>
      </w:r>
      <w:r>
        <w:t xml:space="preserve">(Alibaba 2018; Lu et al. 2017)</w:t>
      </w:r>
      <w:r>
        <w:t xml:space="preserve">, 14,295,731 tasks across 4,201,014 jobs, 8.9 days</w:t>
      </w:r>
      <w:r>
        <w:t xml:space="preserve"> </w:t>
      </w:r>
      <w:r>
        <w:t xml:space="preserve">(2018-01-01 through 2018-01-09 by trace clock). 83,207 jobs contain</w:t>
      </w:r>
      <w:r>
        <w:t xml:space="preserve"> </w:t>
      </w:r>
      <w:r>
        <w:t xml:space="preserve">at least one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task.</w:t>
      </w:r>
      <w:r>
        <w:t xml:space="preserve"> </w:t>
      </w:r>
      <w:r>
        <w:rPr>
          <w:rStyle w:val="VerbatimChar"/>
        </w:rPr>
        <w:t xml:space="preserve">batch_instance.csv</w:t>
      </w:r>
      <w:r>
        <w:t xml:space="preserve"> </w:t>
      </w:r>
      <w:r>
        <w:t xml:space="preserve">(21 GB compressed)</w:t>
      </w:r>
      <w:r>
        <w:t xml:space="preserve"> </w:t>
      </w:r>
      <w:r>
        <w:t xml:space="preserve">is not used in this pass; the per-job analysis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</w:t>
      </w:r>
      <w:r>
        <w:t xml:space="preserve"> </w:t>
      </w:r>
      <w:r>
        <w:t xml:space="preserve">is sufficient to answer the ordering question.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task_failure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task_running</w:t>
      </w:r>
      <w:r>
        <w:t xml:space="preserve">, each with subtype = task_name letter prefix</w:t>
      </w:r>
      <w:r>
        <w:t xml:space="preserve"> </w:t>
      </w:r>
      <w:r>
        <w:t xml:space="preserve">(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job_name</w:t>
      </w:r>
      <w:r>
        <w:t xml:space="preserve">.</w:t>
      </w:r>
    </w:p>
    <w:bookmarkEnd w:id="31"/>
    <w:bookmarkStart w:id="32" w:name="llnl-blue-genel-syslogs-loghub-per-rack"/>
    <w:p>
      <w:pPr>
        <w:pStyle w:val="Heading3"/>
      </w:pPr>
      <w:r>
        <w:rPr>
          <w:rStyle w:val="SectionNumber"/>
        </w:rPr>
        <w:t xml:space="preserve">1.4.3</w:t>
      </w:r>
      <w:r>
        <w:tab/>
      </w:r>
      <w:r>
        <w:t xml:space="preserve">3.3 LLNL Blue Gene/L syslogs (Loghub, per-rack)</w:t>
      </w:r>
    </w:p>
    <w:p>
      <w:pPr>
        <w:pStyle w:val="FirstParagraph"/>
      </w:pPr>
      <w:r>
        <w:t xml:space="preserve">4,747,963 syslog messages from LLNL Blue Gene/L, 214.7 days</w:t>
      </w:r>
      <w:r>
        <w:t xml:space="preserve"> </w:t>
      </w:r>
      <w:r>
        <w:t xml:space="preserve">(2005-06-03 to 2006-01-04), from the Loghub archive [TODO:cite</w:t>
      </w:r>
      <w:r>
        <w:t xml:space="preserve"> </w:t>
      </w:r>
      <w:r>
        <w:t xml:space="preserve">oliner2007bgl]. 913,594 messages remain after dropping INFO-level</w:t>
      </w:r>
      <w:r>
        <w:t xml:space="preserve"> </w:t>
      </w:r>
      <w:r>
        <w:t xml:space="preserve">noise; 348,189 (7.34%) are labeled alerts. Entity is the rack</w:t>
      </w:r>
      <w:r>
        <w:t xml:space="preserve"> </w:t>
      </w:r>
      <w:r>
        <w:t xml:space="preserve">(top-level</w:t>
      </w:r>
      <w:r>
        <w:t xml:space="preserve"> </w:t>
      </w:r>
      <w:r>
        <w:rPr>
          <w:rStyle w:val="VerbatimChar"/>
        </w:rPr>
        <w:t xml:space="preserve">R##</w:t>
      </w:r>
      <w:r>
        <w:t xml:space="preserve"> </w:t>
      </w:r>
      <w:r>
        <w:t xml:space="preserve">prefix of the node ID); 64 racks. Event vocabulary:</w:t>
      </w:r>
      <w:r>
        <w:t xml:space="preserve"> </w:t>
      </w:r>
      <w:r>
        <w:rPr>
          <w:rStyle w:val="VerbatimChar"/>
        </w:rPr>
        <w:t xml:space="preserve">terminal_alert</w:t>
      </w:r>
      <w:r>
        <w:t xml:space="preserve"> </w:t>
      </w:r>
      <w:r>
        <w:t xml:space="preserve">(labeled alerts with 30+ alert codes such as</w:t>
      </w:r>
      <w:r>
        <w:t xml:space="preserve"> </w:t>
      </w:r>
      <w:r>
        <w:t xml:space="preserve">KERNMNTF, APPTO, KERNSTOR),</w:t>
      </w:r>
      <w:r>
        <w:t xml:space="preserve"> </w:t>
      </w:r>
      <w:r>
        <w:rPr>
          <w:rStyle w:val="VerbatimChar"/>
        </w:rPr>
        <w:t xml:space="preserve">system_error</w:t>
      </w:r>
      <w:r>
        <w:t xml:space="preserve"> </w:t>
      </w:r>
      <w:r>
        <w:t xml:space="preserve">(non-alert FATAL / ERROR /</w:t>
      </w:r>
      <w:r>
        <w:t xml:space="preserve"> </w:t>
      </w:r>
      <w:r>
        <w:t xml:space="preserve">SEVERE / FAILURE),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. Component (RAS, KERNEL, APP,</w:t>
      </w:r>
      <w:r>
        <w:t xml:space="preserve"> </w:t>
      </w:r>
      <w:r>
        <w:t xml:space="preserve">MMCS, …) is used as an additional subtype axis.</w:t>
      </w:r>
    </w:p>
    <w:bookmarkEnd w:id="32"/>
    <w:bookmarkStart w:id="33" w:name="X0cc0213a3a3d6b0aa45b5af167aefb97013eef0"/>
    <w:p>
      <w:pPr>
        <w:pStyle w:val="Heading3"/>
      </w:pPr>
      <w:r>
        <w:rPr>
          <w:rStyle w:val="SectionNumber"/>
        </w:rPr>
        <w:t xml:space="preserve">1.4.4</w:t>
      </w:r>
      <w:r>
        <w:tab/>
      </w:r>
      <w:r>
        <w:t xml:space="preserve">3.4 SCANIA Component X (production automotive, per-vehicle)</w:t>
      </w:r>
    </w:p>
    <w:p>
      <w:pPr>
        <w:pStyle w:val="FirstParagraph"/>
      </w:pPr>
      <w:r>
        <w:t xml:space="preserve">Real fleet telematics dataset released 2025 [TODO:cite kharazian2025],</w:t>
      </w:r>
      <w:r>
        <w:t xml:space="preserve"> </w:t>
      </w:r>
      <w:r>
        <w:t xml:space="preserve">23,550 trucks over 1.5 years (2019-01 through 2020-05 in study</w:t>
      </w:r>
      <w:r>
        <w:t xml:space="preserve"> </w:t>
      </w:r>
      <w:r>
        <w:t xml:space="preserve">clock), 1,122,452 readouts of 105 numeric counter and histogram</w:t>
      </w:r>
      <w:r>
        <w:t xml:space="preserve"> </w:t>
      </w:r>
      <w:r>
        <w:t xml:space="preserve">features. 2,272 vehicles (9.65%) undergo a component X repair during</w:t>
      </w:r>
      <w:r>
        <w:t xml:space="preserve"> </w:t>
      </w:r>
      <w:r>
        <w:t xml:space="preserve">the study.</w:t>
      </w:r>
    </w:p>
    <w:p>
      <w:pPr>
        <w:pStyle w:val="BodyText"/>
      </w:pPr>
      <w:r>
        <w:t xml:space="preserve">Because features are numeric counters rather than native discrete</w:t>
      </w:r>
      <w:r>
        <w:t xml:space="preserve"> </w:t>
      </w:r>
      <w:r>
        <w:t xml:space="preserve">events, we derive tokens: for each (vehicle, feature) we compute</w:t>
      </w:r>
      <w:r>
        <w:t xml:space="preserve"> </w:t>
      </w:r>
      <w:r>
        <w:t xml:space="preserve">inter-readout DELTAS and emit a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token per readout</w:t>
      </w:r>
      <w:r>
        <w:t xml:space="preserve"> </w:t>
      </w:r>
      <w:r>
        <w:t xml:space="preserve">whenever the absolute delta exceeds the vehicle’s own 90th-percentile</w:t>
      </w:r>
      <w:r>
        <w:t xml:space="preserve"> </w:t>
      </w:r>
      <w:r>
        <w:t xml:space="preserve">threshold for that feature. Per-vehicle normalisation controls for</w:t>
      </w:r>
      <w:r>
        <w:t xml:space="preserve"> </w:t>
      </w:r>
      <w:r>
        <w:t xml:space="preserve">baseline usage variation across the fleet. Entity is</w:t>
      </w:r>
      <w:r>
        <w:t xml:space="preserve"> </w:t>
      </w:r>
      <w:r>
        <w:rPr>
          <w:rStyle w:val="VerbatimChar"/>
        </w:rPr>
        <w:t xml:space="preserve">vehicle_id</w:t>
      </w:r>
      <w:r>
        <w:t xml:space="preserve">.</w:t>
      </w:r>
      <w:r>
        <w:t xml:space="preserve"> </w:t>
      </w:r>
      <w:r>
        <w:t xml:space="preserve">The failure event is a synthetic</w:t>
      </w:r>
      <w:r>
        <w:t xml:space="preserve"> </w:t>
      </w:r>
      <w:r>
        <w:rPr>
          <w:rStyle w:val="VerbatimChar"/>
        </w:rPr>
        <w:t xml:space="preserve">terminal_repair</w:t>
      </w:r>
      <w:r>
        <w:t xml:space="preserve"> </w:t>
      </w:r>
      <w:r>
        <w:t xml:space="preserve">marker placed at</w:t>
      </w:r>
      <w:r>
        <w:t xml:space="preserve"> </w:t>
      </w:r>
      <w:r>
        <w:t xml:space="preserve">the last readout timestamp of each repair-labeled vehicle.</w:t>
      </w:r>
    </w:p>
    <w:bookmarkEnd w:id="33"/>
    <w:bookmarkEnd w:id="34"/>
    <w:bookmarkStart w:id="40" w:name="method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4 Method</w:t>
      </w:r>
    </w:p>
    <w:bookmarkStart w:id="35" w:name="pre-failure-windows-and-matched-controls"/>
    <w:p>
      <w:pPr>
        <w:pStyle w:val="Heading3"/>
      </w:pPr>
      <w:r>
        <w:rPr>
          <w:rStyle w:val="SectionNumber"/>
        </w:rPr>
        <w:t xml:space="preserve">1.5.1</w:t>
      </w:r>
      <w:r>
        <w:tab/>
      </w:r>
      <w:r>
        <w:t xml:space="preserve">4.1 Pre-failure windows and matched controls</w:t>
      </w:r>
    </w:p>
    <w:p>
      <w:pPr>
        <w:pStyle w:val="FirstParagraph"/>
      </w:pPr>
      <w:r>
        <w:t xml:space="preserve">For every terminal failure event on an entity (machine on Azure, job</w:t>
      </w:r>
      <w:r>
        <w:t xml:space="preserve"> </w:t>
      </w:r>
      <w:r>
        <w:t xml:space="preserve">on Alibaba, rack on BGL, vehicle on SCANIA), we build a failure</w:t>
      </w:r>
      <w:r>
        <w:t xml:space="preserve"> </w:t>
      </w:r>
      <w:r>
        <w:t xml:space="preserve">window covering the K events (or the time horizon T) strictly before</w:t>
      </w:r>
      <w:r>
        <w:t xml:space="preserve"> </w:t>
      </w:r>
      <w:r>
        <w:t xml:space="preserve">the failure timestamp. Matched controls come from two designs</w:t>
      </w:r>
      <w:r>
        <w:t xml:space="preserve"> </w:t>
      </w:r>
      <w:r>
        <w:t xml:space="preserve">depending on the trace: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Same-entity clean regions</w:t>
      </w:r>
      <w:r>
        <w:t xml:space="preserve"> </w:t>
      </w:r>
      <w:r>
        <w:t xml:space="preserve">(Azure, BGL) when the entity carries</w:t>
      </w:r>
      <w:r>
        <w:t xml:space="preserve"> </w:t>
      </w:r>
      <w:r>
        <w:t xml:space="preserve">long timelines with sparse failures; controls are anchored at</w:t>
      </w:r>
      <w:r>
        <w:t xml:space="preserve"> </w:t>
      </w:r>
      <w:r>
        <w:t xml:space="preserve">times with no failure within horizon T in either direction.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Cross-entity non-failure sample</w:t>
      </w:r>
      <w:r>
        <w:t xml:space="preserve"> </w:t>
      </w:r>
      <w:r>
        <w:t xml:space="preserve">(Alibaba, SCANIA) when entities</w:t>
      </w:r>
      <w:r>
        <w:t xml:space="preserve"> </w:t>
      </w:r>
      <w:r>
        <w:t xml:space="preserve">are short-lived; controls come from the last K events of a</w:t>
      </w:r>
      <w:r>
        <w:t xml:space="preserve"> </w:t>
      </w:r>
      <w:r>
        <w:t xml:space="preserve">non-failure entity, sampled at a 3:1 control:failure ratio from a</w:t>
      </w:r>
      <w:r>
        <w:t xml:space="preserve"> </w:t>
      </w:r>
      <w:r>
        <w:t xml:space="preserve">large candidate pool.</w:t>
      </w:r>
    </w:p>
    <w:p>
      <w:pPr>
        <w:pStyle w:val="FirstParagraph"/>
      </w:pPr>
      <w:r>
        <w:t xml:space="preserve">BGL alerts are additionally grouped into episodes (&gt;= 1h inter-arrival</w:t>
      </w:r>
      <w:r>
        <w:t xml:space="preserve"> </w:t>
      </w:r>
      <w:r>
        <w:t xml:space="preserve">gap) and windows are anchored on the first alert of each episode, so</w:t>
      </w:r>
      <w:r>
        <w:t xml:space="preserve"> </w:t>
      </w:r>
      <w:r>
        <w:t xml:space="preserve">anchor-per-alert double-counting inside a cascade is avoided.</w:t>
      </w:r>
    </w:p>
    <w:p>
      <w:pPr>
        <w:pStyle w:val="BodyText"/>
      </w:pPr>
      <w:r>
        <w:t xml:space="preserve">Horizons studied:</w:t>
      </w:r>
      <w:r>
        <w:t xml:space="preserve"> </w:t>
      </w:r>
      <w:r>
        <w:rPr>
          <w:rStyle w:val="VerbatimChar"/>
        </w:rPr>
        <w:t xml:space="preserve">1h</w:t>
      </w:r>
      <w:r>
        <w:t xml:space="preserve">,</w:t>
      </w:r>
      <w:r>
        <w:t xml:space="preserve"> </w:t>
      </w:r>
      <w:r>
        <w:rPr>
          <w:rStyle w:val="VerbatimChar"/>
        </w:rPr>
        <w:t xml:space="preserve">6h</w:t>
      </w:r>
      <w:r>
        <w:t xml:space="preserve">,</w:t>
      </w:r>
      <w:r>
        <w:t xml:space="preserve"> </w:t>
      </w:r>
      <w:r>
        <w:rPr>
          <w:rStyle w:val="VerbatimChar"/>
        </w:rPr>
        <w:t xml:space="preserve">24h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Azure;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Alibaba;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on BGL and SCANIA (time-based horizons are not meaningful for short</w:t>
      </w:r>
      <w:r>
        <w:t xml:space="preserve"> </w:t>
      </w:r>
      <w:r>
        <w:t xml:space="preserve">per-job or per-episode observations).</w:t>
      </w:r>
    </w:p>
    <w:bookmarkEnd w:id="35"/>
    <w:bookmarkStart w:id="36" w:name="mining"/>
    <w:p>
      <w:pPr>
        <w:pStyle w:val="Heading3"/>
      </w:pPr>
      <w:r>
        <w:rPr>
          <w:rStyle w:val="SectionNumber"/>
        </w:rPr>
        <w:t xml:space="preserve">1.5.2</w:t>
      </w:r>
      <w:r>
        <w:tab/>
      </w:r>
      <w:r>
        <w:t xml:space="preserve">4.2 Mining</w:t>
      </w:r>
    </w:p>
    <w:p>
      <w:pPr>
        <w:pStyle w:val="FirstParagraph"/>
      </w:pPr>
      <w:r>
        <w:t xml:space="preserve">Items are</w:t>
      </w:r>
      <w:r>
        <w:t xml:space="preserve"> </w:t>
      </w:r>
      <w:r>
        <w:rPr>
          <w:rStyle w:val="VerbatimChar"/>
        </w:rPr>
        <w:t xml:space="preserve">event_type:event_subtype</w:t>
      </w:r>
      <w:r>
        <w:t xml:space="preserve"> </w:t>
      </w:r>
      <w:r>
        <w:t xml:space="preserve">strings. FP-Growth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mlxtend.frequent_patterns.fpgrowth</w:t>
      </w:r>
      <w:r>
        <w:t xml:space="preserve">) mines frequent itemsets on</w:t>
      </w:r>
      <w:r>
        <w:t xml:space="preserve"> </w:t>
      </w:r>
      <w:r>
        <w:t xml:space="preserve">failure windows at minimum support 0.05. PrefixSpan (SPMF v2.64</w:t>
      </w:r>
      <w:r>
        <w:t xml:space="preserve"> </w:t>
      </w:r>
      <w:r>
        <w:t xml:space="preserve">(Fournier-Viger et al. 2016)</w:t>
      </w:r>
      <w:r>
        <w:t xml:space="preserve"> </w:t>
      </w:r>
      <w:r>
        <w:t xml:space="preserve">via subprocess) mines frequent ordered sequences</w:t>
      </w:r>
      <w:r>
        <w:t xml:space="preserve"> </w:t>
      </w:r>
      <w:r>
        <w:t xml:space="preserve">at the same support.</w:t>
      </w:r>
    </w:p>
    <w:p>
      <w:pPr>
        <w:pStyle w:val="BodyText"/>
      </w:pPr>
      <w:r>
        <w:t xml:space="preserve">For each mined pattern P we compute support in failure windows</w:t>
      </w:r>
      <w:r>
        <w:t xml:space="preserve"> </w:t>
      </w:r>
      <w:r>
        <w:t xml:space="preserve">(support_failure), support in control windows (support_control),</w:t>
      </w:r>
      <w:r>
        <w:t xml:space="preserve"> </w:t>
      </w:r>
      <w:r>
        <w:t xml:space="preserve">lift = support_failure / pooled_support(P), and relative risk</w:t>
      </w:r>
      <w:r>
        <w:t xml:space="preserve"> </w:t>
      </w:r>
      <w:r>
        <w:t xml:space="preserve">= P(failure | P) / P(failure | ¬P). Every mined sequence is also</w:t>
      </w:r>
      <w:r>
        <w:t xml:space="preserve"> </w:t>
      </w:r>
      <w:r>
        <w:t xml:space="preserve">scored against the ITEMSET COUNTERPART of the same event set; the</w:t>
      </w:r>
      <w:r>
        <w:t xml:space="preserve"> </w:t>
      </w:r>
      <w:r>
        <w:t xml:space="preserve">difference</w:t>
      </w:r>
      <w:r>
        <w:t xml:space="preserve"> </w:t>
      </w:r>
      <w:r>
        <w:rPr>
          <w:rStyle w:val="VerbatimChar"/>
        </w:rPr>
        <w:t xml:space="preserve">order_gain = sequence_lift - itemset_lift</w:t>
      </w:r>
      <w:r>
        <w:t xml:space="preserve"> </w:t>
      </w:r>
      <w:r>
        <w:t xml:space="preserve">quantifies</w:t>
      </w:r>
      <w:r>
        <w:t xml:space="preserve"> </w:t>
      </w:r>
      <w:r>
        <w:t xml:space="preserve">how much preserving order contributes above co-occurrence.</w:t>
      </w:r>
    </w:p>
    <w:bookmarkEnd w:id="36"/>
    <w:bookmarkStart w:id="37" w:name="sanity-invariants"/>
    <w:p>
      <w:pPr>
        <w:pStyle w:val="Heading3"/>
      </w:pPr>
      <w:r>
        <w:rPr>
          <w:rStyle w:val="SectionNumber"/>
        </w:rPr>
        <w:t xml:space="preserve">1.5.3</w:t>
      </w:r>
      <w:r>
        <w:tab/>
      </w:r>
      <w:r>
        <w:t xml:space="preserve">4.3 Sanity invariants</w:t>
      </w:r>
    </w:p>
    <w:p>
      <w:pPr>
        <w:pStyle w:val="FirstParagraph"/>
      </w:pPr>
      <w:r>
        <w:t xml:space="preserve">Every phase carries pre-declared invariants whose expected outcome is</w:t>
      </w:r>
      <w:r>
        <w:t xml:space="preserve"> </w:t>
      </w:r>
      <w:r>
        <w:t xml:space="preserve">stated up front. Itemset mining checks that a random-label</w:t>
      </w:r>
      <w:r>
        <w:t xml:space="preserve"> </w:t>
      </w:r>
      <w:r>
        <w:t xml:space="preserve">permutation at the same min_support does not yield a top lift within</w:t>
      </w:r>
      <w:r>
        <w:t xml:space="preserve"> </w:t>
      </w:r>
      <w:r>
        <w:t xml:space="preserve">a factor of 1.5× of the real top lift; a violation would indicate</w:t>
      </w:r>
      <w:r>
        <w:t xml:space="preserve"> </w:t>
      </w:r>
      <w:r>
        <w:t xml:space="preserve">either data leakage or an over-sensitive support threshold. Sequence</w:t>
      </w:r>
      <w:r>
        <w:t xml:space="preserve"> </w:t>
      </w:r>
      <w:r>
        <w:t xml:space="preserve">mining checks that a within-window random order permutation</w:t>
      </w:r>
      <w:r>
        <w:t xml:space="preserve"> </w:t>
      </w:r>
      <w:r>
        <w:t xml:space="preserve">preserves top itemset lift (unchanged, by construction) but strictly</w:t>
      </w:r>
      <w:r>
        <w:t xml:space="preserve"> </w:t>
      </w:r>
      <w:r>
        <w:t xml:space="preserve">reduces top sequence lift on rich horizons (windows with &gt;= 3 events</w:t>
      </w:r>
      <w:r>
        <w:t xml:space="preserve"> </w:t>
      </w:r>
      <w:r>
        <w:t xml:space="preserve">on average). Both invariants pass on the two traces where the method</w:t>
      </w:r>
      <w:r>
        <w:t xml:space="preserve"> </w:t>
      </w:r>
      <w:r>
        <w:t xml:space="preserve">yields wins; the boundary traces are diagnosed via these invariants</w:t>
      </w:r>
      <w:r>
        <w:t xml:space="preserve"> </w:t>
      </w:r>
      <w:r>
        <w:t xml:space="preserve">rather than by post-hoc justification.</w:t>
      </w:r>
    </w:p>
    <w:bookmarkEnd w:id="37"/>
    <w:bookmarkStart w:id="38" w:name="Xff462f684860b99f87ffb52704ce6033ecb21e1"/>
    <w:p>
      <w:pPr>
        <w:pStyle w:val="Heading3"/>
      </w:pPr>
      <w:r>
        <w:rPr>
          <w:rStyle w:val="SectionNumber"/>
        </w:rPr>
        <w:t xml:space="preserve">1.5.4</w:t>
      </w:r>
      <w:r>
        <w:tab/>
      </w:r>
      <w:r>
        <w:t xml:space="preserve">4.4 Risk-set matched sampling for right-censored data</w:t>
      </w:r>
    </w:p>
    <w:p>
      <w:pPr>
        <w:pStyle w:val="FirstParagraph"/>
      </w:pPr>
      <w:r>
        <w:t xml:space="preserve">The matched-control design in §4.1 assumes we can define a</w:t>
      </w:r>
      <w:r>
        <w:t xml:space="preserve"> </w:t>
      </w:r>
      <w:r>
        <w:t xml:space="preserve">“</w:t>
      </w:r>
      <w:r>
        <w:t xml:space="preserve">no-failure</w:t>
      </w:r>
      <w:r>
        <w:t xml:space="preserve">”</w:t>
      </w:r>
      <w:r>
        <w:t xml:space="preserve"> </w:t>
      </w:r>
      <w:r>
        <w:t xml:space="preserve">control window on the same or another entity at the anchor time. For</w:t>
      </w:r>
      <w:r>
        <w:t xml:space="preserve"> </w:t>
      </w:r>
      <w:r>
        <w:t xml:space="preserve">right-censored survival-style data (traces where entities exit</w:t>
      </w:r>
      <w:r>
        <w:t xml:space="preserve"> </w:t>
      </w:r>
      <w:r>
        <w:t xml:space="preserve">observation upon repair or dropout), naive matching biases scoring</w:t>
      </w:r>
      <w:r>
        <w:t xml:space="preserve"> </w:t>
      </w:r>
      <w:r>
        <w:t xml:space="preserve">because</w:t>
      </w:r>
      <w:r>
        <w:t xml:space="preserve"> </w:t>
      </w:r>
      <w:r>
        <w:t xml:space="preserve">“</w:t>
      </w:r>
      <w:r>
        <w:t xml:space="preserve">did we observe a failure</w:t>
      </w:r>
      <w:r>
        <w:t xml:space="preserve">”</w:t>
      </w:r>
      <w:r>
        <w:t xml:space="preserve"> </w:t>
      </w:r>
      <w:r>
        <w:t xml:space="preserve">becomes entangled with</w:t>
      </w:r>
      <w:r>
        <w:t xml:space="preserve"> </w:t>
      </w:r>
      <w:r>
        <w:t xml:space="preserve">“</w:t>
      </w:r>
      <w:r>
        <w:t xml:space="preserve">how long did</w:t>
      </w:r>
      <w:r>
        <w:t xml:space="preserve"> </w:t>
      </w:r>
      <w:r>
        <w:t xml:space="preserve">we observe the truck</w:t>
      </w:r>
      <w:r>
        <w:t xml:space="preserve">”</w:t>
      </w:r>
      <w:r>
        <w:t xml:space="preserve">. Component X in §3.4 has exactly this problem:</w:t>
      </w:r>
      <w:r>
        <w:t xml:space="preserve"> </w:t>
      </w:r>
      <w:r>
        <w:t xml:space="preserve">short-observation trucks have 12% failure rate; long-observation trucks</w:t>
      </w:r>
      <w:r>
        <w:t xml:space="preserve"> </w:t>
      </w:r>
      <w:r>
        <w:t xml:space="preserve">have 5%.</w:t>
      </w:r>
    </w:p>
    <w:p>
      <w:pPr>
        <w:pStyle w:val="BodyText"/>
      </w:pPr>
      <w:r>
        <w:t xml:space="preserve">Following the epidemiological literature on incidence-density sampling</w:t>
      </w:r>
      <w:r>
        <w:t xml:space="preserve"> </w:t>
      </w:r>
      <w:r>
        <w:t xml:space="preserve">(Prentice and Breslow 1978; Rothman-Greenland ch. 15), we replace §4.1’s</w:t>
      </w:r>
      <w:r>
        <w:t xml:space="preserve"> </w:t>
      </w:r>
      <w:r>
        <w:t xml:space="preserve">sampler with a risk-set matched design: for each case with observed</w:t>
      </w:r>
      <w:r>
        <w:t xml:space="preserve"> </w:t>
      </w:r>
      <w:r>
        <w:t xml:space="preserve">failure time T_f, controls are drawn from the risk set at T_f (the set</w:t>
      </w:r>
      <w:r>
        <w:t xml:space="preserve"> </w:t>
      </w:r>
      <w:r>
        <w:t xml:space="preserve">of entities still under observation at that lifetime index) and their</w:t>
      </w:r>
      <w:r>
        <w:t xml:space="preserve"> </w:t>
      </w:r>
      <w:r>
        <w:t xml:space="preserve">windows are aligned to T_f rather than to their own end-of-observation.</w:t>
      </w:r>
      <w:r>
        <w:t xml:space="preserve"> </w:t>
      </w:r>
      <w:r>
        <w:t xml:space="preserve">Both case and control windows use the last K events with time_step &lt; T_f.</w:t>
      </w:r>
      <w:r>
        <w:t xml:space="preserve"> </w:t>
      </w:r>
      <w:r>
        <w:t xml:space="preserve">Under this sampling, the pooled 2 x 2 odds ratio of a mined pattern</w:t>
      </w:r>
      <w:r>
        <w:t xml:space="preserve"> </w:t>
      </w:r>
      <w:r>
        <w:t xml:space="preserve">(case-in vs case-out; control-in vs control-out, Woolf-Haldane</w:t>
      </w:r>
      <w:r>
        <w:t xml:space="preserve"> </w:t>
      </w:r>
      <w:r>
        <w:t xml:space="preserve">0.5-continuity-corrected, 95% CI via log-OR variance) estimates the</w:t>
      </w:r>
      <w:r>
        <w:t xml:space="preserve"> </w:t>
      </w:r>
      <w:r>
        <w:t xml:space="preserve">per-pattern hazard ratio rather than a prevalence lift. A mined pattern</w:t>
      </w:r>
      <w:r>
        <w:t xml:space="preserve"> </w:t>
      </w:r>
      <w:r>
        <w:t xml:space="preserve">with MH-OR &gt; 1 and 95% CI excluding 1 is a censoring-valid signal of</w:t>
      </w:r>
      <w:r>
        <w:t xml:space="preserve"> </w:t>
      </w:r>
      <w:r>
        <w:t xml:space="preserve">elevated failure risk, not an artefact of the observation process.</w:t>
      </w:r>
    </w:p>
    <w:p>
      <w:pPr>
        <w:pStyle w:val="BodyText"/>
      </w:pPr>
      <w:r>
        <w:t xml:space="preserve">The rest of the pipeline runs unchanged: FP-Growth on the risk-set</w:t>
      </w:r>
      <w:r>
        <w:t xml:space="preserve"> </w:t>
      </w:r>
      <w:r>
        <w:t xml:space="preserve">windows, min-support 0.05, BH FDR correction on the p-values induced by</w:t>
      </w:r>
      <w:r>
        <w:t xml:space="preserve"> </w:t>
      </w:r>
      <w:r>
        <w:t xml:space="preserve">the Fisher-exact null of the same 2 x 2 table. This is a drop-in</w:t>
      </w:r>
      <w:r>
        <w:t xml:space="preserve"> </w:t>
      </w:r>
      <w:r>
        <w:t xml:space="preserve">generalisation of the matched-control design that lets the pipeline apply</w:t>
      </w:r>
      <w:r>
        <w:t xml:space="preserve"> </w:t>
      </w:r>
      <w:r>
        <w:t xml:space="preserve">to right-censored traces without modifying the mining or significance</w:t>
      </w:r>
      <w:r>
        <w:t xml:space="preserve"> </w:t>
      </w:r>
      <w:r>
        <w:t xml:space="preserve">stages.</w:t>
      </w:r>
    </w:p>
    <w:bookmarkEnd w:id="38"/>
    <w:bookmarkStart w:id="39" w:name="statistical-significance-1"/>
    <w:p>
      <w:pPr>
        <w:pStyle w:val="Heading3"/>
      </w:pPr>
      <w:r>
        <w:rPr>
          <w:rStyle w:val="SectionNumber"/>
        </w:rPr>
        <w:t xml:space="preserve">1.5.5</w:t>
      </w:r>
      <w:r>
        <w:tab/>
      </w:r>
      <w:r>
        <w:t xml:space="preserve">4.5 Statistical significance</w:t>
      </w:r>
    </w:p>
    <w:p>
      <w:pPr>
        <w:pStyle w:val="FirstParagraph"/>
      </w:pPr>
      <w:r>
        <w:t xml:space="preserve">For each mined pattern we compute an exact one-sided hypergeometric</w:t>
      </w:r>
      <w:r>
        <w:t xml:space="preserve"> </w:t>
      </w:r>
      <w:r>
        <w:t xml:space="preserve">p-value on the observed failure-hit count against the</w:t>
      </w:r>
      <w:r>
        <w:t xml:space="preserve"> </w:t>
      </w:r>
      <w:r>
        <w:t xml:space="preserve">label-permutation null with the pattern hit-set fixed. Under H0 the</w:t>
      </w:r>
      <w:r>
        <w:t xml:space="preserve"> </w:t>
      </w:r>
      <w:r>
        <w:t xml:space="preserve">number of hits landing in the failure class is Hypergeom(N_F+N_C,</w:t>
      </w:r>
      <w:r>
        <w:t xml:space="preserve"> </w:t>
      </w:r>
      <w:r>
        <w:t xml:space="preserve">hit_F+hit_C, N_F); the upper-tail probability of the observed hit</w:t>
      </w:r>
      <w:r>
        <w:t xml:space="preserve"> </w:t>
      </w:r>
      <w:r>
        <w:t xml:space="preserve">count IS the label-permutation p-value, so we compute it in closed</w:t>
      </w:r>
      <w:r>
        <w:t xml:space="preserve"> </w:t>
      </w:r>
      <w:r>
        <w:t xml:space="preserve">form. Benjamini-Hochberg FDR correction</w:t>
      </w:r>
      <w:r>
        <w:t xml:space="preserve"> </w:t>
      </w:r>
      <w:r>
        <w:t xml:space="preserve">(Benjamini and Hochberg 1995)</w:t>
      </w:r>
      <w:r>
        <w:t xml:space="preserve"> </w:t>
      </w:r>
      <w:r>
        <w:t xml:space="preserve">is applied per (horizon × pattern class)</w:t>
      </w:r>
      <w:r>
        <w:t xml:space="preserve"> </w:t>
      </w:r>
      <w:r>
        <w:t xml:space="preserve">to give q-values.</w:t>
      </w:r>
    </w:p>
    <w:bookmarkEnd w:id="39"/>
    <w:bookmarkEnd w:id="40"/>
    <w:bookmarkStart w:id="45" w:name="experiments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5 Experiments</w:t>
      </w:r>
    </w:p>
    <w:p>
      <w:pPr>
        <w:pStyle w:val="FirstParagraph"/>
      </w:pPr>
      <w:r>
        <w:t xml:space="preserve">Windows are split temporally by anchor timestamp. Cutoffs:</w:t>
      </w:r>
      <w:r>
        <w:t xml:space="preserve"> </w:t>
      </w:r>
      <w:r>
        <w:t xml:space="preserve">Azure 2015-09-01, Alibaba 2018-01-07, BGL 2005-11-01, SCANIA</w:t>
      </w:r>
      <w:r>
        <w:t xml:space="preserve"> </w:t>
      </w:r>
      <w:r>
        <w:t xml:space="preserve">2020-01-01. Mining runs on training windows only; surviving patterns</w:t>
      </w:r>
      <w:r>
        <w:t xml:space="preserve"> </w:t>
      </w:r>
      <w:r>
        <w:t xml:space="preserve">become binary presence features on both train and test. A logistic</w:t>
      </w:r>
      <w:r>
        <w:t xml:space="preserve"> </w:t>
      </w:r>
      <w:r>
        <w:t xml:space="preserve">regression fit on train is evaluated on test for four feature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event_count</w:t>
      </w:r>
      <w:r>
        <w:t xml:space="preserve">: single feature, n_events in the window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itemsets_only</w:t>
      </w:r>
      <w:r>
        <w:t xml:space="preserve">: binary presence of each train-mined itemset</w:t>
      </w:r>
      <w:r>
        <w:t xml:space="preserve"> </w:t>
      </w:r>
      <w:r>
        <w:t xml:space="preserve">surviving its permutation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sequences_only</w:t>
      </w:r>
      <w:r>
        <w:t xml:space="preserve">: binary presence of each train-mined sequence</w:t>
      </w:r>
      <w:r>
        <w:t xml:space="preserve"> </w:t>
      </w:r>
      <w:r>
        <w:t xml:space="preserve">surviving its shuffle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combined</w:t>
      </w:r>
      <w:r>
        <w:t xml:space="preserve">: union of A, B, C</w:t>
      </w:r>
    </w:p>
    <w:p>
      <w:pPr>
        <w:pStyle w:val="FirstParagraph"/>
      </w:pPr>
      <w:r>
        <w:t xml:space="preserve">For each configuration we report AUROC, AUPRC, F1 / precision /</w:t>
      </w:r>
      <w:r>
        <w:t xml:space="preserve"> </w:t>
      </w:r>
      <w:r>
        <w:t xml:space="preserve">recall at threshold 0.5, and lead time (anchor − last_event_ts) on</w:t>
      </w:r>
      <w:r>
        <w:t xml:space="preserve"> </w:t>
      </w:r>
      <w:r>
        <w:t xml:space="preserve">true-positive failure windows. Numbers are computed in a single pass</w:t>
      </w:r>
      <w:r>
        <w:t xml:space="preserve"> </w:t>
      </w:r>
      <w:r>
        <w:t xml:space="preserve">per configuration and stored as one artifact, so a comparison across</w:t>
      </w:r>
      <w:r>
        <w:t xml:space="preserve"> </w:t>
      </w:r>
      <w:r>
        <w:t xml:space="preserve">feature sets on the same trace cannot drift.</w:t>
      </w:r>
    </w:p>
    <w:bookmarkStart w:id="42" w:name="coverage-per-horizon-azure"/>
    <w:p>
      <w:pPr>
        <w:pStyle w:val="Heading3"/>
      </w:pPr>
      <w:r>
        <w:rPr>
          <w:rStyle w:val="SectionNumber"/>
        </w:rPr>
        <w:t xml:space="preserve">1.6.1</w:t>
      </w:r>
      <w:r>
        <w:tab/>
      </w:r>
      <w:r>
        <w:t xml:space="preserve">5.1 Coverage per horizon (Azure)</w:t>
      </w:r>
    </w:p>
    <w:p>
      <w:pPr>
        <w:pStyle w:val="FirstParagraph"/>
      </w:pPr>
      <w:r>
        <w:t xml:space="preserve">Time horizons of 1h and 6h leave 99.6% and 98% of failure windows</w:t>
      </w:r>
      <w:r>
        <w:t xml:space="preserve"> </w:t>
      </w:r>
      <w:r>
        <w:t xml:space="preserve">empty. Effectively no Azure PdM failure is preceded by an event in</w:t>
      </w:r>
      <w:r>
        <w:t xml:space="preserve"> </w:t>
      </w:r>
      <w:r>
        <w:t xml:space="preserve">the same hour. Useful horizons are 24h and the count-based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Even at 24h, failure and control windows</w:t>
      </w:r>
      <w:r>
        <w:t xml:space="preserve"> </w:t>
      </w:r>
      <w:r>
        <w:t xml:space="preserve">separate cleanly by raw event count (failure mean 1.58 events,</w:t>
      </w:r>
      <w:r>
        <w:t xml:space="preserve"> </w:t>
      </w:r>
      <w:r>
        <w:t xml:space="preserve">control mean 0.077).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1">
        <w:r>
          <w:rPr>
            <w:rStyle w:val="Hyperlink"/>
          </w:rPr>
          <w:t xml:space="preserve">azure_window_horizon_vs_events.png</w:t>
        </w:r>
      </w:hyperlink>
    </w:p>
    <w:bookmarkEnd w:id="42"/>
    <w:bookmarkStart w:id="44" w:name="mining-sensitivity-to-min_support-azure"/>
    <w:p>
      <w:pPr>
        <w:pStyle w:val="Heading3"/>
      </w:pPr>
      <w:r>
        <w:rPr>
          <w:rStyle w:val="SectionNumber"/>
        </w:rPr>
        <w:t xml:space="preserve">1.6.2</w:t>
      </w:r>
      <w:r>
        <w:tab/>
      </w:r>
      <w:r>
        <w:t xml:space="preserve">5.2 Mining sensitivity to min_support (Azure)</w:t>
      </w:r>
    </w:p>
    <w:p>
      <w:pPr>
        <w:pStyle w:val="FirstParagraph"/>
      </w:pPr>
      <w:r>
        <w:t xml:space="preserve">A min_support sweep over {0.02, 0.05, 0.10, 0.15} preserves the</w:t>
      </w:r>
      <w:r>
        <w:t xml:space="preserve"> </w:t>
      </w:r>
      <w:r>
        <w:t xml:space="preserve">headline ordering at every operating point: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</w:tr>
    </w:tbl>
    <w:p>
      <w:pPr>
        <w:pStyle w:val="BodyText"/>
      </w:pPr>
      <w:r>
        <w:t xml:space="preserve">At every min_support tested, combined dominates itemsets_only by</w:t>
      </w:r>
      <w:r>
        <w:t xml:space="preserve"> </w:t>
      </w:r>
      <w:r>
        <w:t xml:space="preserve">at least +4 AUROC points at last5 and at least +5 at last10.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3">
        <w:r>
          <w:rPr>
            <w:rStyle w:val="Hyperlink"/>
          </w:rPr>
          <w:t xml:space="preserve">azure_sensitivity_min_support.png</w:t>
        </w:r>
      </w:hyperlink>
    </w:p>
    <w:bookmarkEnd w:id="44"/>
    <w:bookmarkEnd w:id="45"/>
    <w:bookmarkStart w:id="56" w:name="results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6 Results</w:t>
      </w:r>
    </w:p>
    <w:bookmarkStart w:id="47" w:name="mined-patterns-azure-and-alibaba"/>
    <w:p>
      <w:pPr>
        <w:pStyle w:val="Heading3"/>
      </w:pPr>
      <w:r>
        <w:rPr>
          <w:rStyle w:val="SectionNumber"/>
        </w:rPr>
        <w:t xml:space="preserve">1.7.1</w:t>
      </w:r>
      <w:r>
        <w:tab/>
      </w:r>
      <w:r>
        <w:t xml:space="preserve">6.1 Mined patterns (Azure and Alibaba)</w:t>
      </w:r>
    </w:p>
    <w:p>
      <w:pPr>
        <w:pStyle w:val="FirstParagraph"/>
      </w:pPr>
      <w:r>
        <w:t xml:space="preserve">At Azure 24h,</w:t>
      </w:r>
      <w:r>
        <w:t xml:space="preserve"> </w:t>
      </w:r>
      <w:r>
        <w:rPr>
          <w:rStyle w:val="VerbatimChar"/>
        </w:rPr>
        <w:t xml:space="preserve">{software_error:error2, software_error:error3}</w:t>
      </w:r>
      <w:r>
        <w:t xml:space="preserve"> </w:t>
      </w:r>
      <w:r>
        <w:t xml:space="preserve">reaches</w:t>
      </w:r>
      <w:r>
        <w:t xml:space="preserve"> </w:t>
      </w:r>
      <w:r>
        <w:t xml:space="preserve">lift 3.99 (present in 38.2% of failure windows, in 0.04% of controls;</w:t>
      </w:r>
      <w:r>
        <w:t xml:space="preserve"> </w:t>
      </w:r>
      <w:r>
        <w:t xml:space="preserve">P(failure | pattern) = 99.6%). All six 24h itemsets dominate the</w:t>
      </w:r>
      <w:r>
        <w:t xml:space="preserve"> </w:t>
      </w:r>
      <w:r>
        <w:t xml:space="preserve">random-label permutation null (permuted top 1.24).</w:t>
      </w:r>
    </w:p>
    <w:p>
      <w:pPr>
        <w:pStyle w:val="BodyText"/>
      </w:pPr>
      <w:r>
        <w:t xml:space="preserve">At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the sequence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 as an ordered pattern but only 2.22 as the same</w:t>
      </w:r>
      <w:r>
        <w:t xml:space="preserve"> </w:t>
      </w:r>
      <w:r>
        <w:t xml:space="preserve">items unordered. Ordered patterns ending</w:t>
      </w:r>
      <w:r>
        <w:t xml:space="preserve"> </w:t>
      </w:r>
      <w:r>
        <w:rPr>
          <w:rStyle w:val="VerbatimChar"/>
        </w:rPr>
        <w:t xml:space="preserve">... → error2 → error3</w:t>
      </w:r>
      <w:r>
        <w:t xml:space="preserve"> </w:t>
      </w:r>
      <w:r>
        <w:t xml:space="preserve">dominate the top-8 at both count-based horizons.</w:t>
      </w:r>
    </w:p>
    <w:p>
      <w:pPr>
        <w:pStyle w:val="BodyText"/>
      </w:pPr>
      <w:r>
        <w:t xml:space="preserve">On Alibaba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the strongest ordered pattern is</w:t>
      </w:r>
      <w:r>
        <w:t xml:space="preserve"> </w:t>
      </w:r>
      <w:r>
        <w:rPr>
          <w:rStyle w:val="VerbatimChar"/>
        </w:rPr>
        <w:t xml:space="preserve">task_success:M → task_success:R → task_success:M → task_success:M</w:t>
      </w:r>
      <w:r>
        <w:t xml:space="preserve"> </w:t>
      </w:r>
      <w:r>
        <w:t xml:space="preserve">with sequence lift 2.43 versus itemset lift 0.94 for the same event</w:t>
      </w:r>
      <w:r>
        <w:t xml:space="preserve"> </w:t>
      </w:r>
      <w:r>
        <w:t xml:space="preserve">set (order gain +1.49). 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reaches sequence</w:t>
      </w:r>
      <w:r>
        <w:t xml:space="preserve"> </w:t>
      </w:r>
      <w:r>
        <w:t xml:space="preserve">lift 3.06 vs itemset lift 1.37 (order gain +1.69): three consecutive</w:t>
      </w:r>
      <w:r>
        <w:t xml:space="preserve"> </w:t>
      </w:r>
      <w:r>
        <w:t xml:space="preserve">Map completions predict a subsequent failure much more strongly than</w:t>
      </w:r>
      <w:r>
        <w:t xml:space="preserve"> </w:t>
      </w:r>
      <w:r>
        <w:t xml:space="preserve">the mere presence of Map events would suggest.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6">
        <w:r>
          <w:rPr>
            <w:rStyle w:val="Hyperlink"/>
          </w:rPr>
          <w:t xml:space="preserve">azure_itemset_vs_sequence_lift.png</w:t>
        </w:r>
      </w:hyperlink>
    </w:p>
    <w:bookmarkEnd w:id="47"/>
    <w:bookmarkStart w:id="49" w:name="predictive-evaluation-four-traces"/>
    <w:p>
      <w:pPr>
        <w:pStyle w:val="Heading3"/>
      </w:pPr>
      <w:r>
        <w:rPr>
          <w:rStyle w:val="SectionNumber"/>
        </w:rPr>
        <w:t xml:space="preserve">1.7.2</w:t>
      </w:r>
      <w:r>
        <w:tab/>
      </w:r>
      <w:r>
        <w:t xml:space="preserve">6.2 Predictive evaluation (four traces)</w:t>
      </w:r>
    </w:p>
    <w:p>
      <w:pPr>
        <w:pStyle w:val="FirstParagraph"/>
      </w:pPr>
      <w:r>
        <w:t xml:space="preserve">Head-to-head on temporally-held-out test sets: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7"/>
        <w:gridCol w:w="937"/>
        <w:gridCol w:w="1354"/>
        <w:gridCol w:w="1563"/>
        <w:gridCol w:w="1667"/>
        <w:gridCol w:w="14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/ 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 / 0.56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0.70 / 0.58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 / 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 /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0.13</w:t>
            </w:r>
          </w:p>
        </w:tc>
      </w:tr>
    </w:tbl>
    <w:p>
      <w:pPr>
        <w:pStyle w:val="BodyText"/>
      </w:pPr>
      <w:r>
        <w:rPr>
          <w:i/>
          <w:iCs/>
        </w:rPr>
        <w:t xml:space="preserve">(AUROC / AUPRC on the temporally-held-out test set. SCANIA uses</w:t>
      </w:r>
      <w:r>
        <w:rPr>
          <w:i/>
          <w:iCs/>
        </w:rPr>
        <w:t xml:space="preserve"> </w:t>
      </w:r>
      <w:r>
        <w:rPr>
          <w:i/>
          <w:iCs/>
        </w:rPr>
        <w:t xml:space="preserve">per-vehicle 90th-percentile-delta binning; BGL uses episode-anchored</w:t>
      </w:r>
      <w:r>
        <w:rPr>
          <w:i/>
          <w:iCs/>
        </w:rPr>
        <w:t xml:space="preserve"> </w:t>
      </w:r>
      <w:r>
        <w:rPr>
          <w:i/>
          <w:iCs/>
        </w:rPr>
        <w:t xml:space="preserve">per-rack windows with alerts removed from the pre-alert stream. Both</w:t>
      </w:r>
      <w:r>
        <w:rPr>
          <w:i/>
          <w:iCs/>
        </w:rPr>
        <w:t xml:space="preserve"> </w:t>
      </w:r>
      <w:r>
        <w:rPr>
          <w:i/>
          <w:iCs/>
        </w:rPr>
        <w:t xml:space="preserve">boundary traces sit near chance for every feature set at every</w:t>
      </w:r>
      <w:r>
        <w:rPr>
          <w:i/>
          <w:iCs/>
        </w:rPr>
        <w:t xml:space="preserve"> </w:t>
      </w:r>
      <w:r>
        <w:rPr>
          <w:i/>
          <w:iCs/>
        </w:rPr>
        <w:t xml:space="preserve">horizon.)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8">
        <w:r>
          <w:rPr>
            <w:rStyle w:val="Hyperlink"/>
          </w:rPr>
          <w:t xml:space="preserve">four_dataset_predictive_comparison.png</w:t>
        </w:r>
      </w:hyperlink>
    </w:p>
    <w:bookmarkEnd w:id="49"/>
    <w:bookmarkStart w:id="50" w:name="order-gain"/>
    <w:p>
      <w:pPr>
        <w:pStyle w:val="Heading3"/>
      </w:pPr>
      <w:r>
        <w:rPr>
          <w:rStyle w:val="SectionNumber"/>
        </w:rPr>
        <w:t xml:space="preserve">1.7.3</w:t>
      </w:r>
      <w:r>
        <w:tab/>
      </w:r>
      <w:r>
        <w:t xml:space="preserve">6.3 Order gain</w:t>
      </w:r>
    </w:p>
    <w:p>
      <w:pPr>
        <w:pStyle w:val="FirstParagraph"/>
      </w:pPr>
      <w:r>
        <w:t xml:space="preserve">The order-gain distribution (sequence lift minus itemset lift for the</w:t>
      </w:r>
      <w:r>
        <w:t xml:space="preserve"> </w:t>
      </w:r>
      <w:r>
        <w:t xml:space="preserve">same items) is zero at horizons where windows contain 1-2 events</w:t>
      </w:r>
      <w:r>
        <w:t xml:space="preserve"> </w:t>
      </w:r>
      <w:r>
        <w:t xml:space="preserve">(Azure 1h/6h/24h) and positive with mean 0.30-0.32 and max 1.5 at</w:t>
      </w:r>
      <w:r>
        <w:t xml:space="preserve"> </w:t>
      </w:r>
      <w:r>
        <w:t xml:space="preserve">count-based horizons where the method finds signal (Azure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</w:t>
      </w:r>
      <w:r>
        <w:t xml:space="preserve"> </w:t>
      </w:r>
      <w:r>
        <w:t xml:space="preserve">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/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). On BGL and SCANIA the order gain</w:t>
      </w:r>
      <w:r>
        <w:t xml:space="preserve"> </w:t>
      </w:r>
      <w:r>
        <w:t xml:space="preserve">does not translate into AUROC because the underlying itemset signal</w:t>
      </w:r>
      <w:r>
        <w:t xml:space="preserve"> </w:t>
      </w:r>
      <w:r>
        <w:t xml:space="preserve">is itself weak.</w:t>
      </w:r>
    </w:p>
    <w:bookmarkEnd w:id="50"/>
    <w:bookmarkStart w:id="51" w:name="X44aeb5833a19b6d32b8998867e975190f65e5f8"/>
    <w:p>
      <w:pPr>
        <w:pStyle w:val="Heading3"/>
      </w:pPr>
      <w:r>
        <w:rPr>
          <w:rStyle w:val="SectionNumber"/>
        </w:rPr>
        <w:t xml:space="preserve">1.7.4</w:t>
      </w:r>
      <w:r>
        <w:tab/>
      </w:r>
      <w:r>
        <w:t xml:space="preserve">6.4 Predictive vs frequent-noise separation across traces</w:t>
      </w:r>
    </w:p>
    <w:p>
      <w:pPr>
        <w:pStyle w:val="FirstParagraph"/>
      </w:pPr>
      <w:r>
        <w:t xml:space="preserve">The paper’s central object is not the AUROC number but the fraction</w:t>
      </w:r>
      <w:r>
        <w:t xml:space="preserve"> </w:t>
      </w:r>
      <w:r>
        <w:t xml:space="preserve">of mined frequent patterns that pass the per-pattern statistical</w:t>
      </w:r>
      <w:r>
        <w:t xml:space="preserve"> </w:t>
      </w:r>
      <w:r>
        <w:t xml:space="preserve">significance test. Frequency alone is a weak proxy for</w:t>
      </w:r>
      <w:r>
        <w:t xml:space="preserve"> </w:t>
      </w:r>
      <w:r>
        <w:t xml:space="preserve">predictiveness; the significance test tells us which mined patterns</w:t>
      </w:r>
      <w:r>
        <w:t xml:space="preserve"> </w:t>
      </w:r>
      <w:r>
        <w:t xml:space="preserve">carry elevated failure hazard against matched controls.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9"/>
        <w:gridCol w:w="1149"/>
        <w:gridCol w:w="1660"/>
        <w:gridCol w:w="2682"/>
        <w:gridCol w:w="12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significant / mined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/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/ 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 / 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 / 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562 / 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/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/ 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 / 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itemsets+seq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≤ 1 / 2-13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risk-set + MH-OR raw 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4,829 / 42,453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risk-set + hypergeom +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3,516 / 42,453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risk-set + hypergeom + BY q&lt;0.05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2,560 / 42,453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6.0%</w:t>
            </w:r>
          </w:p>
        </w:tc>
      </w:tr>
    </w:tbl>
    <w:p>
      <w:pPr>
        <w:pStyle w:val="BodyText"/>
      </w:pPr>
      <w:r>
        <w:t xml:space="preserve">Significance is BH-corrected q&lt;0.05 for Azure / Alibaba (Fisher-exact</w:t>
      </w:r>
      <w:r>
        <w:t xml:space="preserve"> </w:t>
      </w:r>
      <w:r>
        <w:t xml:space="preserve">p-values). SCANIA carries three rows to show how the fraction shifts</w:t>
      </w:r>
      <w:r>
        <w:t xml:space="preserve"> </w:t>
      </w:r>
      <w:r>
        <w:t xml:space="preserve">with increasingly conservative multi-testing correction: raw 95% CI</w:t>
      </w:r>
      <w:r>
        <w:t xml:space="preserve"> </w:t>
      </w:r>
      <w:r>
        <w:t xml:space="preserve">(11.4%), BH (8.3%), and the arbitrary-dependence-valid BY (6.0%). On the two winning traces the</w:t>
      </w:r>
      <w:r>
        <w:t xml:space="preserve"> </w:t>
      </w:r>
      <w:r>
        <w:t xml:space="preserve">majority of frequent patterns are also predictive; on the two</w:t>
      </w:r>
      <w:r>
        <w:t xml:space="preserve"> </w:t>
      </w:r>
      <w:r>
        <w:t xml:space="preserve">boundary traces the majority are frequent-but-noise, and the paper’s</w:t>
      </w:r>
      <w:r>
        <w:t xml:space="preserve"> </w:t>
      </w:r>
      <w:r>
        <w:t xml:space="preserve">concrete predictive-pattern list is short.</w:t>
      </w:r>
    </w:p>
    <w:bookmarkEnd w:id="51"/>
    <w:bookmarkStart w:id="52" w:name="formal-significance"/>
    <w:p>
      <w:pPr>
        <w:pStyle w:val="Heading3"/>
      </w:pPr>
      <w:r>
        <w:rPr>
          <w:rStyle w:val="SectionNumber"/>
        </w:rPr>
        <w:t xml:space="preserve">1.7.5</w:t>
      </w:r>
      <w:r>
        <w:tab/>
      </w:r>
      <w:r>
        <w:t xml:space="preserve">6.5 Formal significance</w:t>
      </w:r>
    </w:p>
    <w:p>
      <w:pPr>
        <w:pStyle w:val="FirstParagraph"/>
      </w:pPr>
      <w:r>
        <w:t xml:space="preserve">At BH q &lt; 0.05: every Azure 24h itemset (6/6) and every Azure 24h</w:t>
      </w:r>
      <w:r>
        <w:t xml:space="preserve"> </w:t>
      </w:r>
      <w:r>
        <w:t xml:space="preserve">sequence (7/7) is significant; 53/77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</w:t>
      </w:r>
      <w:r>
        <w:t xml:space="preserve"> </w:t>
      </w:r>
      <w:r>
        <w:t xml:space="preserve">55/67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sequences; 562/657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</w:t>
      </w:r>
      <w:r>
        <w:t xml:space="preserve"> </w:t>
      </w:r>
      <w:r>
        <w:t xml:space="preserve">Both 1h and 6h Azure horizons flag zero patterns as expected</w:t>
      </w:r>
      <w:r>
        <w:t xml:space="preserve"> </w:t>
      </w:r>
      <w:r>
        <w:t xml:space="preserve">(0/3 sequences at 1h, 0/5 at 6h). On Alibaba: 6/10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itemsets,</w:t>
      </w:r>
      <w:r>
        <w:t xml:space="preserve"> </w:t>
      </w:r>
      <w:r>
        <w:t xml:space="preserve">9/16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sequences, 59/109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</w:t>
      </w:r>
    </w:p>
    <w:bookmarkEnd w:id="52"/>
    <w:bookmarkStart w:id="53" w:name="X9089ac7c4740497ca2f8946257a25d0f4921163"/>
    <w:p>
      <w:pPr>
        <w:pStyle w:val="Heading3"/>
      </w:pPr>
      <w:r>
        <w:rPr>
          <w:rStyle w:val="SectionNumber"/>
        </w:rPr>
        <w:t xml:space="preserve">1.7.6</w:t>
      </w:r>
      <w:r>
        <w:tab/>
      </w:r>
      <w:r>
        <w:t xml:space="preserve">6.6 SCANIA risk-set matched patterns (Component X)</w:t>
      </w:r>
    </w:p>
    <w:p>
      <w:pPr>
        <w:pStyle w:val="FirstParagraph"/>
      </w:pPr>
      <w:r>
        <w:t xml:space="preserve">Applying the risk-set matched-sampling extension from §4.4 to SCANIA</w:t>
      </w:r>
      <w:r>
        <w:t xml:space="preserve"> </w:t>
      </w:r>
      <w:r>
        <w:t xml:space="preserve">Component X (2,272 cases × 3 controls each drawn from the risk set at</w:t>
      </w:r>
      <w:r>
        <w:t xml:space="preserve"> </w:t>
      </w:r>
      <w:r>
        <w:t xml:space="preserve">each case’s failure lifetime), FP-Growth at min-support 0.05 mines</w:t>
      </w:r>
      <w:r>
        <w:t xml:space="preserve"> </w:t>
      </w:r>
      <w:r>
        <w:t xml:space="preserve">42,453 candidate itemsets from the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 stream.</w:t>
      </w:r>
      <w:r>
        <w:t xml:space="preserve"> </w:t>
      </w:r>
      <w:r>
        <w:t xml:space="preserve">A closed-itemset post-filter losslessly deduplicates any patterns</w:t>
      </w:r>
      <w:r>
        <w:t xml:space="preserve"> </w:t>
      </w:r>
      <w:r>
        <w:t xml:space="preserve">that share exact support with a strict superset; on this trace only</w:t>
      </w:r>
      <w:r>
        <w:t xml:space="preserve"> </w:t>
      </w:r>
      <w:r>
        <w:t xml:space="preserve">281 patterns collapse (99.3% of the frequent set is already closed</w:t>
      </w:r>
      <w:r>
        <w:t xml:space="preserve"> </w:t>
      </w:r>
      <w:r>
        <w:t xml:space="preserve">because histogram-bin supersets typically differ in support from any</w:t>
      </w:r>
      <w:r>
        <w:t xml:space="preserve"> </w:t>
      </w:r>
      <w:r>
        <w:t xml:space="preserve">proper subset by at least one truck). Applying exact one-sided</w:t>
      </w:r>
      <w:r>
        <w:t xml:space="preserve"> </w:t>
      </w:r>
      <w:r>
        <w:t xml:space="preserve">hypergeometric p-values on the risk-set-matched 2 x 2 tables, then</w:t>
      </w:r>
      <w:r>
        <w:t xml:space="preserve"> </w:t>
      </w:r>
      <w:r>
        <w:t xml:space="preserve">Benjamini-Hochberg FDR correction:</w:t>
      </w:r>
      <w:r>
        <w:t xml:space="preserve"> </w:t>
      </w:r>
      <w:r>
        <w:rPr>
          <w:b/>
          <w:bCs/>
        </w:rPr>
        <w:t xml:space="preserve">3,516 patterns pass q_BH &lt; 0.05</w:t>
      </w:r>
      <w:r>
        <w:t xml:space="preserve"> </w:t>
      </w:r>
      <w:r>
        <w:t xml:space="preserve">(8.3%). Under the more conservative Benjamini-Yekutieli correction</w:t>
      </w:r>
      <w:r>
        <w:t xml:space="preserve"> </w:t>
      </w:r>
      <w:r>
        <w:t xml:space="preserve">that is valid under arbitrary dependence between patterns (justified</w:t>
      </w:r>
      <w:r>
        <w:t xml:space="preserve"> </w:t>
      </w:r>
      <w:r>
        <w:t xml:space="preserve">here because nearby itemsets share items):</w:t>
      </w:r>
      <w:r>
        <w:t xml:space="preserve"> </w:t>
      </w:r>
      <w:r>
        <w:rPr>
          <w:b/>
          <w:bCs/>
        </w:rPr>
        <w:t xml:space="preserve">2,560 patterns pass</w:t>
      </w:r>
      <w:r>
        <w:rPr>
          <w:b/>
          <w:bCs/>
        </w:rPr>
        <w:t xml:space="preserve"> </w:t>
      </w:r>
      <w:r>
        <w:rPr>
          <w:b/>
          <w:bCs/>
        </w:rPr>
        <w:t xml:space="preserve">q_BY &lt; 0.05</w:t>
      </w:r>
      <w:r>
        <w:t xml:space="preserve"> </w:t>
      </w:r>
      <w:r>
        <w:t xml:space="preserve">(6.0%). The naive per-pattern 95% Woolf-Haldane CI</w:t>
      </w:r>
      <w:r>
        <w:t xml:space="preserve"> </w:t>
      </w:r>
      <w:r>
        <w:t xml:space="preserve">without multi-testing correction flags 4,829 (11.4%); the honest</w:t>
      </w:r>
      <w:r>
        <w:t xml:space="preserve"> </w:t>
      </w:r>
      <w:r>
        <w:t xml:space="preserve">predictive fraction after FDR is therefore 6-8%.</w:t>
      </w:r>
    </w:p>
    <w:p>
      <w:pPr>
        <w:pStyle w:val="BodyText"/>
      </w:pPr>
      <w:r>
        <w:t xml:space="preserve">Top 5 predictive Component X signatures (MH-OR, 95% CI):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4"/>
        <w:gridCol w:w="1021"/>
        <w:gridCol w:w="894"/>
        <w:gridCol w:w="1405"/>
        <w:gridCol w:w="370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MH-OR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(event_subtype_seq)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[2.10, 3.51]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[2.07, 3.39]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counter_surprise:{158_3, 397_28}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[2.05, 3.38]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[1.98, 3.01]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28,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[1.94, 2.89]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counter_surprise:{158_9, 309_0}</w:t>
            </w:r>
          </w:p>
        </w:tc>
      </w:tr>
    </w:tbl>
    <w:p>
      <w:pPr>
        <w:pStyle w:val="BodyText"/>
      </w:pPr>
      <w:r>
        <w:t xml:space="preserve">The top signatures are concentrated in bin combinations of the same</w:t>
      </w:r>
      <w:r>
        <w:t xml:space="preserve"> </w:t>
      </w:r>
      <w:r>
        <w:t xml:space="preserve">histogram feature (397), consistent with the §3.4 note that</w:t>
      </w:r>
      <w:r>
        <w:t xml:space="preserve"> </w:t>
      </w:r>
      <w:r>
        <w:t xml:space="preserve">Component X features encode 6 histograms. The</w:t>
      </w:r>
      <w:r>
        <w:t xml:space="preserve"> </w:t>
      </w:r>
      <w:r>
        <w:rPr>
          <w:rStyle w:val="VerbatimChar"/>
        </w:rPr>
        <w:t xml:space="preserve">158_9 + 309_0</w:t>
      </w:r>
      <w:r>
        <w:t xml:space="preserve"> </w:t>
      </w:r>
      <w:r>
        <w:t xml:space="preserve">cross-feature signature is an example of a two-feature interaction</w:t>
      </w:r>
      <w:r>
        <w:t xml:space="preserve"> </w:t>
      </w:r>
      <w:r>
        <w:t xml:space="preserve">that pattern mining surfaces without needing a black-box classifier.</w:t>
      </w:r>
      <w:r>
        <w:t xml:space="preserve"> </w:t>
      </w:r>
      <w:r>
        <w:t xml:space="preserve">Despite these interpretable hazard-ratio-scored patterns, none of</w:t>
      </w:r>
      <w:r>
        <w:t xml:space="preserve"> </w:t>
      </w:r>
      <w:r>
        <w:t xml:space="preserve">them lift a temporally-held-out logistic regression beyond AUROC</w:t>
      </w:r>
      <w:r>
        <w:t xml:space="preserve"> </w:t>
      </w:r>
      <w:r>
        <w:t xml:space="preserve">0.60 (per §6.2): the patterns are per-truck static discriminators,</w:t>
      </w:r>
      <w:r>
        <w:t xml:space="preserve"> </w:t>
      </w:r>
      <w:r>
        <w:t xml:space="preserve">not temporal precursors that a next-K-event alarm can act on. The</w:t>
      </w:r>
      <w:r>
        <w:t xml:space="preserve"> </w:t>
      </w:r>
      <w:r>
        <w:t xml:space="preserve">distinction is important operationally: hazard-ratio-scored patterns</w:t>
      </w:r>
      <w:r>
        <w:t xml:space="preserve"> </w:t>
      </w:r>
      <w:r>
        <w:t xml:space="preserve">support cohort-level fleet triage (which trucks warrant closer</w:t>
      </w:r>
      <w:r>
        <w:t xml:space="preserve"> </w:t>
      </w:r>
      <w:r>
        <w:t xml:space="preserve">inspection), not next-event alerting.</w:t>
      </w:r>
    </w:p>
    <w:bookmarkEnd w:id="53"/>
    <w:bookmarkStart w:id="55" w:name="lead-time-on-true-positives"/>
    <w:p>
      <w:pPr>
        <w:pStyle w:val="Heading3"/>
      </w:pPr>
      <w:r>
        <w:rPr>
          <w:rStyle w:val="SectionNumber"/>
        </w:rPr>
        <w:t xml:space="preserve">1.7.7</w:t>
      </w:r>
      <w:r>
        <w:tab/>
      </w:r>
      <w:r>
        <w:t xml:space="preserve">6.7 Lead time on true positives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Alibaba</w:t>
      </w:r>
      <w:r>
        <w:t xml:space="preserve"> </w:t>
      </w:r>
      <w:r>
        <w:t xml:space="preserve">(operational lead time): median 0 s across horizons,</w:t>
      </w:r>
      <w:r>
        <w:t xml:space="preserve"> </w:t>
      </w:r>
      <w:r>
        <w:t xml:space="preserve">IQR 0-2 min. Task boundaries are the practical alarm resolution;</w:t>
      </w:r>
      <w:r>
        <w:t xml:space="preserve"> </w:t>
      </w:r>
      <w:r>
        <w:t xml:space="preserve">the AUROC 0.74-0.81 signal is real but must be acted on within the</w:t>
      </w:r>
      <w:r>
        <w:t xml:space="preserve"> </w:t>
      </w:r>
      <w:r>
        <w:t xml:space="preserve">next-task interval.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Azure</w:t>
      </w:r>
      <w:r>
        <w:t xml:space="preserve"> </w:t>
      </w:r>
      <w:r>
        <w:t xml:space="preserve">(structural lead time set by the generator): median lead</w:t>
      </w:r>
      <w:r>
        <w:t xml:space="preserve"> </w:t>
      </w:r>
      <w:r>
        <w:t xml:space="preserve">time is exactly 24.0 hours at every horizon. The synthetic</w:t>
      </w:r>
      <w:r>
        <w:t xml:space="preserve"> </w:t>
      </w:r>
      <w:r>
        <w:t xml:space="preserve">generator places pre-failure errors on a ~24h clock relative to</w:t>
      </w:r>
      <w:r>
        <w:t xml:space="preserve"> </w:t>
      </w:r>
      <w:r>
        <w:t xml:space="preserve">the failure timestamp, so any correctly-triggered alarm inherits</w:t>
      </w:r>
      <w:r>
        <w:t xml:space="preserve"> </w:t>
      </w:r>
      <w:r>
        <w:t xml:space="preserve">that clock. This describes the dataset’s construction, not the</w:t>
      </w:r>
      <w:r>
        <w:t xml:space="preserve"> </w:t>
      </w:r>
      <w:r>
        <w:t xml:space="preserve">model’s early-warning capacity.</w:t>
      </w:r>
    </w:p>
    <w:p>
      <w:pPr>
        <w:pStyle w:val="FirstParagraph"/>
      </w:pPr>
      <w:r>
        <w:t xml:space="preserve">Lead-time detail:</w:t>
      </w:r>
      <w:r>
        <w:t xml:space="preserve"> </w:t>
      </w:r>
      <w:hyperlink r:id="rId54">
        <w:r>
          <w:rPr>
            <w:rStyle w:val="Hyperlink"/>
          </w:rPr>
          <w:t xml:space="preserve">results/tables/{azure,alibaba}_leadtime.md</w:t>
        </w:r>
      </w:hyperlink>
      <w:r>
        <w:t xml:space="preserve">.</w:t>
      </w:r>
    </w:p>
    <w:bookmarkEnd w:id="55"/>
    <w:bookmarkEnd w:id="56"/>
    <w:bookmarkStart w:id="59" w:name="discussion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7 Discussion</w:t>
      </w:r>
    </w:p>
    <w:bookmarkStart w:id="57" w:name="X75d9a394a307a62bf087024a3c4b370afb7d957"/>
    <w:p>
      <w:pPr>
        <w:pStyle w:val="Heading3"/>
      </w:pPr>
      <w:r>
        <w:rPr>
          <w:rStyle w:val="SectionNumber"/>
        </w:rPr>
        <w:t xml:space="preserve">1.8.1</w:t>
      </w:r>
      <w:r>
        <w:tab/>
      </w:r>
      <w:r>
        <w:t xml:space="preserve">7.1 What each mined signature means operationally</w:t>
      </w:r>
    </w:p>
    <w:p>
      <w:pPr>
        <w:pStyle w:val="FirstParagraph"/>
      </w:pPr>
      <w:r>
        <w:t xml:space="preserve">On Azure PdM,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reaches sequence lift 3.73 vs itemset lift 2.22 for the same</w:t>
      </w:r>
      <w:r>
        <w:t xml:space="preserve"> </w:t>
      </w:r>
      <w:r>
        <w:t xml:space="preserve">items. The order-specific reading is that error2 and error3 are not</w:t>
      </w:r>
      <w:r>
        <w:t xml:space="preserve"> </w:t>
      </w:r>
      <w:r>
        <w:t xml:space="preserve">interchangeable noise: a machine reporting error2 first and then</w:t>
      </w:r>
      <w:r>
        <w:t xml:space="preserve"> </w:t>
      </w:r>
      <w:r>
        <w:t xml:space="preserve">error3 is materially more likely to reach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than</w:t>
      </w:r>
      <w:r>
        <w:t xml:space="preserve"> </w:t>
      </w:r>
      <w:r>
        <w:t xml:space="preserve">one that reports them in the other order. In practical monitoring,</w:t>
      </w:r>
      <w:r>
        <w:t xml:space="preserve"> </w:t>
      </w:r>
      <w:r>
        <w:t xml:space="preserve">an alarm keyed on the pair-in-order is preferable to the same alarm</w:t>
      </w:r>
      <w:r>
        <w:t xml:space="preserve"> </w:t>
      </w:r>
      <w:r>
        <w:t xml:space="preserve">keyed on the pair-as-set.</w:t>
      </w:r>
    </w:p>
    <w:p>
      <w:pPr>
        <w:pStyle w:val="BodyText"/>
      </w:pPr>
      <w:r>
        <w:t xml:space="preserve">On Alibaba,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reaches sequence lift 3.06 vs itemset lift 1.37 for the same</w:t>
      </w:r>
      <w:r>
        <w:t xml:space="preserve"> </w:t>
      </w:r>
      <w:r>
        <w:t xml:space="preserve">items. Three consecutive Map completions predict a subsequent Failed</w:t>
      </w:r>
      <w:r>
        <w:t xml:space="preserve"> </w:t>
      </w:r>
      <w:r>
        <w:t xml:space="preserve">task more strongly than</w:t>
      </w:r>
      <w:r>
        <w:t xml:space="preserve"> </w:t>
      </w:r>
      <w:r>
        <w:t xml:space="preserve">“</w:t>
      </w:r>
      <w:r>
        <w:t xml:space="preserve">the job contains Map completions</w:t>
      </w:r>
      <w:r>
        <w:t xml:space="preserve">”</w:t>
      </w:r>
      <w:r>
        <w:t xml:space="preserve"> </w:t>
      </w:r>
      <w:r>
        <w:t xml:space="preserve">alone.</w:t>
      </w:r>
      <w:r>
        <w:t xml:space="preserve"> </w:t>
      </w:r>
      <w:r>
        <w:t xml:space="preserve">The operational reading is that the position of the failure inside</w:t>
      </w:r>
      <w:r>
        <w:t xml:space="preserve"> </w:t>
      </w:r>
      <w:r>
        <w:t xml:space="preserve">the DAG matters: jobs that make it through a Map-heavy prefix are</w:t>
      </w:r>
      <w:r>
        <w:t xml:space="preserve"> </w:t>
      </w:r>
      <w:r>
        <w:t xml:space="preserve">the jobs whose downstream Reduce or Join phases can fail, whereas</w:t>
      </w:r>
      <w:r>
        <w:t xml:space="preserve"> </w:t>
      </w:r>
      <w:r>
        <w:t xml:space="preserve">jobs that fail early do so in a different distribution of task types.</w:t>
      </w:r>
    </w:p>
    <w:bookmarkEnd w:id="57"/>
    <w:bookmarkStart w:id="58" w:name="regime-of-validity"/>
    <w:p>
      <w:pPr>
        <w:pStyle w:val="Heading3"/>
      </w:pPr>
      <w:r>
        <w:rPr>
          <w:rStyle w:val="SectionNumber"/>
        </w:rPr>
        <w:t xml:space="preserve">1.8.2</w:t>
      </w:r>
      <w:r>
        <w:tab/>
      </w:r>
      <w:r>
        <w:t xml:space="preserve">7.2 Regime of validity</w:t>
      </w:r>
    </w:p>
    <w:p>
      <w:pPr>
        <w:pStyle w:val="FirstParagraph"/>
      </w:pPr>
      <w:r>
        <w:t xml:space="preserve">The four-trace survey resolves an obvious follow-up question:</w:t>
      </w:r>
      <w:r>
        <w:t xml:space="preserve"> </w:t>
      </w:r>
      <w:r>
        <w:t xml:space="preserve">does the sequences+itemsets combined-feature-set advantage transfer</w:t>
      </w:r>
      <w:r>
        <w:t xml:space="preserve"> </w:t>
      </w:r>
      <w:r>
        <w:t xml:space="preserve">to any operational event log? It does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Where the method works</w:t>
      </w:r>
      <w:r>
        <w:t xml:space="preserve"> </w:t>
      </w:r>
      <w:r>
        <w:t xml:space="preserve">(Azure PdM, Alibaba v2018): rich native</w:t>
      </w:r>
      <w:r>
        <w:t xml:space="preserve"> </w:t>
      </w:r>
      <w:r>
        <w:t xml:space="preserve">discrete event vocabularies (5 error codes × 4 component types on</w:t>
      </w:r>
      <w:r>
        <w:t xml:space="preserve"> </w:t>
      </w:r>
      <w:r>
        <w:t xml:space="preserve">Azure; 4 task statuses × 6 task roles on Alibaba). Failure-window</w:t>
      </w:r>
      <w:r>
        <w:t xml:space="preserve"> </w:t>
      </w:r>
      <w:r>
        <w:t xml:space="preserve">content differs discriminably from control-window content, and</w:t>
      </w:r>
      <w:r>
        <w:t xml:space="preserve"> </w:t>
      </w:r>
      <w:r>
        <w:t xml:space="preserve">order carries information beyond the itemset.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Where the method does not work</w:t>
      </w:r>
      <w:r>
        <w:t xml:space="preserve"> </w:t>
      </w:r>
      <w:r>
        <w:t xml:space="preserve">(BGL, SCANIA): the target class</w:t>
      </w:r>
      <w:r>
        <w:t xml:space="preserve"> </w:t>
      </w:r>
      <w:r>
        <w:t xml:space="preserve">is self-triggering (BGL alerts follow other alerts, and non-alert</w:t>
      </w:r>
      <w:r>
        <w:t xml:space="preserve"> </w:t>
      </w:r>
      <w:r>
        <w:t xml:space="preserve">log lines carry no discriminable precursor signal), or the discrete</w:t>
      </w:r>
      <w:r>
        <w:t xml:space="preserve"> </w:t>
      </w:r>
      <w:r>
        <w:t xml:space="preserve">event stream must be derived from continuous counters (SCANIA</w:t>
      </w:r>
      <w:r>
        <w:t xml:space="preserve"> </w:t>
      </w:r>
      <w:r>
        <w:t xml:space="preserve">requires binning per-vehicle deltas, and a defensible 90th-percentile</w:t>
      </w:r>
      <w:r>
        <w:t xml:space="preserve"> </w:t>
      </w:r>
      <w:r>
        <w:t xml:space="preserve">surprise binning produces only marginal AUROC).</w:t>
      </w:r>
    </w:p>
    <w:p>
      <w:pPr>
        <w:pStyle w:val="FirstParagraph"/>
      </w:pPr>
      <w:r>
        <w:t xml:space="preserve">Concretely: on BGL the best combined AUROC across horizons is 0.51</w:t>
      </w:r>
      <w:r>
        <w:t xml:space="preserve"> </w:t>
      </w:r>
      <w:r>
        <w:t xml:space="preserve">(chance) even when INFO-level messages and component granularity are</w:t>
      </w:r>
      <w:r>
        <w:t xml:space="preserve"> </w:t>
      </w:r>
      <w:r>
        <w:t xml:space="preserve">included in the non-alert stream; on SCANIA the best combined AUROC</w:t>
      </w:r>
      <w:r>
        <w:t xml:space="preserve"> </w:t>
      </w:r>
      <w:r>
        <w:t xml:space="preserve">across horizons is 0.60, unchanged when the fleet-wide 90th-percentile</w:t>
      </w:r>
      <w:r>
        <w:t xml:space="preserve"> </w:t>
      </w:r>
      <w:r>
        <w:t xml:space="preserve">delta binning is replaced by per-vehicle-normalised 90th-percentile</w:t>
      </w:r>
      <w:r>
        <w:t xml:space="preserve"> </w:t>
      </w:r>
      <w:r>
        <w:t xml:space="preserve">binning.</w:t>
      </w:r>
    </w:p>
    <w:p>
      <w:pPr>
        <w:pStyle w:val="BodyText"/>
      </w:pPr>
      <w:r>
        <w:t xml:space="preserve">To determine whether the SCANIA gap is representation-loss (tokens</w:t>
      </w:r>
      <w:r>
        <w:t xml:space="preserve"> </w:t>
      </w:r>
      <w:r>
        <w:t xml:space="preserve">destroy signal that is actually in the trace) or signal-absence (no</w:t>
      </w:r>
      <w:r>
        <w:t xml:space="preserve"> </w:t>
      </w:r>
      <w:r>
        <w:t xml:space="preserve">representation could recover 0.75), we run a diagnostic ceiling test:</w:t>
      </w:r>
      <w:r>
        <w:t xml:space="preserve"> </w:t>
      </w:r>
      <w:r>
        <w:t xml:space="preserve">LightGBM on a compact set of histogram-aware distributional</w:t>
      </w:r>
      <w:r>
        <w:t xml:space="preserve"> </w:t>
      </w:r>
      <w:r>
        <w:t xml:space="preserve">descriptors (Wasserstein-1 distance to a per-vehicle baseline,</w:t>
      </w:r>
      <w:r>
        <w:t xml:space="preserve"> </w:t>
      </w:r>
      <w:r>
        <w:t xml:space="preserve">signed centroid shift, entropy shift, tail-mass shift, and each</w:t>
      </w:r>
      <w:r>
        <w:t xml:space="preserve"> </w:t>
      </w:r>
      <w:r>
        <w:t xml:space="preserve">descriptor’s slope over the last 20 readouts) computed on the same</w:t>
      </w:r>
      <w:r>
        <w:t xml:space="preserve"> </w:t>
      </w:r>
      <w:r>
        <w:t xml:space="preserve">temporal split. The ceiling model reaches AUROC 0.60 / AUPRC 0.04,</w:t>
      </w:r>
      <w:r>
        <w:t xml:space="preserve"> </w:t>
      </w:r>
      <w:r>
        <w:t xml:space="preserve">essentially identical to the pattern-mining pipeline. Logistic</w:t>
      </w:r>
      <w:r>
        <w:t xml:space="preserve"> </w:t>
      </w:r>
      <w:r>
        <w:t xml:space="preserve">regression on the same 113 structured features reaches 0.58 / 0.05.</w:t>
      </w:r>
      <w:r>
        <w:t xml:space="preserve"> </w:t>
      </w:r>
      <w:r>
        <w:t xml:space="preserve">The GBM-versus-LR gap is 0.02 AUROC, so classifier capacity is not</w:t>
      </w:r>
      <w:r>
        <w:t xml:space="preserve"> </w:t>
      </w:r>
      <w:r>
        <w:t xml:space="preserve">the constraint either. The gap between SCANIA (~0.60) and the</w:t>
      </w:r>
      <w:r>
        <w:t xml:space="preserve"> </w:t>
      </w:r>
      <w:r>
        <w:t xml:space="preserve">Azure / Alibaba wins (~0.80-1.00) reflects a limit of the readout</w:t>
      </w:r>
      <w:r>
        <w:t xml:space="preserve"> </w:t>
      </w:r>
      <w:r>
        <w:t xml:space="preserve">cadence and feature vocabulary, not of the pattern-mining pipeline</w:t>
      </w:r>
      <w:r>
        <w:t xml:space="preserve"> </w:t>
      </w:r>
      <w:r>
        <w:t xml:space="preserve">against a richer alternative representation.</w:t>
      </w:r>
    </w:p>
    <w:p>
      <w:pPr>
        <w:pStyle w:val="BodyText"/>
      </w:pPr>
      <w:r>
        <w:rPr>
          <w:b/>
          <w:bCs/>
        </w:rPr>
        <w:t xml:space="preserve">Positive control on same-manufacturer data.</w:t>
      </w:r>
      <w:r>
        <w:t xml:space="preserve"> </w:t>
      </w:r>
      <w:r>
        <w:t xml:space="preserve">To rule out the</w:t>
      </w:r>
      <w:r>
        <w:t xml:space="preserve"> </w:t>
      </w:r>
      <w:r>
        <w:t xml:space="preserve">alternative explanation that SCANIA-family telemetry itself lacks</w:t>
      </w:r>
      <w:r>
        <w:t xml:space="preserve"> </w:t>
      </w:r>
      <w:r>
        <w:t xml:space="preserve">predictive signal, we apply the same LightGBM ceiling test to</w:t>
      </w:r>
      <w:r>
        <w:t xml:space="preserve"> </w:t>
      </w:r>
      <w:r>
        <w:t xml:space="preserve">SCANIA APS Failure at Scania Trucks</w:t>
      </w:r>
      <w:r>
        <w:t xml:space="preserve"> </w:t>
      </w:r>
      <w:r>
        <w:t xml:space="preserve">(Costa and Nascimento 2016)</w:t>
      </w:r>
      <w:r>
        <w:t xml:space="preserve"> </w:t>
      </w:r>
      <w:r>
        <w:t xml:space="preserve">(UCI 421, IDA</w:t>
      </w:r>
      <w:r>
        <w:t xml:space="preserve"> </w:t>
      </w:r>
      <w:r>
        <w:t xml:space="preserve">2016 industrial challenge). APS Failure uses the same anonymised</w:t>
      </w:r>
      <w:r>
        <w:t xml:space="preserve"> </w:t>
      </w:r>
      <w:r>
        <w:t xml:space="preserve">histogram-encoded schema as Component X (7 histogram groups of 10</w:t>
      </w:r>
      <w:r>
        <w:t xml:space="preserve"> </w:t>
      </w:r>
      <w:r>
        <w:t xml:space="preserve">bins each + 100 single counters = 170 feature columns) but delivers</w:t>
      </w:r>
      <w:r>
        <w:t xml:space="preserve"> </w:t>
      </w:r>
      <w:r>
        <w:t xml:space="preserve">one per-truck cross-sectional readout instead of a longitudinal</w:t>
      </w:r>
      <w:r>
        <w:t xml:space="preserve"> </w:t>
      </w:r>
      <w:r>
        <w:t xml:space="preserve">readout stream, with a binary APS-system-failure label at a 1.67%</w:t>
      </w:r>
      <w:r>
        <w:t xml:space="preserve"> </w:t>
      </w:r>
      <w:r>
        <w:t xml:space="preserve">positive rate. On the same LightGBM configuration our Component X</w:t>
      </w:r>
      <w:r>
        <w:t xml:space="preserve"> </w:t>
      </w:r>
      <w:r>
        <w:t xml:space="preserve">ceiling used, APS Failure reaches AUROC 0.994 / AUPRC 0.934 on the</w:t>
      </w:r>
      <w:r>
        <w:t xml:space="preserve"> </w:t>
      </w:r>
      <w:r>
        <w:t xml:space="preserve">canonical held-out test split (16,000 trucks, 375 positives); LR</w:t>
      </w:r>
      <w:r>
        <w:t xml:space="preserve"> </w:t>
      </w:r>
      <w:r>
        <w:t xml:space="preserve">alone reaches 0.979 / 0.800. Same manufacturer, same anonymisation</w:t>
      </w:r>
      <w:r>
        <w:t xml:space="preserve"> </w:t>
      </w:r>
      <w:r>
        <w:t xml:space="preserve">schema, different readout format, near-perfect predictability. This</w:t>
      </w:r>
      <w:r>
        <w:t xml:space="preserve"> </w:t>
      </w:r>
      <w:r>
        <w:t xml:space="preserve">excludes</w:t>
      </w:r>
      <w:r>
        <w:t xml:space="preserve"> </w:t>
      </w:r>
      <w:r>
        <w:t xml:space="preserve">“</w:t>
      </w:r>
      <w:r>
        <w:t xml:space="preserve">SCANIA-family data is inherently weak</w:t>
      </w:r>
      <w:r>
        <w:t xml:space="preserve">”</w:t>
      </w:r>
      <w:r>
        <w:t xml:space="preserve"> </w:t>
      </w:r>
      <w:r>
        <w:t xml:space="preserve">as an explanation</w:t>
      </w:r>
      <w:r>
        <w:t xml:space="preserve"> </w:t>
      </w:r>
      <w:r>
        <w:t xml:space="preserve">for the Component X boundary.</w:t>
      </w:r>
    </w:p>
    <w:p>
      <w:pPr>
        <w:pStyle w:val="BodyText"/>
      </w:pPr>
      <w:r>
        <w:rPr>
          <w:b/>
          <w:bCs/>
        </w:rPr>
        <w:t xml:space="preserve">Root-cause diagnosis: trajectory-signal absence, not signal</w:t>
      </w:r>
      <w:r>
        <w:rPr>
          <w:b/>
          <w:bCs/>
        </w:rPr>
        <w:t xml:space="preserve"> </w:t>
      </w:r>
      <w:r>
        <w:rPr>
          <w:b/>
          <w:bCs/>
        </w:rPr>
        <w:t xml:space="preserve">absence.</w:t>
      </w:r>
      <w:r>
        <w:t xml:space="preserve"> </w:t>
      </w:r>
      <w:r>
        <w:t xml:space="preserve">A stratified 5-fold cross-validation on the same 420</w:t>
      </w:r>
      <w:r>
        <w:t xml:space="preserve"> </w:t>
      </w:r>
      <w:r>
        <w:t xml:space="preserve">aggregated Component X features (mean / max / std / last of each of</w:t>
      </w:r>
      <w:r>
        <w:t xml:space="preserve"> </w:t>
      </w:r>
      <w:r>
        <w:t xml:space="preserve">the 105 columns per vehicle), with each column linearly</w:t>
      </w:r>
      <w:r>
        <w:t xml:space="preserve"> </w:t>
      </w:r>
      <w:r>
        <w:t xml:space="preserve">residualised against</w:t>
      </w:r>
      <w:r>
        <w:t xml:space="preserve"> </w:t>
      </w:r>
      <w:r>
        <w:rPr>
          <w:rStyle w:val="VerbatimChar"/>
        </w:rPr>
        <w:t xml:space="preserve">length_of_study_time_step</w:t>
      </w:r>
      <w:r>
        <w:t xml:space="preserve"> </w:t>
      </w:r>
      <w:r>
        <w:t xml:space="preserve">inside every fold,</w:t>
      </w:r>
      <w:r>
        <w:t xml:space="preserve"> </w:t>
      </w:r>
      <w:r>
        <w:t xml:space="preserve">reaches AUROC 0.826 ± 0.005, comparable to Alibaba’s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combined score (0.81) and BGL’s chance (0.51). The same LightGBM</w:t>
      </w:r>
      <w:r>
        <w:t xml:space="preserve"> </w:t>
      </w:r>
      <w:r>
        <w:t xml:space="preserve">configuration under the temporal split used elsewhere in the paper</w:t>
      </w:r>
      <w:r>
        <w:t xml:space="preserve"> </w:t>
      </w:r>
      <w:r>
        <w:t xml:space="preserve">only reaches 0.67, and the pattern-mining pipeline reaches 0.60.</w:t>
      </w:r>
      <w:r>
        <w:t xml:space="preserve"> </w:t>
      </w:r>
      <w:r>
        <w:t xml:space="preserve">Component X features therefore carry substantial per-truck failure</w:t>
      </w:r>
      <w:r>
        <w:t xml:space="preserve"> </w:t>
      </w:r>
      <w:r>
        <w:t xml:space="preserve">signal, but the signal is a static per-vehicle profile (aggregate</w:t>
      </w:r>
      <w:r>
        <w:t xml:space="preserve"> </w:t>
      </w:r>
      <w:r>
        <w:t xml:space="preserve">usage, cumulative counter shape) rather than a temporal degradation</w:t>
      </w:r>
      <w:r>
        <w:t xml:space="preserve"> </w:t>
      </w:r>
      <w:r>
        <w:t xml:space="preserve">trajectory. Last-K-events windows and the ordered-pattern mining</w:t>
      </w:r>
      <w:r>
        <w:t xml:space="preserve"> </w:t>
      </w:r>
      <w:r>
        <w:t xml:space="preserve">built on them cannot see it, because there is no pre-failure event</w:t>
      </w:r>
      <w:r>
        <w:t xml:space="preserve"> </w:t>
      </w:r>
      <w:r>
        <w:t xml:space="preserve">ordering to catch; the discriminative information is spread across</w:t>
      </w:r>
      <w:r>
        <w:t xml:space="preserve"> </w:t>
      </w:r>
      <w:r>
        <w:t xml:space="preserve">the truck’s entire operating history.</w:t>
      </w:r>
    </w:p>
    <w:p>
      <w:pPr>
        <w:pStyle w:val="BodyText"/>
      </w:pPr>
      <w:r>
        <w:t xml:space="preserve">This gives a sharper three-way regime-of-validity: (i) two wins</w:t>
      </w:r>
      <w:r>
        <w:t xml:space="preserve"> </w:t>
      </w:r>
      <w:r>
        <w:t xml:space="preserve">(Azure PdM, Alibaba v2018), where target failure is preceded by a</w:t>
      </w:r>
      <w:r>
        <w:t xml:space="preserve"> </w:t>
      </w:r>
      <w:r>
        <w:t xml:space="preserve">discriminable ordered event trajectory; (ii) BGL, where the target</w:t>
      </w:r>
      <w:r>
        <w:t xml:space="preserve"> </w:t>
      </w:r>
      <w:r>
        <w:t xml:space="preserve">class is self-triggering with no discriminable non-alert precursor;</w:t>
      </w:r>
      <w:r>
        <w:t xml:space="preserve"> </w:t>
      </w:r>
      <w:r>
        <w:t xml:space="preserve">(iii) Component X, where the target has strong per-truck signal in aggregate</w:t>
      </w:r>
      <w:r>
        <w:t xml:space="preserve"> </w:t>
      </w:r>
      <w:r>
        <w:t xml:space="preserve">features but no last-K-events trajectory signal, so pattern mining</w:t>
      </w:r>
      <w:r>
        <w:t xml:space="preserve"> </w:t>
      </w:r>
      <w:r>
        <w:t xml:space="preserve">on windows attains the temporal-split ceiling but not the</w:t>
      </w:r>
      <w:r>
        <w:t xml:space="preserve"> </w:t>
      </w:r>
      <w:r>
        <w:t xml:space="preserve">transductive per-vehicle ceiling. The APS positive control confirms</w:t>
      </w:r>
      <w:r>
        <w:t xml:space="preserve"> </w:t>
      </w:r>
      <w:r>
        <w:t xml:space="preserve">that (iii) is a target-shape distinction, not a manufacturer or</w:t>
      </w:r>
      <w:r>
        <w:t xml:space="preserve"> </w:t>
      </w:r>
      <w:r>
        <w:t xml:space="preserve">schema deficiency.</w:t>
      </w:r>
    </w:p>
    <w:p>
      <w:pPr>
        <w:pStyle w:val="BodyText"/>
      </w:pPr>
      <w:r>
        <w:t xml:space="preserve">The method’s regime of validity is therefore</w:t>
      </w:r>
      <w:r>
        <w:t xml:space="preserve"> </w:t>
      </w:r>
      <w:r>
        <w:t xml:space="preserve">“</w:t>
      </w:r>
      <w:r>
        <w:t xml:space="preserve">trace has a rich</w:t>
      </w:r>
      <w:r>
        <w:t xml:space="preserve"> </w:t>
      </w:r>
      <w:r>
        <w:t xml:space="preserve">native discrete event vocabulary AND failure class is not</w:t>
      </w:r>
      <w:r>
        <w:t xml:space="preserve"> </w:t>
      </w:r>
      <w:r>
        <w:t xml:space="preserve">self-triggering AND readout-cadence signal capacity exceeds the</w:t>
      </w:r>
      <w:r>
        <w:t xml:space="preserve"> </w:t>
      </w:r>
      <w:r>
        <w:t xml:space="preserve">target AUROC bar</w:t>
      </w:r>
      <w:r>
        <w:t xml:space="preserve">”</w:t>
      </w:r>
      <w:r>
        <w:t xml:space="preserve">. BGL fails the second condition; SCANIA fails the</w:t>
      </w:r>
      <w:r>
        <w:t xml:space="preserve"> </w:t>
      </w:r>
      <w:r>
        <w:t xml:space="preserve">third; Azure PdM and Alibaba v2018 satisfy all three.</w:t>
      </w:r>
    </w:p>
    <w:p>
      <w:pPr>
        <w:pStyle w:val="BodyText"/>
      </w:pPr>
      <w:r>
        <w:t xml:space="preserve">The two lead-time regimes in §6.7 speak to deployment. Azure inherits</w:t>
      </w:r>
      <w:r>
        <w:t xml:space="preserve"> </w:t>
      </w:r>
      <w:r>
        <w:t xml:space="preserve">a structural 24h clock from the synthetic generator and should not</w:t>
      </w:r>
      <w:r>
        <w:t xml:space="preserve"> </w:t>
      </w:r>
      <w:r>
        <w:t xml:space="preserve">be read as a real-world warning interval; Alibaba’s median 0-second</w:t>
      </w:r>
      <w:r>
        <w:t xml:space="preserve"> </w:t>
      </w:r>
      <w:r>
        <w:t xml:space="preserve">lead time is the honest one, and a per-job classifier there must be</w:t>
      </w:r>
      <w:r>
        <w:t xml:space="preserve"> </w:t>
      </w:r>
      <w:r>
        <w:t xml:space="preserve">paired with sub-second scheduling infrastructure to act on the signal</w:t>
      </w:r>
      <w:r>
        <w:t xml:space="preserve"> </w:t>
      </w:r>
      <w:r>
        <w:t xml:space="preserve">at all.</w:t>
      </w:r>
    </w:p>
    <w:bookmarkEnd w:id="58"/>
    <w:bookmarkEnd w:id="59"/>
    <w:bookmarkStart w:id="60" w:name="limitations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8 Limitations</w:t>
      </w:r>
    </w:p>
    <w:p>
      <w:pPr>
        <w:pStyle w:val="Compact"/>
        <w:numPr>
          <w:ilvl w:val="0"/>
          <w:numId w:val="1006"/>
        </w:numPr>
      </w:pPr>
      <w:r>
        <w:t xml:space="preserve">Alibaba results are per-job, computed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alone; the</w:t>
      </w:r>
      <w:r>
        <w:t xml:space="preserve"> </w:t>
      </w:r>
      <w:r>
        <w:rPr>
          <w:rStyle w:val="VerbatimChar"/>
        </w:rPr>
        <w:t xml:space="preserve">batch_instance</w:t>
      </w:r>
      <w:r>
        <w:t xml:space="preserve"> </w:t>
      </w:r>
      <w:r>
        <w:t xml:space="preserve">table (21 GB compressed) that would enable</w:t>
      </w:r>
      <w:r>
        <w:t xml:space="preserve"> </w:t>
      </w:r>
      <w:r>
        <w:t xml:space="preserve">per-machine failure trajectories on the same trace is left to</w:t>
      </w:r>
      <w:r>
        <w:t xml:space="preserve"> </w:t>
      </w:r>
      <w:r>
        <w:t xml:space="preserve">future work.</w:t>
      </w:r>
    </w:p>
    <w:p>
      <w:pPr>
        <w:pStyle w:val="Compact"/>
        <w:numPr>
          <w:ilvl w:val="0"/>
          <w:numId w:val="1006"/>
        </w:numPr>
      </w:pPr>
      <w:r>
        <w:t xml:space="preserve">Alibaba sequence patterns are numerically fewer than Azure ones</w:t>
      </w:r>
      <w:r>
        <w:t xml:space="preserve"> </w:t>
      </w:r>
      <w:r>
        <w:t xml:space="preserve">(2-6 vs 6-16 surviving the shuffle-null per horizon). A wider</w:t>
      </w:r>
      <w:r>
        <w:t xml:space="preserve"> </w:t>
      </w:r>
      <w:r>
        <w:t xml:space="preserve">min_support sweep and top-K sequence mining would sharpen the</w:t>
      </w:r>
      <w:r>
        <w:t xml:space="preserve"> </w:t>
      </w:r>
      <w:r>
        <w:t xml:space="preserve">Alibaba sequence-mining slice specifically.</w:t>
      </w:r>
    </w:p>
    <w:p>
      <w:pPr>
        <w:pStyle w:val="Compact"/>
        <w:numPr>
          <w:ilvl w:val="0"/>
          <w:numId w:val="1006"/>
        </w:numPr>
      </w:pPr>
      <w:r>
        <w:t xml:space="preserve">The min_support sensitivity sweep covers itemset support;</w:t>
      </w:r>
      <w:r>
        <w:t xml:space="preserve"> </w:t>
      </w:r>
      <w:r>
        <w:t xml:space="preserve">regularization strength and cross-machine / cross-job</w:t>
      </w:r>
      <w:r>
        <w:t xml:space="preserve"> </w:t>
      </w:r>
      <w:r>
        <w:t xml:space="preserve">leave-one-out are the next robustness questions.</w:t>
      </w:r>
    </w:p>
    <w:p>
      <w:pPr>
        <w:pStyle w:val="Compact"/>
        <w:numPr>
          <w:ilvl w:val="0"/>
          <w:numId w:val="1006"/>
        </w:numPr>
      </w:pPr>
      <w:r>
        <w:t xml:space="preserve">Azure lead times are set by the synthetic data generator and</w:t>
      </w:r>
      <w:r>
        <w:t xml:space="preserve"> </w:t>
      </w:r>
      <w:r>
        <w:t xml:space="preserve">describe dataset construction rather than real-world warning</w:t>
      </w:r>
      <w:r>
        <w:t xml:space="preserve"> </w:t>
      </w:r>
      <w:r>
        <w:t xml:space="preserve">intervals. Alibaba lead times are the operationally-honest number</w:t>
      </w:r>
      <w:r>
        <w:t xml:space="preserve"> </w:t>
      </w:r>
      <w:r>
        <w:t xml:space="preserve">from a real trace.</w:t>
      </w:r>
    </w:p>
    <w:p>
      <w:pPr>
        <w:pStyle w:val="Compact"/>
        <w:numPr>
          <w:ilvl w:val="0"/>
          <w:numId w:val="1006"/>
        </w:numPr>
      </w:pPr>
      <w:r>
        <w:t xml:space="preserve">SCANIA binning uses per-vehicle 90th-percentile deltas; a stronger</w:t>
      </w:r>
      <w:r>
        <w:t xml:space="preserve"> </w:t>
      </w:r>
      <w:r>
        <w:t xml:space="preserve">alternative representation (Wasserstein-1 distance to vehicle</w:t>
      </w:r>
      <w:r>
        <w:t xml:space="preserve"> </w:t>
      </w:r>
      <w:r>
        <w:t xml:space="preserve">baseline, centroid shift, entropy and tail-mass changes per</w:t>
      </w:r>
      <w:r>
        <w:t xml:space="preserve"> </w:t>
      </w:r>
      <w:r>
        <w:t xml:space="preserve">histogram feature) was also tested via a LightGBM ceiling</w:t>
      </w:r>
      <w:r>
        <w:t xml:space="preserve"> </w:t>
      </w:r>
      <w:r>
        <w:t xml:space="preserve">diagnostic and reached the same AUROC 0.60. The signal at this</w:t>
      </w:r>
      <w:r>
        <w:t xml:space="preserve"> </w:t>
      </w:r>
      <w:r>
        <w:t xml:space="preserve">readout cadence is insufficient to reach the 0.75 bar under any</w:t>
      </w:r>
      <w:r>
        <w:t xml:space="preserve"> </w:t>
      </w:r>
      <w:r>
        <w:t xml:space="preserve">representation we tested; scoping SCANIA as a boundary case</w:t>
      </w:r>
      <w:r>
        <w:t xml:space="preserve"> </w:t>
      </w:r>
      <w:r>
        <w:t xml:space="preserve">reflects that finding.</w:t>
      </w:r>
    </w:p>
    <w:bookmarkEnd w:id="60"/>
    <w:bookmarkStart w:id="61" w:name="conclusion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9 Conclusion</w:t>
      </w:r>
    </w:p>
    <w:p>
      <w:pPr>
        <w:pStyle w:val="FirstParagraph"/>
      </w:pPr>
      <w:r>
        <w:t xml:space="preserve">Frequent-pattern mining of discrete operational events surfaces</w:t>
      </w:r>
      <w:r>
        <w:t xml:space="preserve"> </w:t>
      </w:r>
      <w:r>
        <w:t xml:space="preserve">interpretable pre-failure signatures on two of four traces studied.</w:t>
      </w:r>
      <w:r>
        <w:t xml:space="preserve"> </w:t>
      </w:r>
      <w:r>
        <w:t xml:space="preserve">On both winning traces, sequences add real predictive information</w:t>
      </w:r>
      <w:r>
        <w:t xml:space="preserve"> </w:t>
      </w:r>
      <w:r>
        <w:t xml:space="preserve">beyond itemsets when window definitions are rich enough for order</w:t>
      </w:r>
      <w:r>
        <w:t xml:space="preserve"> </w:t>
      </w:r>
      <w:r>
        <w:t xml:space="preserve">to be a real degree of freedom; at those horizons, combining</w:t>
      </w:r>
      <w:r>
        <w:t xml:space="preserve"> </w:t>
      </w:r>
      <w:r>
        <w:t xml:space="preserve">itemset and sequence features improves failure prediction by 5-10</w:t>
      </w:r>
      <w:r>
        <w:t xml:space="preserve"> </w:t>
      </w:r>
      <w:r>
        <w:t xml:space="preserve">AUROC points over either alone. The result replicates across a</w:t>
      </w:r>
      <w:r>
        <w:t xml:space="preserve"> </w:t>
      </w:r>
      <w:r>
        <w:t xml:space="preserve">synthetic per-machine trace (Azure PdM) and a real per-job</w:t>
      </w:r>
      <w:r>
        <w:t xml:space="preserve"> </w:t>
      </w:r>
      <w:r>
        <w:t xml:space="preserve">production trace (Alibaba v2018), and its regime of validity is</w:t>
      </w:r>
      <w:r>
        <w:t xml:space="preserve"> </w:t>
      </w:r>
      <w:r>
        <w:t xml:space="preserve">mapped by two additional traces (BGL, SCANIA) where the pipeline</w:t>
      </w:r>
      <w:r>
        <w:t xml:space="preserve"> </w:t>
      </w:r>
      <w:r>
        <w:t xml:space="preserve">does not find signal, with a mechanistic explanation for each.</w:t>
      </w:r>
    </w:p>
    <w:p>
      <w:r>
        <w:pict>
          <v:rect style="width:0;height:1.5pt" o:hralign="center" o:hrstd="t" o:hr="t"/>
        </w:pict>
      </w:r>
    </w:p>
    <w:bookmarkEnd w:id="61"/>
    <w:bookmarkStart w:id="62" w:name="what-is-still-missing"/>
    <w:p>
      <w:pPr>
        <w:pStyle w:val="Heading2"/>
      </w:pPr>
      <w:r>
        <w:rPr>
          <w:rStyle w:val="SectionNumber"/>
        </w:rPr>
        <w:t xml:space="preserve">1.11</w:t>
      </w:r>
      <w:r>
        <w:tab/>
      </w:r>
      <w:r>
        <w:t xml:space="preserve">What is still missing</w:t>
      </w:r>
    </w:p>
    <w:p>
      <w:pPr>
        <w:pStyle w:val="Compact"/>
        <w:numPr>
          <w:ilvl w:val="0"/>
          <w:numId w:val="1007"/>
        </w:numPr>
      </w:pPr>
      <w:r>
        <w:t xml:space="preserve">Regularization sweep and cross-machine / cross-job leave-one-out</w:t>
      </w:r>
      <w:r>
        <w:t xml:space="preserve"> </w:t>
      </w:r>
      <w:r>
        <w:t xml:space="preserve">for a fuller Phase 7.</w:t>
      </w:r>
    </w:p>
    <w:p>
      <w:pPr>
        <w:pStyle w:val="Compact"/>
        <w:numPr>
          <w:ilvl w:val="0"/>
          <w:numId w:val="1007"/>
        </w:numPr>
      </w:pPr>
      <w:r>
        <w:t xml:space="preserve">Optional: per-machine Alibaba analysis with</w:t>
      </w:r>
      <w:r>
        <w:t xml:space="preserve"> </w:t>
      </w:r>
      <w:r>
        <w:rPr>
          <w:rStyle w:val="VerbatimChar"/>
        </w:rPr>
        <w:t xml:space="preserve">batch_instance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Prose polish + related-work paragraph expansion (scout returning).</w:t>
      </w:r>
    </w:p>
    <w:p>
      <w:pPr>
        <w:pStyle w:val="Compact"/>
        <w:numPr>
          <w:ilvl w:val="0"/>
          <w:numId w:val="1007"/>
        </w:numPr>
      </w:pPr>
      <w:r>
        <w:t xml:space="preserve">HTML/DOCX build via</w:t>
      </w:r>
      <w:r>
        <w:t xml:space="preserve"> </w:t>
      </w:r>
      <w:r>
        <w:rPr>
          <w:rStyle w:val="VerbatimChar"/>
        </w:rPr>
        <w:t xml:space="preserve">paper-build</w:t>
      </w:r>
      <w:r>
        <w:t xml:space="preserve"> </w:t>
      </w:r>
      <w:r>
        <w:t xml:space="preserve">skill once prose is settled.</w:t>
      </w:r>
    </w:p>
    <w:bookmarkEnd w:id="62"/>
    <w:bookmarkStart w:id="126" w:name="what-is-verified"/>
    <w:p>
      <w:pPr>
        <w:pStyle w:val="Heading2"/>
      </w:pPr>
      <w:r>
        <w:rPr>
          <w:rStyle w:val="SectionNumber"/>
        </w:rPr>
        <w:t xml:space="preserve">1.12</w:t>
      </w:r>
      <w:r>
        <w:tab/>
      </w:r>
      <w:r>
        <w:t xml:space="preserve">What is verified</w:t>
      </w:r>
    </w:p>
    <w:p>
      <w:pPr>
        <w:pStyle w:val="Compact"/>
        <w:numPr>
          <w:ilvl w:val="0"/>
          <w:numId w:val="1008"/>
        </w:numPr>
      </w:pPr>
      <w:r>
        <w:t xml:space="preserve">Bibliography:</w:t>
      </w:r>
      <w:r>
        <w:t xml:space="preserve"> </w:t>
      </w:r>
      <w:hyperlink r:id="rId63">
        <w:r>
          <w:rPr>
            <w:rStyle w:val="Hyperlink"/>
          </w:rPr>
          <w:t xml:space="preserve">paper/references.bib</w:t>
        </w:r>
      </w:hyperlink>
      <w:r>
        <w:t xml:space="preserve">, currently 12</w:t>
      </w:r>
      <w:r>
        <w:t xml:space="preserve"> </w:t>
      </w:r>
      <w:r>
        <w:t xml:space="preserve">entries validated by</w:t>
      </w:r>
      <w:r>
        <w:t xml:space="preserve"> </w:t>
      </w:r>
      <w:r>
        <w:rPr>
          <w:rStyle w:val="VerbatimChar"/>
        </w:rPr>
        <w:t xml:space="preserve">bibtest</w:t>
      </w:r>
      <w:r>
        <w:t xml:space="preserve">. Expansion pending scout return.</w:t>
      </w:r>
    </w:p>
    <w:p>
      <w:pPr>
        <w:pStyle w:val="Compact"/>
        <w:numPr>
          <w:ilvl w:val="0"/>
          <w:numId w:val="1008"/>
        </w:numPr>
      </w:pPr>
      <w:r>
        <w:t xml:space="preserve">Numbers audit: 50 / 50 claims in the previous 2-trace skeleton</w:t>
      </w:r>
      <w:r>
        <w:t xml:space="preserve"> </w:t>
      </w:r>
      <w:r>
        <w:t xml:space="preserve">match the underlying JSON stats. Re-running after 4-trace and</w:t>
      </w:r>
      <w:r>
        <w:t xml:space="preserve"> </w:t>
      </w:r>
      <w:r>
        <w:t xml:space="preserve">boundary-condition additions.</w:t>
      </w:r>
    </w:p>
    <w:bookmarkStart w:id="125" w:name="refs"/>
    <w:bookmarkStart w:id="64" w:name="ref-agrawal1994fast"/>
    <w:p>
      <w:pPr>
        <w:pStyle w:val="Bibliography"/>
      </w:pPr>
      <w:r>
        <w:t xml:space="preserve">Agrawal, Rakesh, and Ramakrishnan Srikant. 1994.</w:t>
      </w:r>
      <w:r>
        <w:t xml:space="preserve"> </w:t>
      </w:r>
      <w:r>
        <w:t xml:space="preserve">“Fast Algorithms for Mining Association Rules in Large Databases.”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20th International Conference on Very Large Data Bases (VLDB)</w:t>
      </w:r>
      <w:r>
        <w:t xml:space="preserve">, 487–99.</w:t>
      </w:r>
    </w:p>
    <w:bookmarkEnd w:id="64"/>
    <w:bookmarkStart w:id="66" w:name="ref-alibaba2018repo"/>
    <w:p>
      <w:pPr>
        <w:pStyle w:val="Bibliography"/>
      </w:pPr>
      <w:r>
        <w:t xml:space="preserve">Alibaba. 2018.</w:t>
      </w:r>
      <w:r>
        <w:t xml:space="preserve"> </w:t>
      </w:r>
      <w:r>
        <w:t xml:space="preserve">“</w:t>
      </w:r>
      <w:r>
        <w:t xml:space="preserve">Alibaba cluster-trace-v2018</w:t>
      </w:r>
      <w:r>
        <w:t xml:space="preserve">.”</w:t>
      </w:r>
      <w:r>
        <w:t xml:space="preserve"> </w:t>
      </w:r>
      <w:hyperlink r:id="rId65">
        <w:r>
          <w:rPr>
            <w:rStyle w:val="Hyperlink"/>
          </w:rPr>
          <w:t xml:space="preserve">https://github.com/alibaba/clusterdata</w:t>
        </w:r>
      </w:hyperlink>
      <w:r>
        <w:t xml:space="preserve">.</w:t>
      </w:r>
    </w:p>
    <w:bookmarkEnd w:id="66"/>
    <w:bookmarkStart w:id="6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6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68"/>
    <w:bookmarkStart w:id="70" w:name="ref-cheng2018characterizing"/>
    <w:p>
      <w:pPr>
        <w:pStyle w:val="Bibliography"/>
      </w:pPr>
      <w:r>
        <w:t xml:space="preserve">Cheng, Yue, Zheng Chai, and Ali Anwar. 2018.</w:t>
      </w:r>
      <w:r>
        <w:t xml:space="preserve"> </w:t>
      </w:r>
      <w:r>
        <w:t xml:space="preserve">“Characterizing Co-Located Datacenter Workloads: An Alibaba Case Study.”</w:t>
      </w:r>
      <w:r>
        <w:t xml:space="preserve"> </w:t>
      </w:r>
      <w:r>
        <w:t xml:space="preserve">arXiv.</w:t>
      </w:r>
      <w:r>
        <w:t xml:space="preserve"> </w:t>
      </w:r>
      <w:hyperlink r:id="rId69">
        <w:r>
          <w:rPr>
            <w:rStyle w:val="Hyperlink"/>
          </w:rPr>
          <w:t xml:space="preserve">https://arxiv.org/abs/1808.02919</w:t>
        </w:r>
      </w:hyperlink>
      <w:r>
        <w:t xml:space="preserve">.</w:t>
      </w:r>
    </w:p>
    <w:bookmarkEnd w:id="70"/>
    <w:bookmarkStart w:id="72" w:name="ref-costa2016ida"/>
    <w:p>
      <w:pPr>
        <w:pStyle w:val="Bibliography"/>
      </w:pPr>
      <w:r>
        <w:t xml:space="preserve">Costa, Camila Ferreira, and Mario A. Nascimento. 2016.</w:t>
      </w:r>
      <w:r>
        <w:t xml:space="preserve"> </w:t>
      </w:r>
      <w:r>
        <w:t xml:space="preserve">“</w:t>
      </w:r>
      <w:r>
        <w:t xml:space="preserve">IDA</w:t>
      </w:r>
      <w:r>
        <w:t xml:space="preserve"> </w:t>
      </w:r>
      <w:r>
        <w:t xml:space="preserve">2016 Industrial Challenge: Using Machine Learning for Predicting Failures.”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Intelligent Data Analysis XV (IDA 2016)</w:t>
      </w:r>
      <w:r>
        <w:t xml:space="preserve">, 9897:381–86. Lecture Notes in Computer Science. Springer.</w:t>
      </w:r>
      <w:r>
        <w:t xml:space="preserve"> </w:t>
      </w:r>
      <w:hyperlink r:id="rId71">
        <w:r>
          <w:rPr>
            <w:rStyle w:val="Hyperlink"/>
          </w:rPr>
          <w:t xml:space="preserve">https://doi.org/10.1007/978-3-319-46349-0_33</w:t>
        </w:r>
      </w:hyperlink>
      <w:r>
        <w:t xml:space="preserve">.</w:t>
      </w:r>
    </w:p>
    <w:bookmarkEnd w:id="72"/>
    <w:bookmarkStart w:id="74" w:name="ref-du2017deeplog"/>
    <w:p>
      <w:pPr>
        <w:pStyle w:val="Bibliography"/>
      </w:pPr>
      <w:r>
        <w:t xml:space="preserve">Du, Min, Feifei Li, Guineng Zheng, and Vivek Srikumar. 2017.</w:t>
      </w:r>
      <w:r>
        <w:t xml:space="preserve"> </w:t>
      </w:r>
      <w:r>
        <w:t xml:space="preserve">“</w:t>
      </w:r>
      <w:r>
        <w:t xml:space="preserve">DeepLog</w:t>
      </w:r>
      <w:r>
        <w:t xml:space="preserve">: Anomaly Detection and Diagnosis from System Logs Through Deep Learning.”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2017 ACM SIGSAC Conference on Computer and Communications Security (CCS)</w:t>
      </w:r>
      <w:r>
        <w:t xml:space="preserve">, 1285–98.</w:t>
      </w:r>
      <w:r>
        <w:t xml:space="preserve"> </w:t>
      </w:r>
      <w:hyperlink r:id="rId73">
        <w:r>
          <w:rPr>
            <w:rStyle w:val="Hyperlink"/>
          </w:rPr>
          <w:t xml:space="preserve">https://doi.org/10.1145/3133956.3134015</w:t>
        </w:r>
      </w:hyperlink>
      <w:r>
        <w:t xml:space="preserve">.</w:t>
      </w:r>
    </w:p>
    <w:bookmarkEnd w:id="74"/>
    <w:bookmarkStart w:id="76" w:name="ref-fournierviger2022patternmining"/>
    <w:p>
      <w:pPr>
        <w:pStyle w:val="Bibliography"/>
      </w:pPr>
      <w:r>
        <w:t xml:space="preserve">Fournier-Viger, Philippe, Wensheng Gan, Youxi Wu, Mourad Nouioua, Wei Song, Tin Truong, and Hai Duong. 2022.</w:t>
      </w:r>
      <w:r>
        <w:t xml:space="preserve"> </w:t>
      </w:r>
      <w:r>
        <w:t xml:space="preserve">“Pattern Mining: Current Challenges and Opportunities.”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Database Systems for Advanced Applications (DASFAA 2022) International Workshops</w:t>
      </w:r>
      <w:r>
        <w:t xml:space="preserve">, 13248:34–49. Lecture Notes in Computer Science. Springer.</w:t>
      </w:r>
      <w:r>
        <w:t xml:space="preserve"> </w:t>
      </w:r>
      <w:hyperlink r:id="rId75">
        <w:r>
          <w:rPr>
            <w:rStyle w:val="Hyperlink"/>
          </w:rPr>
          <w:t xml:space="preserve">https://doi.org/10.1007/978-3-031-11217-1_3</w:t>
        </w:r>
      </w:hyperlink>
      <w:r>
        <w:t xml:space="preserve">.</w:t>
      </w:r>
    </w:p>
    <w:bookmarkEnd w:id="76"/>
    <w:bookmarkStart w:id="78" w:name="ref-fournierviger2014cmspade"/>
    <w:p>
      <w:pPr>
        <w:pStyle w:val="Bibliography"/>
      </w:pPr>
      <w:r>
        <w:t xml:space="preserve">Fournier-Viger, Philippe, Antonio Gomariz, Manuel Campos, and Rincy Thomas. 2014.</w:t>
      </w:r>
      <w:r>
        <w:t xml:space="preserve"> </w:t>
      </w:r>
      <w:r>
        <w:t xml:space="preserve">“Fast Vertical Mining of Sequential Patterns Using Co-Occurrence Information.”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Knowledge Discovery and Data Mining (PAKDD 2014)</w:t>
      </w:r>
      <w:r>
        <w:t xml:space="preserve">, 8443:40–52. Lecture Notes in Computer Science. Springer.</w:t>
      </w:r>
      <w:r>
        <w:t xml:space="preserve"> </w:t>
      </w:r>
      <w:hyperlink r:id="rId77">
        <w:r>
          <w:rPr>
            <w:rStyle w:val="Hyperlink"/>
          </w:rPr>
          <w:t xml:space="preserve">https://doi.org/10.1007/978-3-319-06608-0_4</w:t>
        </w:r>
      </w:hyperlink>
      <w:r>
        <w:t xml:space="preserve">.</w:t>
      </w:r>
    </w:p>
    <w:bookmarkEnd w:id="78"/>
    <w:bookmarkStart w:id="80" w:name="ref-fournier2016spmf"/>
    <w:p>
      <w:pPr>
        <w:pStyle w:val="Bibliography"/>
      </w:pPr>
      <w:r>
        <w:t xml:space="preserve">Fournier-Viger, Philippe, Jerry Chun-Wei Lin, Antonio Gomariz, Ted Gueniche, Azadeh Soltani, Zhihong Deng, and Hoang Thanh Lam. 2016.</w:t>
      </w:r>
      <w:r>
        <w:t xml:space="preserve"> </w:t>
      </w:r>
      <w:r>
        <w:t xml:space="preserve">“The</w:t>
      </w:r>
      <w:r>
        <w:t xml:space="preserve"> </w:t>
      </w:r>
      <w:r>
        <w:t xml:space="preserve">SPMF</w:t>
      </w:r>
      <w:r>
        <w:t xml:space="preserve"> </w:t>
      </w:r>
      <w:r>
        <w:t xml:space="preserve">Open-Source Data Mining Library Version 2.”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Joint European Conference on Machine Learning and Knowledge Discovery in Databases (ECML PKDD)</w:t>
      </w:r>
      <w:r>
        <w:t xml:space="preserve">, 36–40.</w:t>
      </w:r>
      <w:r>
        <w:t xml:space="preserve"> </w:t>
      </w:r>
      <w:hyperlink r:id="rId79">
        <w:r>
          <w:rPr>
            <w:rStyle w:val="Hyperlink"/>
          </w:rPr>
          <w:t xml:space="preserve">https://doi.org/10.1007/978-3-319-46131-1_8</w:t>
        </w:r>
      </w:hyperlink>
      <w:r>
        <w:t xml:space="preserve">.</w:t>
      </w:r>
    </w:p>
    <w:bookmarkEnd w:id="80"/>
    <w:bookmarkStart w:id="82" w:name="ref-fournierviger2014vmsp"/>
    <w:p>
      <w:pPr>
        <w:pStyle w:val="Bibliography"/>
      </w:pPr>
      <w:r>
        <w:t xml:space="preserve">Fournier-Viger, Philippe, Cheng-Wei Wu, Antonio Gomariz, and Vincent S. Tseng. 2014.</w:t>
      </w:r>
      <w:r>
        <w:t xml:space="preserve"> </w:t>
      </w:r>
      <w:r>
        <w:t xml:space="preserve">“</w:t>
      </w:r>
      <w:r>
        <w:t xml:space="preserve">VMSP</w:t>
      </w:r>
      <w:r>
        <w:t xml:space="preserve">: Efficient Vertical Mining of Maximal Sequential Patterns.”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Artificial Intelligence (Canadian AI 2014)</w:t>
      </w:r>
      <w:r>
        <w:t xml:space="preserve">, 8436:83–94. Lecture Notes in Computer Science. Springer.</w:t>
      </w:r>
      <w:r>
        <w:t xml:space="preserve"> </w:t>
      </w:r>
      <w:hyperlink r:id="rId81">
        <w:r>
          <w:rPr>
            <w:rStyle w:val="Hyperlink"/>
          </w:rPr>
          <w:t xml:space="preserve">https://doi.org/10.1007/978-3-319-06483-3_8</w:t>
        </w:r>
      </w:hyperlink>
      <w:r>
        <w:t xml:space="preserve">.</w:t>
      </w:r>
    </w:p>
    <w:bookmarkEnd w:id="82"/>
    <w:bookmarkStart w:id="84" w:name="ref-guo2021logbert"/>
    <w:p>
      <w:pPr>
        <w:pStyle w:val="Bibliography"/>
      </w:pPr>
      <w:r>
        <w:t xml:space="preserve">Guo, Haixuan, Shuhan Yuan, and Xintao Wu. 2021.</w:t>
      </w:r>
      <w:r>
        <w:t xml:space="preserve"> </w:t>
      </w:r>
      <w:r>
        <w:t xml:space="preserve">“</w:t>
      </w:r>
      <w:r>
        <w:t xml:space="preserve">LogBERT</w:t>
      </w:r>
      <w:r>
        <w:t xml:space="preserve">: Log Anomaly Detection via</w:t>
      </w:r>
      <w:r>
        <w:t xml:space="preserve"> </w:t>
      </w:r>
      <w:r>
        <w:t xml:space="preserve">BERT</w:t>
      </w:r>
      <w:r>
        <w:t xml:space="preserve">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2021 International Joint Conference on Neural Networks (IJCNN)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https://doi.org/10.1109/IJCNN52387.2021.9534113</w:t>
        </w:r>
      </w:hyperlink>
      <w:r>
        <w:t xml:space="preserve">.</w:t>
      </w:r>
    </w:p>
    <w:bookmarkEnd w:id="84"/>
    <w:bookmarkStart w:id="86" w:name="ref-guo2024logformer"/>
    <w:p>
      <w:pPr>
        <w:pStyle w:val="Bibliography"/>
      </w:pPr>
      <w:r>
        <w:t xml:space="preserve">Guo, Hongcheng, Jian Yang, Jiaheng Liu, Jiaqi Bai, Boyang Wang, Zhoujun Li, Tieqiao Zheng, Bo Zhang, Junran Peng, and Qi Tian. 2024.</w:t>
      </w:r>
      <w:r>
        <w:t xml:space="preserve"> </w:t>
      </w:r>
      <w:r>
        <w:t xml:space="preserve">“</w:t>
      </w:r>
      <w:r>
        <w:t xml:space="preserve">LogFormer</w:t>
      </w:r>
      <w:r>
        <w:t xml:space="preserve">: A Pre-Train and Tuning Pipeline for Log Anomaly Detection.”</w:t>
      </w:r>
      <w:r>
        <w:t xml:space="preserve"> </w:t>
      </w:r>
      <w:r>
        <w:t xml:space="preserve">arXiv.</w:t>
      </w:r>
      <w:r>
        <w:t xml:space="preserve"> </w:t>
      </w:r>
      <w:hyperlink r:id="rId85">
        <w:r>
          <w:rPr>
            <w:rStyle w:val="Hyperlink"/>
          </w:rPr>
          <w:t xml:space="preserve">https://arxiv.org/abs/2401.04749</w:t>
        </w:r>
      </w:hyperlink>
      <w:r>
        <w:t xml:space="preserve">.</w:t>
      </w:r>
    </w:p>
    <w:bookmarkEnd w:id="86"/>
    <w:bookmarkStart w:id="88" w:name="ref-han2000mining"/>
    <w:p>
      <w:pPr>
        <w:pStyle w:val="Bibliography"/>
      </w:pPr>
      <w:r>
        <w:t xml:space="preserve">Han, Jiawei, Jian Pei, and Yiwen Yin. 2000.</w:t>
      </w:r>
      <w:r>
        <w:t xml:space="preserve"> </w:t>
      </w:r>
      <w:r>
        <w:t xml:space="preserve">“Mining Frequent Patterns Without Candidate Generation.”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2000 ACM SIGMOD International Conference on Management of Data</w:t>
      </w:r>
      <w:r>
        <w:t xml:space="preserve">, 1–12.</w:t>
      </w:r>
      <w:r>
        <w:t xml:space="preserve"> </w:t>
      </w:r>
      <w:hyperlink r:id="rId87">
        <w:r>
          <w:rPr>
            <w:rStyle w:val="Hyperlink"/>
          </w:rPr>
          <w:t xml:space="preserve">https://doi.org/10.1145/342009.335372</w:t>
        </w:r>
      </w:hyperlink>
      <w:r>
        <w:t xml:space="preserve">.</w:t>
      </w:r>
    </w:p>
    <w:bookmarkEnd w:id="88"/>
    <w:bookmarkStart w:id="90" w:name="ref-ifraz2024sequential"/>
    <w:p>
      <w:pPr>
        <w:pStyle w:val="Bibliography"/>
      </w:pPr>
      <w:r>
        <w:t xml:space="preserve">İfraz, Metin, and Süleyman Ersöz. 2024.</w:t>
      </w:r>
      <w:r>
        <w:t xml:space="preserve"> </w:t>
      </w:r>
      <w:r>
        <w:t xml:space="preserve">“Sequential Predictive Maintenance and Spare Parts Management with Data Mining Methods: A Case Study in Bus Fleet.”</w:t>
      </w:r>
      <w:r>
        <w:t xml:space="preserve"> </w:t>
      </w:r>
      <w:r>
        <w:rPr>
          <w:i/>
          <w:iCs/>
        </w:rPr>
        <w:t xml:space="preserve">The Journal of Supercomputing</w:t>
      </w:r>
      <w:r>
        <w:t xml:space="preserve">.</w:t>
      </w:r>
      <w:r>
        <w:t xml:space="preserve"> </w:t>
      </w:r>
      <w:hyperlink r:id="rId89">
        <w:r>
          <w:rPr>
            <w:rStyle w:val="Hyperlink"/>
          </w:rPr>
          <w:t xml:space="preserve">https://doi.org/10.1007/s11227-024-06297-1</w:t>
        </w:r>
      </w:hyperlink>
      <w:r>
        <w:t xml:space="preserve">.</w:t>
      </w:r>
    </w:p>
    <w:bookmarkEnd w:id="90"/>
    <w:bookmarkStart w:id="92" w:name="ref-kharazian2025scania"/>
    <w:p>
      <w:pPr>
        <w:pStyle w:val="Bibliography"/>
      </w:pPr>
      <w:r>
        <w:t xml:space="preserve">Kharazian, Zahra, Tony Lindgren, Sindri Magnússon, Olof Steinert, and Reza Asadi Khoshkangini. 2025.</w:t>
      </w:r>
      <w:r>
        <w:t xml:space="preserve"> </w:t>
      </w:r>
      <w:r>
        <w:t xml:space="preserve">“</w:t>
      </w:r>
      <w:r>
        <w:t xml:space="preserve">SCANIA</w:t>
      </w:r>
      <w:r>
        <w:t xml:space="preserve"> </w:t>
      </w:r>
      <w:r>
        <w:t xml:space="preserve">Component X</w:t>
      </w:r>
      <w:r>
        <w:t xml:space="preserve"> </w:t>
      </w:r>
      <w:r>
        <w:t xml:space="preserve">Dataset: A Real-World Multivariate Time Series Dataset for Predictive Maintenance.”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12: 493.</w:t>
      </w:r>
      <w:r>
        <w:t xml:space="preserve"> </w:t>
      </w:r>
      <w:hyperlink r:id="rId91">
        <w:r>
          <w:rPr>
            <w:rStyle w:val="Hyperlink"/>
          </w:rPr>
          <w:t xml:space="preserve">https://doi.org/10.1038/s41597-025-04802-6</w:t>
        </w:r>
      </w:hyperlink>
      <w:r>
        <w:t xml:space="preserve">.</w:t>
      </w:r>
    </w:p>
    <w:bookmarkEnd w:id="92"/>
    <w:bookmarkStart w:id="94" w:name="ref-alibaba2018trace"/>
    <w:p>
      <w:pPr>
        <w:pStyle w:val="Bibliography"/>
      </w:pPr>
      <w:r>
        <w:t xml:space="preserve">Lu, Chengzhi, Kejiang Ye, Guoyao Xu, Cheng-Zhong Xu, and Tongxin Bai. 2017.</w:t>
      </w:r>
      <w:r>
        <w:t xml:space="preserve"> </w:t>
      </w:r>
      <w:r>
        <w:t xml:space="preserve">“Imbalance in the Cloud: An Analysis on Alibaba Cluster Trace.”</w:t>
      </w:r>
      <w:r>
        <w:t xml:space="preserve"> </w:t>
      </w:r>
      <w:r>
        <w:rPr>
          <w:i/>
          <w:iCs/>
        </w:rPr>
        <w:t xml:space="preserve">2017 IEEE International Conference on Big Data (Big Data)</w:t>
      </w:r>
      <w:r>
        <w:t xml:space="preserve">, 2884–92.</w:t>
      </w:r>
      <w:r>
        <w:t xml:space="preserve"> </w:t>
      </w:r>
      <w:hyperlink r:id="rId93">
        <w:r>
          <w:rPr>
            <w:rStyle w:val="Hyperlink"/>
          </w:rPr>
          <w:t xml:space="preserve">https://doi.org/10.1109/BigData.2017.8258257</w:t>
        </w:r>
      </w:hyperlink>
      <w:r>
        <w:t xml:space="preserve">.</w:t>
      </w:r>
    </w:p>
    <w:bookmarkEnd w:id="94"/>
    <w:bookmarkStart w:id="96" w:name="ref-luo2021alibaba"/>
    <w:p>
      <w:pPr>
        <w:pStyle w:val="Bibliography"/>
      </w:pPr>
      <w:r>
        <w:t xml:space="preserve">Luo, Shutian, Huanle Xu, Chengzhi Lu, Kejiang Ye, Guoyao Xu, Liping Zhang, Yu Ding, Jian He, and Chengzhong Xu. 2021.</w:t>
      </w:r>
      <w:r>
        <w:t xml:space="preserve"> </w:t>
      </w:r>
      <w:r>
        <w:t xml:space="preserve">“Characterizing Microservice Dependency and Performance:</w:t>
      </w:r>
      <w:r>
        <w:t xml:space="preserve"> </w:t>
      </w:r>
      <w:r>
        <w:t xml:space="preserve">Alibaba</w:t>
      </w:r>
      <w:r>
        <w:t xml:space="preserve"> </w:t>
      </w:r>
      <w:r>
        <w:t xml:space="preserve">Trace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ACM Symposium on Cloud Computing (SoCC)</w:t>
      </w:r>
      <w:r>
        <w:t xml:space="preserve">, 412–26.</w:t>
      </w:r>
      <w:r>
        <w:t xml:space="preserve"> </w:t>
      </w:r>
      <w:hyperlink r:id="rId95">
        <w:r>
          <w:rPr>
            <w:rStyle w:val="Hyperlink"/>
          </w:rPr>
          <w:t xml:space="preserve">https://doi.org/10.1145/3472883.3487003</w:t>
        </w:r>
      </w:hyperlink>
      <w:r>
        <w:t xml:space="preserve">.</w:t>
      </w:r>
    </w:p>
    <w:bookmarkEnd w:id="96"/>
    <w:bookmarkStart w:id="98" w:name="ref-meng2019loganomaly"/>
    <w:p>
      <w:pPr>
        <w:pStyle w:val="Bibliography"/>
      </w:pPr>
      <w:r>
        <w:t xml:space="preserve">Meng, Weibin, Ying Liu, Yichen Zhu, Shenglin Zhang, Dan Pei, Yuqing Liu, Yihao Chen, et al. 2019.</w:t>
      </w:r>
      <w:r>
        <w:t xml:space="preserve"> </w:t>
      </w:r>
      <w:r>
        <w:t xml:space="preserve">“</w:t>
      </w:r>
      <w:r>
        <w:t xml:space="preserve">LogAnomaly</w:t>
      </w:r>
      <w:r>
        <w:t xml:space="preserve">: Unsupervised Detection of Sequential and Quantitative Anomalies in Unstructured Logs.”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28th International Joint Conference on Artificial Intelligence (IJCAI)</w:t>
      </w:r>
      <w:r>
        <w:t xml:space="preserve">, 4739–45.</w:t>
      </w:r>
      <w:r>
        <w:t xml:space="preserve"> </w:t>
      </w:r>
      <w:hyperlink r:id="rId97">
        <w:r>
          <w:rPr>
            <w:rStyle w:val="Hyperlink"/>
          </w:rPr>
          <w:t xml:space="preserve">https://doi.org/10.24963/ijcai.2019/658</w:t>
        </w:r>
      </w:hyperlink>
      <w:r>
        <w:t xml:space="preserve">.</w:t>
      </w:r>
    </w:p>
    <w:bookmarkEnd w:id="98"/>
    <w:bookmarkStart w:id="100" w:name="ref-azurepdm"/>
    <w:p>
      <w:pPr>
        <w:pStyle w:val="Bibliography"/>
      </w:pPr>
      <w:r>
        <w:t xml:space="preserve">Microsoft. 2016.</w:t>
      </w:r>
      <w:r>
        <w:t xml:space="preserve"> </w:t>
      </w:r>
      <w:r>
        <w:t xml:space="preserve">“</w:t>
      </w:r>
      <w:r>
        <w:t xml:space="preserve">Azure AI Gallery Predictive Maintenance Sample</w:t>
      </w:r>
      <w:r>
        <w:t xml:space="preserve">.”</w:t>
      </w:r>
      <w:r>
        <w:t xml:space="preserve"> </w:t>
      </w:r>
      <w:r>
        <w:t xml:space="preserve">Kaggle mirror</w:t>
      </w:r>
      <w:r>
        <w:t xml:space="preserve"> </w:t>
      </w:r>
      <w:hyperlink r:id="rId99">
        <w:r>
          <w:rPr>
            <w:rStyle w:val="Hyperlink"/>
          </w:rPr>
          <w:t xml:space="preserve">https://www.kaggle.com/datasets/arnabbiswas1/microsoft-azure-predictive-maintenance</w:t>
        </w:r>
      </w:hyperlink>
      <w:r>
        <w:t xml:space="preserve">.</w:t>
      </w:r>
    </w:p>
    <w:bookmarkEnd w:id="100"/>
    <w:bookmarkStart w:id="102" w:name="ref-oliner2007supercomputers"/>
    <w:p>
      <w:pPr>
        <w:pStyle w:val="Bibliography"/>
      </w:pPr>
      <w:r>
        <w:t xml:space="preserve">Oliner, Adam, and Jon Stearley. 2007.</w:t>
      </w:r>
      <w:r>
        <w:t xml:space="preserve"> </w:t>
      </w:r>
      <w:r>
        <w:t xml:space="preserve">“What Supercomputers Say: A Study of Five System Logs.”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37th Annual IEEE/IFIP International Conference on Dependable Systems and Networks (DSN)</w:t>
      </w:r>
      <w:r>
        <w:t xml:space="preserve">, 575–84.</w:t>
      </w:r>
      <w:r>
        <w:t xml:space="preserve"> </w:t>
      </w:r>
      <w:hyperlink r:id="rId101">
        <w:r>
          <w:rPr>
            <w:rStyle w:val="Hyperlink"/>
          </w:rPr>
          <w:t xml:space="preserve">https://doi.org/10.1109/DSN.2007.103</w:t>
        </w:r>
      </w:hyperlink>
      <w:r>
        <w:t xml:space="preserve">.</w:t>
      </w:r>
    </w:p>
    <w:bookmarkEnd w:id="102"/>
    <w:bookmarkStart w:id="104" w:name="ref-pei2001prefixspan"/>
    <w:p>
      <w:pPr>
        <w:pStyle w:val="Bibliography"/>
      </w:pPr>
      <w:r>
        <w:t xml:space="preserve">Pei, Jian, Jiawei Han, Behzad Mortazavi-Asl, Helen Pinto, Qiming Chen, Umeshwar Dayal, and Mei-Chun Hsu. 2001.</w:t>
      </w:r>
      <w:r>
        <w:t xml:space="preserve"> </w:t>
      </w:r>
      <w:r>
        <w:t xml:space="preserve">“</w:t>
      </w:r>
      <w:r>
        <w:t xml:space="preserve">PrefixSpan</w:t>
      </w:r>
      <w:r>
        <w:t xml:space="preserve">: Mining Sequential Patterns Efficiently by Prefix-Projected Pattern Growth.”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17th International Conference on Data Engineering (ICDE)</w:t>
      </w:r>
      <w:r>
        <w:t xml:space="preserve">, 215–24.</w:t>
      </w:r>
      <w:r>
        <w:t xml:space="preserve"> </w:t>
      </w:r>
      <w:hyperlink r:id="rId103">
        <w:r>
          <w:rPr>
            <w:rStyle w:val="Hyperlink"/>
          </w:rPr>
          <w:t xml:space="preserve">https://doi.org/10.1109/ICDE.2001.914830</w:t>
        </w:r>
      </w:hyperlink>
      <w:r>
        <w:t xml:space="preserve">.</w:t>
      </w:r>
    </w:p>
    <w:bookmarkEnd w:id="104"/>
    <w:bookmarkStart w:id="106" w:name="ref-raschka2018mlxtend"/>
    <w:p>
      <w:pPr>
        <w:pStyle w:val="Bibliography"/>
      </w:pPr>
      <w:r>
        <w:t xml:space="preserve">Raschka, Sebastian. 2018.</w:t>
      </w:r>
      <w:r>
        <w:t xml:space="preserve"> </w:t>
      </w:r>
      <w:r>
        <w:t xml:space="preserve">“</w:t>
      </w:r>
      <w:r>
        <w:t xml:space="preserve">MLxtend</w:t>
      </w:r>
      <w:r>
        <w:t xml:space="preserve">: Providing Machine Learning and Data Science Utilities and Extensions to Python Scientific Computing Stack.”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 </w:t>
      </w:r>
      <w:r>
        <w:t xml:space="preserve">3 (24): 638.</w:t>
      </w:r>
      <w:r>
        <w:t xml:space="preserve"> </w:t>
      </w:r>
      <w:hyperlink r:id="rId105">
        <w:r>
          <w:rPr>
            <w:rStyle w:val="Hyperlink"/>
          </w:rPr>
          <w:t xml:space="preserve">https://doi.org/10.21105/joss.00638</w:t>
        </w:r>
      </w:hyperlink>
      <w:r>
        <w:t xml:space="preserve">.</w:t>
      </w:r>
    </w:p>
    <w:bookmarkEnd w:id="106"/>
    <w:bookmarkStart w:id="108" w:name="ref-ren2020failure"/>
    <w:p>
      <w:pPr>
        <w:pStyle w:val="Bibliography"/>
      </w:pPr>
      <w:r>
        <w:t xml:space="preserve">Ren, Rui, Jinheng Li, Yan Yin, and Shuai Tian. 2021.</w:t>
      </w:r>
      <w:r>
        <w:t xml:space="preserve"> </w:t>
      </w:r>
      <w:r>
        <w:t xml:space="preserve">“Failure Prediction for Large-Scale Clusters Logs via Mining Frequent Patterns.”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Future of Information and Communication Conference (FICC)</w:t>
      </w:r>
      <w:r>
        <w:t xml:space="preserve">. Vol. 1385. Communications in Computer and Information Science. Springer.</w:t>
      </w:r>
      <w:r>
        <w:t xml:space="preserve"> </w:t>
      </w:r>
      <w:hyperlink r:id="rId107">
        <w:r>
          <w:rPr>
            <w:rStyle w:val="Hyperlink"/>
          </w:rPr>
          <w:t xml:space="preserve">https://doi.org/10.1007/978-981-16-1160-5_13</w:t>
        </w:r>
      </w:hyperlink>
      <w:r>
        <w:t xml:space="preserve">.</w:t>
      </w:r>
    </w:p>
    <w:bookmarkEnd w:id="108"/>
    <w:bookmarkStart w:id="110" w:name="ref-saxena2008cmapss"/>
    <w:p>
      <w:pPr>
        <w:pStyle w:val="Bibliography"/>
      </w:pPr>
      <w:r>
        <w:t xml:space="preserve">Saxena, Abhinav, Kai Goebel, Don Simon, and Neil Eklund. 2008.</w:t>
      </w:r>
      <w:r>
        <w:t xml:space="preserve"> </w:t>
      </w:r>
      <w:r>
        <w:t xml:space="preserve">“Damage Propagation Modeling for Aircraft Engine Run-to-Failure Simulation.”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2008 International Conference on Prognostics and Health Management (PHM)</w:t>
      </w:r>
      <w:r>
        <w:t xml:space="preserve">.</w:t>
      </w:r>
      <w:r>
        <w:t xml:space="preserve"> </w:t>
      </w:r>
      <w:hyperlink r:id="rId109">
        <w:r>
          <w:rPr>
            <w:rStyle w:val="Hyperlink"/>
          </w:rPr>
          <w:t xml:space="preserve">https://doi.org/10.1109/PHM.2008.4711414</w:t>
        </w:r>
      </w:hyperlink>
      <w:r>
        <w:t xml:space="preserve">.</w:t>
      </w:r>
    </w:p>
    <w:bookmarkEnd w:id="110"/>
    <w:bookmarkStart w:id="112" w:name="ref-serradilla2022pdmsurvey"/>
    <w:p>
      <w:pPr>
        <w:pStyle w:val="Bibliography"/>
      </w:pPr>
      <w:r>
        <w:t xml:space="preserve">Serradilla, Oscar, Ekhi Zugasti, Jon Rodriguez, and Urko Zurutuza. 2022.</w:t>
      </w:r>
      <w:r>
        <w:t xml:space="preserve"> </w:t>
      </w:r>
      <w:r>
        <w:t xml:space="preserve">“Deep Learning Models for Predictive Maintenance: A Survey, Comparison, Challenges and Prospects.”</w:t>
      </w:r>
      <w:r>
        <w:t xml:space="preserve"> </w:t>
      </w:r>
      <w:r>
        <w:rPr>
          <w:i/>
          <w:iCs/>
        </w:rPr>
        <w:t xml:space="preserve">Applied Intelligence</w:t>
      </w:r>
      <w:r>
        <w:t xml:space="preserve"> </w:t>
      </w:r>
      <w:r>
        <w:t xml:space="preserve">52 (10): 10934–64.</w:t>
      </w:r>
      <w:r>
        <w:t xml:space="preserve"> </w:t>
      </w:r>
      <w:hyperlink r:id="rId111">
        <w:r>
          <w:rPr>
            <w:rStyle w:val="Hyperlink"/>
          </w:rPr>
          <w:t xml:space="preserve">https://doi.org/10.1007/s10489-021-03004-y</w:t>
        </w:r>
      </w:hyperlink>
      <w:r>
        <w:t xml:space="preserve">.</w:t>
      </w:r>
    </w:p>
    <w:bookmarkEnd w:id="112"/>
    <w:bookmarkStart w:id="114" w:name="ref-srikant1996gsp"/>
    <w:p>
      <w:pPr>
        <w:pStyle w:val="Bibliography"/>
      </w:pPr>
      <w:r>
        <w:t xml:space="preserve">Srikant, Ramakrishnan, and Rakesh Agrawal. 1996.</w:t>
      </w:r>
      <w:r>
        <w:t xml:space="preserve"> </w:t>
      </w:r>
      <w:r>
        <w:t xml:space="preserve">“Mining Sequential Patterns: Generalizations and Performance Improvements.”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Database Technology — EDBT 1996</w:t>
      </w:r>
      <w:r>
        <w:t xml:space="preserve">, 1057:1–17. Lecture Notes in Computer Science.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https://doi.org/10.1007/BFb0014140</w:t>
        </w:r>
      </w:hyperlink>
      <w:r>
        <w:t xml:space="preserve">.</w:t>
      </w:r>
    </w:p>
    <w:bookmarkEnd w:id="114"/>
    <w:bookmarkStart w:id="116" w:name="ref-yang2021plelog"/>
    <w:p>
      <w:pPr>
        <w:pStyle w:val="Bibliography"/>
      </w:pPr>
      <w:r>
        <w:t xml:space="preserve">Yang, Lin, Junjie Chen, Zan Wang, Weijing Wang, Jiajun Jiang, Xuyuan Dong, and Wenbin Zhang. 2021.</w:t>
      </w:r>
      <w:r>
        <w:t xml:space="preserve"> </w:t>
      </w:r>
      <w:r>
        <w:t xml:space="preserve">“Semi-Supervised Log-Based Anomaly Detection via Probabilistic Label Estimation.”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43rd International Conference on Software Engineering (ICSE)</w:t>
      </w:r>
      <w:r>
        <w:t xml:space="preserve">, 1448–60.</w:t>
      </w:r>
      <w:r>
        <w:t xml:space="preserve"> </w:t>
      </w:r>
      <w:hyperlink r:id="rId115">
        <w:r>
          <w:rPr>
            <w:rStyle w:val="Hyperlink"/>
          </w:rPr>
          <w:t xml:space="preserve">https://doi.org/10.1109/ICSE43902.2021.00130</w:t>
        </w:r>
      </w:hyperlink>
      <w:r>
        <w:t xml:space="preserve">.</w:t>
      </w:r>
    </w:p>
    <w:bookmarkEnd w:id="116"/>
    <w:bookmarkStart w:id="118" w:name="ref-zaki2001spade"/>
    <w:p>
      <w:pPr>
        <w:pStyle w:val="Bibliography"/>
      </w:pPr>
      <w:r>
        <w:t xml:space="preserve">Zaki, Mohammed J. 2001.</w:t>
      </w:r>
      <w:r>
        <w:t xml:space="preserve"> </w:t>
      </w:r>
      <w:r>
        <w:t xml:space="preserve">“</w:t>
      </w:r>
      <w:r>
        <w:t xml:space="preserve">SPADE</w:t>
      </w:r>
      <w:r>
        <w:t xml:space="preserve">: An Efficient Algorithm for Mining Frequent Sequences.”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42 (1/2): 31–60.</w:t>
      </w:r>
      <w:r>
        <w:t xml:space="preserve"> </w:t>
      </w:r>
      <w:hyperlink r:id="rId117">
        <w:r>
          <w:rPr>
            <w:rStyle w:val="Hyperlink"/>
          </w:rPr>
          <w:t xml:space="preserve">https://doi.org/10.1023/A:1007652502315</w:t>
        </w:r>
      </w:hyperlink>
      <w:r>
        <w:t xml:space="preserve">.</w:t>
      </w:r>
    </w:p>
    <w:bookmarkEnd w:id="118"/>
    <w:bookmarkStart w:id="120" w:name="ref-zhang2019logrobust"/>
    <w:p>
      <w:pPr>
        <w:pStyle w:val="Bibliography"/>
      </w:pPr>
      <w:r>
        <w:t xml:space="preserve">Zhang, Xu, Yong Xu, Qingwei Lin, Bo Qiao, Hongyu Zhang, Yingnong Dang, Chunyu Xie, et al. 2019.</w:t>
      </w:r>
      <w:r>
        <w:t xml:space="preserve"> </w:t>
      </w:r>
      <w:r>
        <w:t xml:space="preserve">“Robust Log-Based Anomaly Detection on Unstable Log Data.”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27th ACM Joint Meeting on European Software Engineering Conference and Symposium on the Foundations of Software Engineering (ESEC/FSE)</w:t>
      </w:r>
      <w:r>
        <w:t xml:space="preserve">, 807–17.</w:t>
      </w:r>
      <w:r>
        <w:t xml:space="preserve"> </w:t>
      </w:r>
      <w:hyperlink r:id="rId119">
        <w:r>
          <w:rPr>
            <w:rStyle w:val="Hyperlink"/>
          </w:rPr>
          <w:t xml:space="preserve">https://doi.org/10.1145/3338906.3338931</w:t>
        </w:r>
      </w:hyperlink>
      <w:r>
        <w:t xml:space="preserve">.</w:t>
      </w:r>
    </w:p>
    <w:bookmarkEnd w:id="120"/>
    <w:bookmarkStart w:id="122" w:name="ref-zhu2023loghub"/>
    <w:p>
      <w:pPr>
        <w:pStyle w:val="Bibliography"/>
      </w:pPr>
      <w:r>
        <w:t xml:space="preserve">Zhu, Jieming, Shilin He, Pinjia He, Jinyang Liu, and Michael R. Lyu. 2023.</w:t>
      </w:r>
      <w:r>
        <w:t xml:space="preserve"> </w:t>
      </w:r>
      <w:r>
        <w:t xml:space="preserve">“Loghub: A Large Collection of System Log Datasets for</w:t>
      </w:r>
      <w:r>
        <w:t xml:space="preserve"> </w:t>
      </w:r>
      <w:r>
        <w:t xml:space="preserve">AI</w:t>
      </w:r>
      <w:r>
        <w:t xml:space="preserve">-Driven Log Analytics.”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2023 IEEE 34th International Symposium on Software Reliability Engineering (ISSRE)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https://doi.org/10.1109/ISSRE59848.2023.00071</w:t>
        </w:r>
      </w:hyperlink>
      <w:r>
        <w:t xml:space="preserve">.</w:t>
      </w:r>
    </w:p>
    <w:bookmarkEnd w:id="122"/>
    <w:bookmarkStart w:id="124" w:name="ref-zhu2019logparsing"/>
    <w:p>
      <w:pPr>
        <w:pStyle w:val="Bibliography"/>
      </w:pPr>
      <w:r>
        <w:t xml:space="preserve">Zhu, Jieming, Shilin He, Jinyang Liu, Pinjia He, Qi Xie, Zibin Zheng, and Michael R. Lyu. 2019.</w:t>
      </w:r>
      <w:r>
        <w:t xml:space="preserve"> </w:t>
      </w:r>
      <w:r>
        <w:t xml:space="preserve">“Tools and Benchmarks for Automated Log Parsing.”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2019 IEEE/ACM 41st International Conference on Software Engineering: Software Engineering in Practice (ICSE-SEIP)</w:t>
      </w:r>
      <w:r>
        <w:t xml:space="preserve">, 121–30.</w:t>
      </w:r>
      <w:r>
        <w:t xml:space="preserve"> </w:t>
      </w:r>
      <w:hyperlink r:id="rId123">
        <w:r>
          <w:rPr>
            <w:rStyle w:val="Hyperlink"/>
          </w:rPr>
          <w:t xml:space="preserve">https://doi.org/10.1109/ICSE-SEIP.2019.00021</w:t>
        </w:r>
      </w:hyperlink>
      <w:r>
        <w:t xml:space="preserve">.</w:t>
      </w:r>
    </w:p>
    <w:bookmarkEnd w:id="124"/>
    <w:bookmarkEnd w:id="125"/>
    <w:bookmarkEnd w:id="126"/>
    <w:bookmarkEnd w:id="1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diagnostics/azure_window_horizon_vs_events.png" TargetMode="External" /><Relationship Type="http://schemas.openxmlformats.org/officeDocument/2006/relationships/hyperlink" Id="rId46" Target="../results/figures/azure_itemset_vs_sequence_lift.png" TargetMode="External" /><Relationship Type="http://schemas.openxmlformats.org/officeDocument/2006/relationships/hyperlink" Id="rId43" Target="../results/figures/azure_sensitivity_min_support.png" TargetMode="External" /><Relationship Type="http://schemas.openxmlformats.org/officeDocument/2006/relationships/hyperlink" Id="rId48" Target="../results/figures/four_dataset_predictive_comparison.png" TargetMode="External" /><Relationship Type="http://schemas.openxmlformats.org/officeDocument/2006/relationships/hyperlink" Id="rId54" Target="../results/tables/" TargetMode="External" /><Relationship Type="http://schemas.openxmlformats.org/officeDocument/2006/relationships/hyperlink" Id="rId69" Target="https://arxiv.org/abs/1808.02919" TargetMode="External" /><Relationship Type="http://schemas.openxmlformats.org/officeDocument/2006/relationships/hyperlink" Id="rId85" Target="https://arxiv.org/abs/2401.04749" TargetMode="External" /><Relationship Type="http://schemas.openxmlformats.org/officeDocument/2006/relationships/hyperlink" Id="rId75" Target="https://doi.org/10.1007/978-3-031-11217-1_3" TargetMode="External" /><Relationship Type="http://schemas.openxmlformats.org/officeDocument/2006/relationships/hyperlink" Id="rId81" Target="https://doi.org/10.1007/978-3-319-06483-3_8" TargetMode="External" /><Relationship Type="http://schemas.openxmlformats.org/officeDocument/2006/relationships/hyperlink" Id="rId77" Target="https://doi.org/10.1007/978-3-319-06608-0_4" TargetMode="External" /><Relationship Type="http://schemas.openxmlformats.org/officeDocument/2006/relationships/hyperlink" Id="rId79" Target="https://doi.org/10.1007/978-3-319-46131-1_8" TargetMode="External" /><Relationship Type="http://schemas.openxmlformats.org/officeDocument/2006/relationships/hyperlink" Id="rId71" Target="https://doi.org/10.1007/978-3-319-46349-0_33" TargetMode="External" /><Relationship Type="http://schemas.openxmlformats.org/officeDocument/2006/relationships/hyperlink" Id="rId107" Target="https://doi.org/10.1007/978-981-16-1160-5_13" TargetMode="External" /><Relationship Type="http://schemas.openxmlformats.org/officeDocument/2006/relationships/hyperlink" Id="rId113" Target="https://doi.org/10.1007/BFb0014140" TargetMode="External" /><Relationship Type="http://schemas.openxmlformats.org/officeDocument/2006/relationships/hyperlink" Id="rId111" Target="https://doi.org/10.1007/s10489-021-03004-y" TargetMode="External" /><Relationship Type="http://schemas.openxmlformats.org/officeDocument/2006/relationships/hyperlink" Id="rId89" Target="https://doi.org/10.1007/s11227-024-06297-1" TargetMode="External" /><Relationship Type="http://schemas.openxmlformats.org/officeDocument/2006/relationships/hyperlink" Id="rId117" Target="https://doi.org/10.1023/A:1007652502315" TargetMode="External" /><Relationship Type="http://schemas.openxmlformats.org/officeDocument/2006/relationships/hyperlink" Id="rId91" Target="https://doi.org/10.1038/s41597-025-04802-6" TargetMode="External" /><Relationship Type="http://schemas.openxmlformats.org/officeDocument/2006/relationships/hyperlink" Id="rId93" Target="https://doi.org/10.1109/BigData.2017.8258257" TargetMode="External" /><Relationship Type="http://schemas.openxmlformats.org/officeDocument/2006/relationships/hyperlink" Id="rId101" Target="https://doi.org/10.1109/DSN.2007.103" TargetMode="External" /><Relationship Type="http://schemas.openxmlformats.org/officeDocument/2006/relationships/hyperlink" Id="rId103" Target="https://doi.org/10.1109/ICDE.2001.914830" TargetMode="External" /><Relationship Type="http://schemas.openxmlformats.org/officeDocument/2006/relationships/hyperlink" Id="rId123" Target="https://doi.org/10.1109/ICSE-SEIP.2019.00021" TargetMode="External" /><Relationship Type="http://schemas.openxmlformats.org/officeDocument/2006/relationships/hyperlink" Id="rId115" Target="https://doi.org/10.1109/ICSE43902.2021.00130" TargetMode="External" /><Relationship Type="http://schemas.openxmlformats.org/officeDocument/2006/relationships/hyperlink" Id="rId83" Target="https://doi.org/10.1109/IJCNN52387.2021.9534113" TargetMode="External" /><Relationship Type="http://schemas.openxmlformats.org/officeDocument/2006/relationships/hyperlink" Id="rId121" Target="https://doi.org/10.1109/ISSRE59848.2023.00071" TargetMode="External" /><Relationship Type="http://schemas.openxmlformats.org/officeDocument/2006/relationships/hyperlink" Id="rId109" Target="https://doi.org/10.1109/PHM.2008.4711414" TargetMode="External" /><Relationship Type="http://schemas.openxmlformats.org/officeDocument/2006/relationships/hyperlink" Id="rId67" Target="https://doi.org/10.1111/j.2517-6161.1995.tb02031.x" TargetMode="External" /><Relationship Type="http://schemas.openxmlformats.org/officeDocument/2006/relationships/hyperlink" Id="rId73" Target="https://doi.org/10.1145/3133956.3134015" TargetMode="External" /><Relationship Type="http://schemas.openxmlformats.org/officeDocument/2006/relationships/hyperlink" Id="rId119" Target="https://doi.org/10.1145/3338906.3338931" TargetMode="External" /><Relationship Type="http://schemas.openxmlformats.org/officeDocument/2006/relationships/hyperlink" Id="rId87" Target="https://doi.org/10.1145/342009.335372" TargetMode="External" /><Relationship Type="http://schemas.openxmlformats.org/officeDocument/2006/relationships/hyperlink" Id="rId95" Target="https://doi.org/10.1145/3472883.3487003" TargetMode="External" /><Relationship Type="http://schemas.openxmlformats.org/officeDocument/2006/relationships/hyperlink" Id="rId105" Target="https://doi.org/10.21105/joss.00638" TargetMode="External" /><Relationship Type="http://schemas.openxmlformats.org/officeDocument/2006/relationships/hyperlink" Id="rId97" Target="https://doi.org/10.24963/ijcai.2019/658" TargetMode="External" /><Relationship Type="http://schemas.openxmlformats.org/officeDocument/2006/relationships/hyperlink" Id="rId65" Target="https://github.com/alibaba/clusterdata" TargetMode="External" /><Relationship Type="http://schemas.openxmlformats.org/officeDocument/2006/relationships/hyperlink" Id="rId99" Target="https://www.kaggle.com/datasets/arnabbiswas1/microsoft-azure-predictive-maintenance" TargetMode="External" /><Relationship Type="http://schemas.openxmlformats.org/officeDocument/2006/relationships/hyperlink" Id="rId63" Target="references.bi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diagnostics/azure_window_horizon_vs_events.png" TargetMode="External" /><Relationship Type="http://schemas.openxmlformats.org/officeDocument/2006/relationships/hyperlink" Id="rId46" Target="../results/figures/azure_itemset_vs_sequence_lift.png" TargetMode="External" /><Relationship Type="http://schemas.openxmlformats.org/officeDocument/2006/relationships/hyperlink" Id="rId43" Target="../results/figures/azure_sensitivity_min_support.png" TargetMode="External" /><Relationship Type="http://schemas.openxmlformats.org/officeDocument/2006/relationships/hyperlink" Id="rId48" Target="../results/figures/four_dataset_predictive_comparison.png" TargetMode="External" /><Relationship Type="http://schemas.openxmlformats.org/officeDocument/2006/relationships/hyperlink" Id="rId54" Target="../results/tables/" TargetMode="External" /><Relationship Type="http://schemas.openxmlformats.org/officeDocument/2006/relationships/hyperlink" Id="rId69" Target="https://arxiv.org/abs/1808.02919" TargetMode="External" /><Relationship Type="http://schemas.openxmlformats.org/officeDocument/2006/relationships/hyperlink" Id="rId85" Target="https://arxiv.org/abs/2401.04749" TargetMode="External" /><Relationship Type="http://schemas.openxmlformats.org/officeDocument/2006/relationships/hyperlink" Id="rId75" Target="https://doi.org/10.1007/978-3-031-11217-1_3" TargetMode="External" /><Relationship Type="http://schemas.openxmlformats.org/officeDocument/2006/relationships/hyperlink" Id="rId81" Target="https://doi.org/10.1007/978-3-319-06483-3_8" TargetMode="External" /><Relationship Type="http://schemas.openxmlformats.org/officeDocument/2006/relationships/hyperlink" Id="rId77" Target="https://doi.org/10.1007/978-3-319-06608-0_4" TargetMode="External" /><Relationship Type="http://schemas.openxmlformats.org/officeDocument/2006/relationships/hyperlink" Id="rId79" Target="https://doi.org/10.1007/978-3-319-46131-1_8" TargetMode="External" /><Relationship Type="http://schemas.openxmlformats.org/officeDocument/2006/relationships/hyperlink" Id="rId71" Target="https://doi.org/10.1007/978-3-319-46349-0_33" TargetMode="External" /><Relationship Type="http://schemas.openxmlformats.org/officeDocument/2006/relationships/hyperlink" Id="rId107" Target="https://doi.org/10.1007/978-981-16-1160-5_13" TargetMode="External" /><Relationship Type="http://schemas.openxmlformats.org/officeDocument/2006/relationships/hyperlink" Id="rId113" Target="https://doi.org/10.1007/BFb0014140" TargetMode="External" /><Relationship Type="http://schemas.openxmlformats.org/officeDocument/2006/relationships/hyperlink" Id="rId111" Target="https://doi.org/10.1007/s10489-021-03004-y" TargetMode="External" /><Relationship Type="http://schemas.openxmlformats.org/officeDocument/2006/relationships/hyperlink" Id="rId89" Target="https://doi.org/10.1007/s11227-024-06297-1" TargetMode="External" /><Relationship Type="http://schemas.openxmlformats.org/officeDocument/2006/relationships/hyperlink" Id="rId117" Target="https://doi.org/10.1023/A:1007652502315" TargetMode="External" /><Relationship Type="http://schemas.openxmlformats.org/officeDocument/2006/relationships/hyperlink" Id="rId91" Target="https://doi.org/10.1038/s41597-025-04802-6" TargetMode="External" /><Relationship Type="http://schemas.openxmlformats.org/officeDocument/2006/relationships/hyperlink" Id="rId93" Target="https://doi.org/10.1109/BigData.2017.8258257" TargetMode="External" /><Relationship Type="http://schemas.openxmlformats.org/officeDocument/2006/relationships/hyperlink" Id="rId101" Target="https://doi.org/10.1109/DSN.2007.103" TargetMode="External" /><Relationship Type="http://schemas.openxmlformats.org/officeDocument/2006/relationships/hyperlink" Id="rId103" Target="https://doi.org/10.1109/ICDE.2001.914830" TargetMode="External" /><Relationship Type="http://schemas.openxmlformats.org/officeDocument/2006/relationships/hyperlink" Id="rId123" Target="https://doi.org/10.1109/ICSE-SEIP.2019.00021" TargetMode="External" /><Relationship Type="http://schemas.openxmlformats.org/officeDocument/2006/relationships/hyperlink" Id="rId115" Target="https://doi.org/10.1109/ICSE43902.2021.00130" TargetMode="External" /><Relationship Type="http://schemas.openxmlformats.org/officeDocument/2006/relationships/hyperlink" Id="rId83" Target="https://doi.org/10.1109/IJCNN52387.2021.9534113" TargetMode="External" /><Relationship Type="http://schemas.openxmlformats.org/officeDocument/2006/relationships/hyperlink" Id="rId121" Target="https://doi.org/10.1109/ISSRE59848.2023.00071" TargetMode="External" /><Relationship Type="http://schemas.openxmlformats.org/officeDocument/2006/relationships/hyperlink" Id="rId109" Target="https://doi.org/10.1109/PHM.2008.4711414" TargetMode="External" /><Relationship Type="http://schemas.openxmlformats.org/officeDocument/2006/relationships/hyperlink" Id="rId67" Target="https://doi.org/10.1111/j.2517-6161.1995.tb02031.x" TargetMode="External" /><Relationship Type="http://schemas.openxmlformats.org/officeDocument/2006/relationships/hyperlink" Id="rId73" Target="https://doi.org/10.1145/3133956.3134015" TargetMode="External" /><Relationship Type="http://schemas.openxmlformats.org/officeDocument/2006/relationships/hyperlink" Id="rId119" Target="https://doi.org/10.1145/3338906.3338931" TargetMode="External" /><Relationship Type="http://schemas.openxmlformats.org/officeDocument/2006/relationships/hyperlink" Id="rId87" Target="https://doi.org/10.1145/342009.335372" TargetMode="External" /><Relationship Type="http://schemas.openxmlformats.org/officeDocument/2006/relationships/hyperlink" Id="rId95" Target="https://doi.org/10.1145/3472883.3487003" TargetMode="External" /><Relationship Type="http://schemas.openxmlformats.org/officeDocument/2006/relationships/hyperlink" Id="rId105" Target="https://doi.org/10.21105/joss.00638" TargetMode="External" /><Relationship Type="http://schemas.openxmlformats.org/officeDocument/2006/relationships/hyperlink" Id="rId97" Target="https://doi.org/10.24963/ijcai.2019/658" TargetMode="External" /><Relationship Type="http://schemas.openxmlformats.org/officeDocument/2006/relationships/hyperlink" Id="rId65" Target="https://github.com/alibaba/clusterdata" TargetMode="External" /><Relationship Type="http://schemas.openxmlformats.org/officeDocument/2006/relationships/hyperlink" Id="rId99" Target="https://www.kaggle.com/datasets/arnabbiswas1/microsoft-azure-predictive-maintenance" TargetMode="External" /><Relationship Type="http://schemas.openxmlformats.org/officeDocument/2006/relationships/hyperlink" Id="rId63" Target="references.bi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Mining Frequent Failure Sequences in Operational Event Logs</dc:title>
  <dc:creator/>
  <cp:keywords/>
  <dcterms:created xsi:type="dcterms:W3CDTF">2026-08-29T00:27:15Z</dcterms:created>
  <dcterms:modified xsi:type="dcterms:W3CDTF">2026-08-29T00:27:15Z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paper/references.bib</vt:lpwstr>
  </property>
  <property fmtid="{D5CDD505-2E9C-101B-9397-08002B2CF9AE}" pid="3" name="date">
    <vt:lpwstr>2026-08-29</vt:lpwstr>
  </property>
</Properties>
</file>