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51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event patterns in</w:t>
      </w:r>
      <w:r>
        <w:t xml:space="preserve"> </w:t>
      </w:r>
      <w:r>
        <w:t xml:space="preserve">these logs. This paper’s central hypothesis is that pattern mining</w:t>
      </w:r>
      <w:r>
        <w:t xml:space="preserve"> </w:t>
      </w:r>
      <w:r>
        <w:t xml:space="preserve">recovers physical-cascade precursor signatures on real industrial</w:t>
      </w:r>
      <w:r>
        <w:t xml:space="preserve"> </w:t>
      </w:r>
      <w:r>
        <w:t xml:space="preserve">telemetry when the underlying process actually cascades through</w:t>
      </w:r>
      <w:r>
        <w:t xml:space="preserve"> </w:t>
      </w:r>
      <w:r>
        <w:t xml:space="preserve">discrete stages. To test it we produce a catalog of failure-precursor</w:t>
      </w:r>
      <w:r>
        <w:t xml:space="preserve"> </w:t>
      </w:r>
      <w:r>
        <w:t xml:space="preserve">signatures mined on five operational traces: real per-turbine wind-</w:t>
      </w:r>
      <w:r>
        <w:t xml:space="preserve"> </w:t>
      </w:r>
      <w:r>
        <w:t xml:space="preserve">farm alarm logs (Kelmarsh 6 x Senvion MM92, 306 forced outages in</w:t>
      </w:r>
      <w:r>
        <w:t xml:space="preserve"> </w:t>
      </w:r>
      <w:r>
        <w:t xml:space="preserve">one year), synthetic per-machine Azure PdM, real per-job Alibaba</w:t>
      </w:r>
      <w:r>
        <w:t xml:space="preserve"> </w:t>
      </w:r>
      <w:r>
        <w:t xml:space="preserve">v2018, real per-rack LLNL Blue Gene/L syslogs, and real per-truck</w:t>
      </w:r>
      <w:r>
        <w:t xml:space="preserve"> </w:t>
      </w:r>
      <w:r>
        <w:t xml:space="preserve">SCANIA Component X, each entry carrying statistical</w:t>
      </w:r>
      <w:r>
        <w:t xml:space="preserve"> </w:t>
      </w:r>
      <w:r>
        <w:t xml:space="preserve">evidence, a domain-specific interpretation, and an intended</w:t>
      </w:r>
      <w:r>
        <w:t xml:space="preserve"> </w:t>
      </w:r>
      <w:r>
        <w:t xml:space="preserve">deployment rule. Every signature is validated by an entity-disjoint</w:t>
      </w:r>
      <w:r>
        <w:t xml:space="preserve"> </w:t>
      </w:r>
      <w:r>
        <w:t xml:space="preserve">discovery/inference split (post-selection-valid p and BY q on the</w:t>
      </w:r>
      <w:r>
        <w:t xml:space="preserve"> </w:t>
      </w:r>
      <w:r>
        <w:t xml:space="preserve">inference half), a count-preserving order comparator (multiplicity-</w:t>
      </w:r>
      <w:r>
        <w:t xml:space="preserve"> </w:t>
      </w:r>
      <w:r>
        <w:t xml:space="preserve">free ordering effect), and, for the right-censored SCANIA trace,</w:t>
      </w:r>
      <w:r>
        <w:t xml:space="preserve"> </w:t>
      </w:r>
      <w:r>
        <w:t xml:space="preserve">matched conditional logistic regression stratified by risk set</w:t>
      </w:r>
      <w:r>
        <w:t xml:space="preserve"> </w:t>
      </w:r>
      <w:r>
        <w:t xml:space="preserve">(Prentice-Breslow). Headline signatures include:</w:t>
      </w:r>
      <w:r>
        <w:t xml:space="preserve"> </w:t>
      </w:r>
      <w:r>
        <w:rPr>
          <w:b/>
          <w:bCs/>
        </w:rPr>
        <w:t xml:space="preserve">on Kelmarsh wind turbines,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system_warning:2550</w:t>
      </w:r>
      <w:r>
        <w:rPr>
          <w:b/>
          <w:bCs/>
        </w:rPr>
        <w:t xml:space="preserve"> </w:t>
      </w:r>
      <w:r>
        <w:rPr>
          <w:b/>
          <w:bCs/>
        </w:rPr>
        <w:t xml:space="preserve">(Overload generator fan 1)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horizon</w:t>
      </w:r>
      <w:r>
        <w:rPr>
          <w:b/>
          <w:bCs/>
        </w:rPr>
        <w:t xml:space="preserve"> </w:t>
      </w:r>
      <w:r>
        <w:rPr>
          <w:b/>
          <w:bCs/>
        </w:rPr>
        <w:t xml:space="preserve">has inference-half lift 4.0 with 22 case hits and zero control hits</w:t>
      </w:r>
      <w:r>
        <w:rPr>
          <w:b/>
          <w:bCs/>
        </w:rPr>
        <w:t xml:space="preserve"> </w:t>
      </w:r>
      <w:r>
        <w:rPr>
          <w:b/>
          <w:bCs/>
        </w:rPr>
        <w:t xml:space="preserve">(BY q = 1.3e-12), supporting 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schedule generator-cooling</w:t>
      </w:r>
      <w:r>
        <w:rPr>
          <w:b/>
          <w:bCs/>
        </w:rPr>
        <w:t xml:space="preserve"> </w:t>
      </w:r>
      <w:r>
        <w:rPr>
          <w:b/>
          <w:bCs/>
        </w:rPr>
        <w:t xml:space="preserve">inspection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alarm rule the moment the warning fires</w:t>
      </w:r>
      <w:r>
        <w:t xml:space="preserve">; the two-code</w:t>
      </w:r>
      <w:r>
        <w:t xml:space="preserve"> </w:t>
      </w:r>
      <w:r>
        <w:t xml:space="preserve">cascade</w:t>
      </w:r>
      <w:r>
        <w:t xml:space="preserve"> </w:t>
      </w:r>
      <w:r>
        <w:rPr>
          <w:rStyle w:val="VerbatimChar"/>
        </w:rPr>
        <w:t xml:space="preserve">system_warning:2650 + system_warning:2655</w:t>
      </w:r>
      <w:r>
        <w:t xml:space="preserve"> </w:t>
      </w:r>
      <w:r>
        <w:t xml:space="preserve">(Overload</w:t>
      </w:r>
      <w:r>
        <w:t xml:space="preserve"> </w:t>
      </w:r>
      <w:r>
        <w:t xml:space="preserve">generator fans 2 and 3 concurrently) reaches lift 4.0 with 11 cases</w:t>
      </w:r>
      <w:r>
        <w:t xml:space="preserve"> </w:t>
      </w:r>
      <w:r>
        <w:t xml:space="preserve">vs 0 controls. On Azure PdM,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at 24h horizon has</w:t>
      </w:r>
      <w:r>
        <w:t xml:space="preserve"> </w:t>
      </w:r>
      <w:r>
        <w:t xml:space="preserve">inference-half lift 4.0 with zero occurrences in the inference</w:t>
      </w:r>
      <w:r>
        <w:t xml:space="preserve"> </w:t>
      </w:r>
      <w:r>
        <w:t xml:space="preserve">control windows (BY q = 4e-90), supporting a</w:t>
      </w:r>
      <w:r>
        <w:t xml:space="preserve"> </w:t>
      </w:r>
      <w:r>
        <w:t xml:space="preserve">“</w:t>
      </w:r>
      <w:r>
        <w:t xml:space="preserve">raise component-</w:t>
      </w:r>
      <w:r>
        <w:t xml:space="preserve"> </w:t>
      </w:r>
      <w:r>
        <w:t xml:space="preserve">replacement work order</w:t>
      </w:r>
      <w:r>
        <w:t xml:space="preserve">”</w:t>
      </w:r>
      <w:r>
        <w:t xml:space="preserve"> </w:t>
      </w:r>
      <w:r>
        <w:t xml:space="preserve">alarm rule; on Alibaba v2018,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at last3</w:t>
      </w:r>
      <w:r>
        <w:t xml:space="preserve"> </w:t>
      </w:r>
      <w:r>
        <w:t xml:space="preserve">horizon has lift 4.01 (BY q ≈ 0), n_case = 829 vs n_control = 9,</w:t>
      </w:r>
      <w:r>
        <w:t xml:space="preserve"> </w:t>
      </w:r>
      <w:r>
        <w:t xml:space="preserve">supporting a real-time Reduce-task-retry / preemptive-reschedule</w:t>
      </w:r>
      <w:r>
        <w:t xml:space="preserve"> </w:t>
      </w:r>
      <w:r>
        <w:t xml:space="preserve">rule (longer Alibaba patterns add no signal once event multiplicity</w:t>
      </w:r>
      <w:r>
        <w:t xml:space="preserve"> </w:t>
      </w:r>
      <w:r>
        <w:t xml:space="preserve">is controlled); on SCANIA,</w:t>
      </w:r>
      <w:r>
        <w:t xml:space="preserve"> </w:t>
      </w:r>
      <w:r>
        <w:rPr>
          <w:rStyle w:val="VerbatimChar"/>
        </w:rPr>
        <w:t xml:space="preserve">counter_surprise:397_{27, 28, 29}</w:t>
      </w:r>
      <w:r>
        <w:t xml:space="preserve"> </w:t>
      </w:r>
      <w:r>
        <w:t xml:space="preserve">has</w:t>
      </w:r>
      <w:r>
        <w:t xml:space="preserve"> </w:t>
      </w:r>
      <w:r>
        <w:t xml:space="preserve">matched HR 1.73 (95% CI [1.53, 1.96], p = 1e-17), supporting a</w:t>
      </w:r>
      <w:r>
        <w:t xml:space="preserve"> </w:t>
      </w:r>
      <w:r>
        <w:t xml:space="preserve">histogram-397-based fleet-triage rule for the top decile; on BGL,</w:t>
      </w:r>
      <w:r>
        <w:t xml:space="preserve"> </w:t>
      </w:r>
      <w:r>
        <w:t xml:space="preserve">no non-alert precursor survives, supporting a</w:t>
      </w:r>
      <w:r>
        <w:t xml:space="preserve"> </w:t>
      </w:r>
      <w:r>
        <w:t xml:space="preserve">“</w:t>
      </w:r>
      <w:r>
        <w:t xml:space="preserve">do not deploy this</w:t>
      </w:r>
      <w:r>
        <w:t xml:space="preserve"> </w:t>
      </w:r>
      <w:r>
        <w:t xml:space="preserve">pipeline for HPC alert-cascade early warning</w:t>
      </w:r>
      <w:r>
        <w:t xml:space="preserve">”</w:t>
      </w:r>
      <w:r>
        <w:t xml:space="preserve"> </w:t>
      </w:r>
      <w:r>
        <w:t xml:space="preserve">recommendation. Mined</w:t>
      </w:r>
      <w:r>
        <w:t xml:space="preserve"> </w:t>
      </w:r>
      <w:r>
        <w:t xml:space="preserve">patterns, matched-control windows, discovery/inference splits, and</w:t>
      </w:r>
      <w:r>
        <w:t xml:space="preserve"> </w:t>
      </w:r>
      <w:r>
        <w:t xml:space="preserve">matched hazard-ratio outputs are released as reproducible parquet</w:t>
      </w:r>
      <w:r>
        <w:t xml:space="preserve"> </w:t>
      </w:r>
      <w:r>
        <w:t xml:space="preserve">artefacts alongside the code repository.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5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For 2016 the six turbines produced 14,325 status events, of which</w:t>
      </w:r>
      <w:r>
        <w:t xml:space="preserve"> </w:t>
      </w:r>
      <w:r>
        <w:t xml:space="preserve">306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 generator-</w:t>
      </w:r>
      <w:r>
        <w:t xml:space="preserve"> </w:t>
      </w:r>
      <w:r>
        <w:t xml:space="preserve">fan overloads, frequency-converter faults, safety-chain openings).</w:t>
      </w:r>
      <w:r>
        <w:t xml:space="preserve"> </w:t>
      </w:r>
      <w:r>
        <w:t xml:space="preserve">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 generator</w:t>
      </w:r>
      <w:r>
        <w:t xml:space="preserve"> </w:t>
      </w:r>
      <w:r>
        <w:t xml:space="preserve">fan 1 (42),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 (38),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 (38),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 (27),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 chain open (14). Non-forced-outage codes that appear as</w:t>
      </w:r>
      <w:r>
        <w:t xml:space="preserve"> </w:t>
      </w:r>
      <w:r>
        <w:t xml:space="preserve">warnings or stops 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</w:t>
      </w:r>
      <w:r>
        <w:t xml:space="preserve"> </w:t>
      </w:r>
      <w:r>
        <w:t xml:space="preserve">accumulator defect (96 warnings),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 (74),</w:t>
      </w:r>
      <w:r>
        <w:t xml:space="preserve"> </w:t>
      </w:r>
      <w:r>
        <w:rPr>
          <w:rStyle w:val="VerbatimChar"/>
        </w:rPr>
        <w:t xml:space="preserve">2550/2650/2655</w:t>
      </w:r>
      <w:r>
        <w:t xml:space="preserve"> </w:t>
      </w:r>
      <w:r>
        <w:t xml:space="preserve">overload-fan warnings that precede the same-code</w:t>
      </w:r>
      <w:r>
        <w:t xml:space="preserve"> </w:t>
      </w:r>
      <w:r>
        <w:t xml:space="preserve">forced outages.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0cc0213a3a3d6b0aa45b5af167aefb97013eef0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4"/>
    <w:bookmarkEnd w:id="35"/>
    <w:bookmarkStart w:id="44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6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6"/>
    <w:bookmarkStart w:id="37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7"/>
    <w:bookmarkStart w:id="38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8"/>
    <w:bookmarkStart w:id="39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9"/>
    <w:bookmarkStart w:id="40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</w:t>
      </w:r>
    </w:p>
    <w:bookmarkEnd w:id="40"/>
    <w:bookmarkStart w:id="41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1"/>
    <w:bookmarkStart w:id="42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2"/>
    <w:bookmarkStart w:id="43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3"/>
    <w:bookmarkEnd w:id="44"/>
    <w:bookmarkStart w:id="49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5">
        <w:r>
          <w:rPr>
            <w:rStyle w:val="Hyperlink"/>
          </w:rPr>
          <w:t xml:space="preserve">azure_window_horizon_vs_events.png</w:t>
        </w:r>
      </w:hyperlink>
    </w:p>
    <w:bookmarkEnd w:id="46"/>
    <w:bookmarkStart w:id="48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7">
        <w:r>
          <w:rPr>
            <w:rStyle w:val="Hyperlink"/>
          </w:rPr>
          <w:t xml:space="preserve">azure_sensitivity_min_support.png</w:t>
        </w:r>
      </w:hyperlink>
    </w:p>
    <w:bookmarkEnd w:id="48"/>
    <w:bookmarkEnd w:id="49"/>
    <w:bookmarkStart w:id="61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1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0">
        <w:r>
          <w:rPr>
            <w:rStyle w:val="Hyperlink"/>
          </w:rPr>
          <w:t xml:space="preserve">azure_itemset_vs_sequence_lift.png</w:t>
        </w:r>
      </w:hyperlink>
    </w:p>
    <w:bookmarkEnd w:id="51"/>
    <w:bookmarkStart w:id="53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2">
        <w:r>
          <w:rPr>
            <w:rStyle w:val="Hyperlink"/>
          </w:rPr>
          <w:t xml:space="preserve">four_dataset_predictive_comparison.png</w:t>
        </w:r>
      </w:hyperlink>
    </w:p>
    <w:bookmarkEnd w:id="53"/>
    <w:bookmarkStart w:id="54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4"/>
    <w:bookmarkStart w:id="55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the four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The strongest cascade signatures the paper</w:t>
      </w:r>
      <w:r>
        <w:t xml:space="preserve"> </w:t>
      </w:r>
      <w:r>
        <w:t xml:space="preserve">records. All top signatures have zero control hits on the inference</w:t>
      </w:r>
      <w:r>
        <w:t xml:space="preserve"> </w:t>
      </w:r>
      <w:r>
        <w:t xml:space="preserve">half. Each fault code names a specific mechanical / electrical</w:t>
      </w:r>
      <w:r>
        <w:t xml:space="preserve"> </w:t>
      </w:r>
      <w:r>
        <w:t xml:space="preserve">precursor of the same-family Forced-outage event.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system_warning:2650 + system_warning:2655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system_warning:2125 + system_warning:2655</w:t>
            </w:r>
            <w:r>
              <w:t xml:space="preserve"> </w:t>
            </w:r>
            <w:r>
              <w:t xml:space="preserve">(Brake timeout +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system_warning:2125 + system_warning:2650 + system_warning:2655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code chain terminating in fan 1/2/3 overload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 overload)</w:t>
      </w:r>
      <w:r>
        <w:t xml:space="preserve"> </w:t>
      </w:r>
      <w:r>
        <w:t xml:space="preserve">extend the same story: a specific mechanical stressor at the brake</w:t>
      </w:r>
      <w:r>
        <w:t xml:space="preserve"> </w:t>
      </w:r>
      <w:r>
        <w:t xml:space="preserve">subsystem accompanies the terminal generator-fan overload. This is</w:t>
      </w:r>
      <w:r>
        <w:t xml:space="preserve"> </w:t>
      </w:r>
      <w:r>
        <w:t xml:space="preserve">the paper’s central hypothesis in its clearest form: a physical wear</w:t>
      </w:r>
      <w:r>
        <w:t xml:space="preserve"> </w:t>
      </w:r>
      <w:r>
        <w:t xml:space="preserve">process cascades through discrete alarm codes at intermediate stages</w:t>
      </w:r>
      <w:r>
        <w:t xml:space="preserve"> </w:t>
      </w:r>
      <w:r>
        <w:t xml:space="preserve">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Recall on</w:t>
      </w:r>
      <w:r>
        <w:t xml:space="preserve"> </w:t>
      </w:r>
      <w:r>
        <w:t xml:space="preserve">the 2016 data is 22/(22 + missed) at the inference half; false-alarm</w:t>
      </w:r>
      <w:r>
        <w:t xml:space="preserve"> </w:t>
      </w:r>
      <w:r>
        <w:t xml:space="preserve">rate is zero over 918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 (§6.5 predictive-vs-frequent-noise separation) and the</w:t>
      </w:r>
      <w:r>
        <w:t xml:space="preserve"> </w:t>
      </w:r>
      <w:r>
        <w:t xml:space="preserve">downstream predictive evaluation (§6.6, §6.7).</w:t>
      </w:r>
    </w:p>
    <w:bookmarkEnd w:id="55"/>
    <w:bookmarkStart w:id="56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§6.6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6"/>
    <w:bookmarkStart w:id="57" w:name="formal-significance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7"/>
    <w:bookmarkStart w:id="58" w:name="X9089ac7c4740497ca2f8946257a25d0f4921163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121 (60.5%) pass the joint criterion HR CI excludes</w:t>
      </w:r>
      <w:r>
        <w:rPr>
          <w:b/>
          <w:bCs/>
        </w:rPr>
        <w:t xml:space="preserve"> </w:t>
      </w:r>
      <w:r>
        <w:rPr>
          <w:b/>
          <w:bCs/>
        </w:rPr>
        <w:t xml:space="preserve">1 AND p &lt; 0.05</w:t>
      </w:r>
      <w:r>
        <w:t xml:space="preserve">. Top hazard ratios cluster in feature-397 bin</w:t>
      </w:r>
      <w:r>
        <w:t xml:space="preserve"> </w:t>
      </w:r>
      <w:r>
        <w:t xml:space="preserve">combinations, consistent with the concentration of predictive signal</w:t>
      </w:r>
      <w:r>
        <w:t xml:space="preserve"> </w:t>
      </w:r>
      <w:r>
        <w:t xml:space="preserve">in a small number of 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8"/>
    <w:bookmarkStart w:id="60" w:name="lead-time-on-true-positives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0"/>
    <w:bookmarkEnd w:id="61"/>
    <w:bookmarkStart w:id="65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2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four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Four contrasting case studies</w:t>
      </w:r>
    </w:p>
    <w:p>
      <w:pPr>
        <w:pStyle w:val="FirstParagraph"/>
      </w:pPr>
      <w:r>
        <w:t xml:space="preserve">Four heterogeneous traces are useful empirical evidence, and they</w:t>
      </w:r>
      <w:r>
        <w:t xml:space="preserve"> </w:t>
      </w:r>
      <w:r>
        <w:t xml:space="preserve">inform hypotheses about when pattern mining recovers meaningful</w:t>
      </w:r>
      <w:r>
        <w:t xml:space="preserve"> </w:t>
      </w:r>
      <w:r>
        <w:t xml:space="preserve">predictive structure and when it does not. They are not a</w:t>
      </w:r>
      <w:r>
        <w:t xml:space="preserve"> </w:t>
      </w:r>
      <w:r>
        <w:t xml:space="preserve">sufficient basis to infer a general</w:t>
      </w:r>
      <w:r>
        <w:t xml:space="preserve"> </w:t>
      </w:r>
      <w:r>
        <w:t xml:space="preserve">“</w:t>
      </w:r>
      <w:r>
        <w:t xml:space="preserve">regime of validity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method: four case studies differ along too many axes (domain,</w:t>
      </w:r>
      <w:r>
        <w:t xml:space="preserve"> </w:t>
      </w:r>
      <w:r>
        <w:t xml:space="preserve">event vocabulary, synthetic vs real, entity definition, target</w:t>
      </w:r>
      <w:r>
        <w:t xml:space="preserve"> </w:t>
      </w:r>
      <w:r>
        <w:t xml:space="preserve">construction, observation cadence, class prevalence, control</w:t>
      </w:r>
      <w:r>
        <w:t xml:space="preserve"> </w:t>
      </w:r>
      <w:r>
        <w:t xml:space="preserve">sampling) to isolate the causal factors that separate the two</w:t>
      </w:r>
      <w:r>
        <w:t xml:space="preserve"> </w:t>
      </w:r>
      <w:r>
        <w:t xml:space="preserve">positive traces (Azure PdM, Alibaba v2018) from the two boundary</w:t>
      </w:r>
      <w:r>
        <w:t xml:space="preserve"> </w:t>
      </w:r>
      <w:r>
        <w:t xml:space="preserve">traces (BGL, SCANIA Component X). We describe the pattern rather</w:t>
      </w:r>
      <w:r>
        <w:t xml:space="preserve"> </w:t>
      </w:r>
      <w:r>
        <w:t xml:space="preserve">than claim it as a rule.</w:t>
      </w:r>
    </w:p>
    <w:p>
      <w:pPr>
        <w:pStyle w:val="BodyText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7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7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7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7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7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6"/>
    <w:bookmarkStart w:id="67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and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CC-BY-4.0); 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3.14.3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Wall-clock: the full pipeline (ingest, windows,</w:t>
      </w:r>
      <w:r>
        <w:t xml:space="preserve"> </w:t>
      </w:r>
      <w:r>
        <w:t xml:space="preserve">mining, significance, matched hazard, predictive eval) runs in under</w:t>
      </w:r>
      <w:r>
        <w:t xml:space="preserve"> </w:t>
      </w:r>
      <w:r>
        <w:t xml:space="preserve">one hour on a single CPU-only workstation for Azure PdM, Alibaba</w:t>
      </w:r>
      <w:r>
        <w:t xml:space="preserve"> </w:t>
      </w:r>
      <w:r>
        <w:t xml:space="preserve">batch_task, BGL, and SCANIA combined, excluding the initial trace</w:t>
      </w:r>
      <w:r>
        <w:t xml:space="preserve"> </w:t>
      </w:r>
      <w:r>
        <w:t xml:space="preserve">downloads.</w:t>
      </w:r>
    </w:p>
    <w:bookmarkEnd w:id="67"/>
    <w:bookmarkStart w:id="68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8"/>
    <w:bookmarkStart w:id="69" w:name="what-is-still-missing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8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8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9"/>
    <w:bookmarkStart w:id="150" w:name="what-is-verifie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9"/>
        </w:numPr>
      </w:pPr>
      <w:r>
        <w:t xml:space="preserve">Bibliography:</w:t>
      </w:r>
      <w:r>
        <w:t xml:space="preserve"> </w:t>
      </w:r>
      <w:hyperlink r:id="rId70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9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49" w:name="refs"/>
    <w:bookmarkStart w:id="71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1"/>
    <w:bookmarkStart w:id="73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2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3"/>
    <w:bookmarkStart w:id="75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4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5"/>
    <w:bookmarkStart w:id="7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7"/>
    <w:bookmarkStart w:id="7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79"/>
    <w:bookmarkStart w:id="81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0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1"/>
    <w:bookmarkStart w:id="83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3"/>
    <w:bookmarkStart w:id="85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4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5"/>
    <w:bookmarkStart w:id="87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6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7"/>
    <w:bookmarkStart w:id="89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89"/>
    <w:bookmarkStart w:id="91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0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1"/>
    <w:bookmarkStart w:id="93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3"/>
    <w:bookmarkStart w:id="95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4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5"/>
    <w:bookmarkStart w:id="97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7"/>
    <w:bookmarkStart w:id="99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99"/>
    <w:bookmarkStart w:id="101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0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1"/>
    <w:bookmarkStart w:id="103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2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3"/>
    <w:bookmarkStart w:id="105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5"/>
    <w:bookmarkStart w:id="107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06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07"/>
    <w:bookmarkStart w:id="109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08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09"/>
    <w:bookmarkStart w:id="111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10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11"/>
    <w:bookmarkStart w:id="113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2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3"/>
    <w:bookmarkStart w:id="115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4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5"/>
    <w:bookmarkStart w:id="117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16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17"/>
    <w:bookmarkStart w:id="119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18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19"/>
    <w:bookmarkStart w:id="121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20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21"/>
    <w:bookmarkStart w:id="124" w:name="ref-plumley2022kelmarsh"/>
    <w:p>
      <w:pPr>
        <w:pStyle w:val="Bibliography"/>
      </w:pPr>
      <w:r>
        <w:t xml:space="preserve">Plumley, Charlie. 2022.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22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23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24"/>
    <w:bookmarkStart w:id="126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25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26"/>
    <w:bookmarkStart w:id="128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27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28"/>
    <w:bookmarkStart w:id="130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30"/>
    <w:bookmarkStart w:id="132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32"/>
    <w:bookmarkStart w:id="134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33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34"/>
    <w:bookmarkStart w:id="136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36"/>
    <w:bookmarkStart w:id="138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37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38"/>
    <w:bookmarkStart w:id="140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39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40"/>
    <w:bookmarkStart w:id="142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41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42"/>
    <w:bookmarkStart w:id="144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43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44"/>
    <w:bookmarkStart w:id="146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46"/>
    <w:bookmarkStart w:id="148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47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48"/>
    <w:bookmarkEnd w:id="149"/>
    <w:bookmarkEnd w:id="150"/>
    <w:bookmarkEnd w:id="1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../diagnostics/azure_window_horizon_vs_events.png" TargetMode="External" /><Relationship Type="http://schemas.openxmlformats.org/officeDocument/2006/relationships/hyperlink" Id="rId50" Target="../results/figures/azure_itemset_vs_sequence_lift.png" TargetMode="External" /><Relationship Type="http://schemas.openxmlformats.org/officeDocument/2006/relationships/hyperlink" Id="rId47" Target="../results/figures/azure_sensitivity_min_support.png" TargetMode="External" /><Relationship Type="http://schemas.openxmlformats.org/officeDocument/2006/relationships/hyperlink" Id="rId52" Target="../results/figures/four_dataset_predictive_comparison.png" TargetMode="External" /><Relationship Type="http://schemas.openxmlformats.org/officeDocument/2006/relationships/hyperlink" Id="rId59" Target="../results/tables/" TargetMode="External" /><Relationship Type="http://schemas.openxmlformats.org/officeDocument/2006/relationships/hyperlink" Id="rId88" Target="https://arxiv.org/abs/1410.2597" TargetMode="External" /><Relationship Type="http://schemas.openxmlformats.org/officeDocument/2006/relationships/hyperlink" Id="rId80" Target="https://arxiv.org/abs/1808.02919" TargetMode="External" /><Relationship Type="http://schemas.openxmlformats.org/officeDocument/2006/relationships/hyperlink" Id="rId100" Target="https://arxiv.org/abs/2401.04749" TargetMode="External" /><Relationship Type="http://schemas.openxmlformats.org/officeDocument/2006/relationships/hyperlink" Id="rId90" Target="https://doi.org/10.1007/978-3-031-11217-1_3" TargetMode="External" /><Relationship Type="http://schemas.openxmlformats.org/officeDocument/2006/relationships/hyperlink" Id="rId96" Target="https://doi.org/10.1007/978-3-319-06483-3_8" TargetMode="External" /><Relationship Type="http://schemas.openxmlformats.org/officeDocument/2006/relationships/hyperlink" Id="rId92" Target="https://doi.org/10.1007/978-3-319-06608-0_4" TargetMode="External" /><Relationship Type="http://schemas.openxmlformats.org/officeDocument/2006/relationships/hyperlink" Id="rId94" Target="https://doi.org/10.1007/978-3-319-46131-1_8" TargetMode="External" /><Relationship Type="http://schemas.openxmlformats.org/officeDocument/2006/relationships/hyperlink" Id="rId82" Target="https://doi.org/10.1007/978-3-319-46349-0_33" TargetMode="External" /><Relationship Type="http://schemas.openxmlformats.org/officeDocument/2006/relationships/hyperlink" Id="rId129" Target="https://doi.org/10.1007/978-981-16-1160-5_13" TargetMode="External" /><Relationship Type="http://schemas.openxmlformats.org/officeDocument/2006/relationships/hyperlink" Id="rId135" Target="https://doi.org/10.1007/BFb0014140" TargetMode="External" /><Relationship Type="http://schemas.openxmlformats.org/officeDocument/2006/relationships/hyperlink" Id="rId133" Target="https://doi.org/10.1007/s10489-021-03004-y" TargetMode="External" /><Relationship Type="http://schemas.openxmlformats.org/officeDocument/2006/relationships/hyperlink" Id="rId104" Target="https://doi.org/10.1007/s11227-024-06297-1" TargetMode="External" /><Relationship Type="http://schemas.openxmlformats.org/officeDocument/2006/relationships/hyperlink" Id="rId141" Target="https://doi.org/10.1023/A:1007652502315" TargetMode="External" /><Relationship Type="http://schemas.openxmlformats.org/officeDocument/2006/relationships/hyperlink" Id="rId106" Target="https://doi.org/10.1038/s41597-025-04802-6" TargetMode="External" /><Relationship Type="http://schemas.openxmlformats.org/officeDocument/2006/relationships/hyperlink" Id="rId137" Target="https://doi.org/10.1073/pnas.1302233110" TargetMode="External" /><Relationship Type="http://schemas.openxmlformats.org/officeDocument/2006/relationships/hyperlink" Id="rId125" Target="https://doi.org/10.1093/biomet/65.1.153" TargetMode="External" /><Relationship Type="http://schemas.openxmlformats.org/officeDocument/2006/relationships/hyperlink" Id="rId110" Target="https://doi.org/10.1109/BigData.2017.8258257" TargetMode="External" /><Relationship Type="http://schemas.openxmlformats.org/officeDocument/2006/relationships/hyperlink" Id="rId118" Target="https://doi.org/10.1109/DSN.2007.103" TargetMode="External" /><Relationship Type="http://schemas.openxmlformats.org/officeDocument/2006/relationships/hyperlink" Id="rId120" Target="https://doi.org/10.1109/ICDE.2001.914830" TargetMode="External" /><Relationship Type="http://schemas.openxmlformats.org/officeDocument/2006/relationships/hyperlink" Id="rId147" Target="https://doi.org/10.1109/ICSE-SEIP.2019.00021" TargetMode="External" /><Relationship Type="http://schemas.openxmlformats.org/officeDocument/2006/relationships/hyperlink" Id="rId139" Target="https://doi.org/10.1109/ICSE43902.2021.00130" TargetMode="External" /><Relationship Type="http://schemas.openxmlformats.org/officeDocument/2006/relationships/hyperlink" Id="rId98" Target="https://doi.org/10.1109/IJCNN52387.2021.9534113" TargetMode="External" /><Relationship Type="http://schemas.openxmlformats.org/officeDocument/2006/relationships/hyperlink" Id="rId145" Target="https://doi.org/10.1109/ISSRE59848.2023.00071" TargetMode="External" /><Relationship Type="http://schemas.openxmlformats.org/officeDocument/2006/relationships/hyperlink" Id="rId131" Target="https://doi.org/10.1109/PHM.2008.4711414" TargetMode="External" /><Relationship Type="http://schemas.openxmlformats.org/officeDocument/2006/relationships/hyperlink" Id="rId76" Target="https://doi.org/10.1111/j.2517-6161.1995.tb02031.x" TargetMode="External" /><Relationship Type="http://schemas.openxmlformats.org/officeDocument/2006/relationships/hyperlink" Id="rId84" Target="https://doi.org/10.1145/312129.312191" TargetMode="External" /><Relationship Type="http://schemas.openxmlformats.org/officeDocument/2006/relationships/hyperlink" Id="rId74" Target="https://doi.org/10.1145/312129.312263" TargetMode="External" /><Relationship Type="http://schemas.openxmlformats.org/officeDocument/2006/relationships/hyperlink" Id="rId86" Target="https://doi.org/10.1145/3133956.3134015" TargetMode="External" /><Relationship Type="http://schemas.openxmlformats.org/officeDocument/2006/relationships/hyperlink" Id="rId143" Target="https://doi.org/10.1145/3338906.3338931" TargetMode="External" /><Relationship Type="http://schemas.openxmlformats.org/officeDocument/2006/relationships/hyperlink" Id="rId102" Target="https://doi.org/10.1145/342009.335372" TargetMode="External" /><Relationship Type="http://schemas.openxmlformats.org/officeDocument/2006/relationships/hyperlink" Id="rId112" Target="https://doi.org/10.1145/3472883.3487003" TargetMode="External" /><Relationship Type="http://schemas.openxmlformats.org/officeDocument/2006/relationships/hyperlink" Id="rId78" Target="https://doi.org/10.1214/aos/1013699998" TargetMode="External" /><Relationship Type="http://schemas.openxmlformats.org/officeDocument/2006/relationships/hyperlink" Id="rId108" Target="https://doi.org/10.1214/ss/1032209663" TargetMode="External" /><Relationship Type="http://schemas.openxmlformats.org/officeDocument/2006/relationships/hyperlink" Id="rId127" Target="https://doi.org/10.21105/joss.00638" TargetMode="External" /><Relationship Type="http://schemas.openxmlformats.org/officeDocument/2006/relationships/hyperlink" Id="rId114" Target="https://doi.org/10.24963/ijcai.2019/658" TargetMode="External" /><Relationship Type="http://schemas.openxmlformats.org/officeDocument/2006/relationships/hyperlink" Id="rId123" Target="https://doi.org/10.5281/zenodo.5841834" TargetMode="External" /><Relationship Type="http://schemas.openxmlformats.org/officeDocument/2006/relationships/hyperlink" Id="rId72" Target="https://github.com/alibaba/clusterdata" TargetMode="External" /><Relationship Type="http://schemas.openxmlformats.org/officeDocument/2006/relationships/hyperlink" Id="rId116" Target="https://www.kaggle.com/datasets/arnabbiswas1/microsoft-azure-predictive-maintenance" TargetMode="External" /><Relationship Type="http://schemas.openxmlformats.org/officeDocument/2006/relationships/hyperlink" Id="rId122" Target="https://zenodo.org/records/5841834" TargetMode="External" /><Relationship Type="http://schemas.openxmlformats.org/officeDocument/2006/relationships/hyperlink" Id="rId70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diagnostics/azure_window_horizon_vs_events.png" TargetMode="External" /><Relationship Type="http://schemas.openxmlformats.org/officeDocument/2006/relationships/hyperlink" Id="rId50" Target="../results/figures/azure_itemset_vs_sequence_lift.png" TargetMode="External" /><Relationship Type="http://schemas.openxmlformats.org/officeDocument/2006/relationships/hyperlink" Id="rId47" Target="../results/figures/azure_sensitivity_min_support.png" TargetMode="External" /><Relationship Type="http://schemas.openxmlformats.org/officeDocument/2006/relationships/hyperlink" Id="rId52" Target="../results/figures/four_dataset_predictive_comparison.png" TargetMode="External" /><Relationship Type="http://schemas.openxmlformats.org/officeDocument/2006/relationships/hyperlink" Id="rId59" Target="../results/tables/" TargetMode="External" /><Relationship Type="http://schemas.openxmlformats.org/officeDocument/2006/relationships/hyperlink" Id="rId88" Target="https://arxiv.org/abs/1410.2597" TargetMode="External" /><Relationship Type="http://schemas.openxmlformats.org/officeDocument/2006/relationships/hyperlink" Id="rId80" Target="https://arxiv.org/abs/1808.02919" TargetMode="External" /><Relationship Type="http://schemas.openxmlformats.org/officeDocument/2006/relationships/hyperlink" Id="rId100" Target="https://arxiv.org/abs/2401.04749" TargetMode="External" /><Relationship Type="http://schemas.openxmlformats.org/officeDocument/2006/relationships/hyperlink" Id="rId90" Target="https://doi.org/10.1007/978-3-031-11217-1_3" TargetMode="External" /><Relationship Type="http://schemas.openxmlformats.org/officeDocument/2006/relationships/hyperlink" Id="rId96" Target="https://doi.org/10.1007/978-3-319-06483-3_8" TargetMode="External" /><Relationship Type="http://schemas.openxmlformats.org/officeDocument/2006/relationships/hyperlink" Id="rId92" Target="https://doi.org/10.1007/978-3-319-06608-0_4" TargetMode="External" /><Relationship Type="http://schemas.openxmlformats.org/officeDocument/2006/relationships/hyperlink" Id="rId94" Target="https://doi.org/10.1007/978-3-319-46131-1_8" TargetMode="External" /><Relationship Type="http://schemas.openxmlformats.org/officeDocument/2006/relationships/hyperlink" Id="rId82" Target="https://doi.org/10.1007/978-3-319-46349-0_33" TargetMode="External" /><Relationship Type="http://schemas.openxmlformats.org/officeDocument/2006/relationships/hyperlink" Id="rId129" Target="https://doi.org/10.1007/978-981-16-1160-5_13" TargetMode="External" /><Relationship Type="http://schemas.openxmlformats.org/officeDocument/2006/relationships/hyperlink" Id="rId135" Target="https://doi.org/10.1007/BFb0014140" TargetMode="External" /><Relationship Type="http://schemas.openxmlformats.org/officeDocument/2006/relationships/hyperlink" Id="rId133" Target="https://doi.org/10.1007/s10489-021-03004-y" TargetMode="External" /><Relationship Type="http://schemas.openxmlformats.org/officeDocument/2006/relationships/hyperlink" Id="rId104" Target="https://doi.org/10.1007/s11227-024-06297-1" TargetMode="External" /><Relationship Type="http://schemas.openxmlformats.org/officeDocument/2006/relationships/hyperlink" Id="rId141" Target="https://doi.org/10.1023/A:1007652502315" TargetMode="External" /><Relationship Type="http://schemas.openxmlformats.org/officeDocument/2006/relationships/hyperlink" Id="rId106" Target="https://doi.org/10.1038/s41597-025-04802-6" TargetMode="External" /><Relationship Type="http://schemas.openxmlformats.org/officeDocument/2006/relationships/hyperlink" Id="rId137" Target="https://doi.org/10.1073/pnas.1302233110" TargetMode="External" /><Relationship Type="http://schemas.openxmlformats.org/officeDocument/2006/relationships/hyperlink" Id="rId125" Target="https://doi.org/10.1093/biomet/65.1.153" TargetMode="External" /><Relationship Type="http://schemas.openxmlformats.org/officeDocument/2006/relationships/hyperlink" Id="rId110" Target="https://doi.org/10.1109/BigData.2017.8258257" TargetMode="External" /><Relationship Type="http://schemas.openxmlformats.org/officeDocument/2006/relationships/hyperlink" Id="rId118" Target="https://doi.org/10.1109/DSN.2007.103" TargetMode="External" /><Relationship Type="http://schemas.openxmlformats.org/officeDocument/2006/relationships/hyperlink" Id="rId120" Target="https://doi.org/10.1109/ICDE.2001.914830" TargetMode="External" /><Relationship Type="http://schemas.openxmlformats.org/officeDocument/2006/relationships/hyperlink" Id="rId147" Target="https://doi.org/10.1109/ICSE-SEIP.2019.00021" TargetMode="External" /><Relationship Type="http://schemas.openxmlformats.org/officeDocument/2006/relationships/hyperlink" Id="rId139" Target="https://doi.org/10.1109/ICSE43902.2021.00130" TargetMode="External" /><Relationship Type="http://schemas.openxmlformats.org/officeDocument/2006/relationships/hyperlink" Id="rId98" Target="https://doi.org/10.1109/IJCNN52387.2021.9534113" TargetMode="External" /><Relationship Type="http://schemas.openxmlformats.org/officeDocument/2006/relationships/hyperlink" Id="rId145" Target="https://doi.org/10.1109/ISSRE59848.2023.00071" TargetMode="External" /><Relationship Type="http://schemas.openxmlformats.org/officeDocument/2006/relationships/hyperlink" Id="rId131" Target="https://doi.org/10.1109/PHM.2008.4711414" TargetMode="External" /><Relationship Type="http://schemas.openxmlformats.org/officeDocument/2006/relationships/hyperlink" Id="rId76" Target="https://doi.org/10.1111/j.2517-6161.1995.tb02031.x" TargetMode="External" /><Relationship Type="http://schemas.openxmlformats.org/officeDocument/2006/relationships/hyperlink" Id="rId84" Target="https://doi.org/10.1145/312129.312191" TargetMode="External" /><Relationship Type="http://schemas.openxmlformats.org/officeDocument/2006/relationships/hyperlink" Id="rId74" Target="https://doi.org/10.1145/312129.312263" TargetMode="External" /><Relationship Type="http://schemas.openxmlformats.org/officeDocument/2006/relationships/hyperlink" Id="rId86" Target="https://doi.org/10.1145/3133956.3134015" TargetMode="External" /><Relationship Type="http://schemas.openxmlformats.org/officeDocument/2006/relationships/hyperlink" Id="rId143" Target="https://doi.org/10.1145/3338906.3338931" TargetMode="External" /><Relationship Type="http://schemas.openxmlformats.org/officeDocument/2006/relationships/hyperlink" Id="rId102" Target="https://doi.org/10.1145/342009.335372" TargetMode="External" /><Relationship Type="http://schemas.openxmlformats.org/officeDocument/2006/relationships/hyperlink" Id="rId112" Target="https://doi.org/10.1145/3472883.3487003" TargetMode="External" /><Relationship Type="http://schemas.openxmlformats.org/officeDocument/2006/relationships/hyperlink" Id="rId78" Target="https://doi.org/10.1214/aos/1013699998" TargetMode="External" /><Relationship Type="http://schemas.openxmlformats.org/officeDocument/2006/relationships/hyperlink" Id="rId108" Target="https://doi.org/10.1214/ss/1032209663" TargetMode="External" /><Relationship Type="http://schemas.openxmlformats.org/officeDocument/2006/relationships/hyperlink" Id="rId127" Target="https://doi.org/10.21105/joss.00638" TargetMode="External" /><Relationship Type="http://schemas.openxmlformats.org/officeDocument/2006/relationships/hyperlink" Id="rId114" Target="https://doi.org/10.24963/ijcai.2019/658" TargetMode="External" /><Relationship Type="http://schemas.openxmlformats.org/officeDocument/2006/relationships/hyperlink" Id="rId123" Target="https://doi.org/10.5281/zenodo.5841834" TargetMode="External" /><Relationship Type="http://schemas.openxmlformats.org/officeDocument/2006/relationships/hyperlink" Id="rId72" Target="https://github.com/alibaba/clusterdata" TargetMode="External" /><Relationship Type="http://schemas.openxmlformats.org/officeDocument/2006/relationships/hyperlink" Id="rId116" Target="https://www.kaggle.com/datasets/arnabbiswas1/microsoft-azure-predictive-maintenance" TargetMode="External" /><Relationship Type="http://schemas.openxmlformats.org/officeDocument/2006/relationships/hyperlink" Id="rId122" Target="https://zenodo.org/records/5841834" TargetMode="External" /><Relationship Type="http://schemas.openxmlformats.org/officeDocument/2006/relationships/hyperlink" Id="rId70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2026-08-29T05:58:46Z</dcterms:created>
  <dcterms:modified xsi:type="dcterms:W3CDTF">2026-08-29T05:58:46Z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