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Mining</w:t>
      </w:r>
      <w:r>
        <w:t xml:space="preserve"> </w:t>
      </w:r>
      <w:r>
        <w:t xml:space="preserve">and</w:t>
      </w:r>
      <w:r>
        <w:t xml:space="preserve"> </w:t>
      </w:r>
      <w:r>
        <w:t xml:space="preserve">Validating</w:t>
      </w:r>
      <w:r>
        <w:t xml:space="preserve"> </w:t>
      </w:r>
      <w:r>
        <w:t xml:space="preserve">Pre-Failure</w:t>
      </w:r>
      <w:r>
        <w:t xml:space="preserve"> </w:t>
      </w:r>
      <w:r>
        <w:t xml:space="preserve">Signatures</w:t>
      </w:r>
      <w:r>
        <w:t xml:space="preserve"> </w:t>
      </w:r>
      <w:r>
        <w:t xml:space="preserve">in</w:t>
      </w:r>
      <w:r>
        <w:t xml:space="preserve"> </w:t>
      </w:r>
      <w:r>
        <w:t xml:space="preserve">Operational</w:t>
      </w:r>
      <w:r>
        <w:t xml:space="preserve"> </w:t>
      </w:r>
      <w:r>
        <w:t xml:space="preserve">Event</w:t>
      </w:r>
      <w:r>
        <w:t xml:space="preserve"> </w:t>
      </w:r>
      <w:r>
        <w:t xml:space="preserve">Logs</w:t>
      </w:r>
    </w:p>
    <w:p>
      <w:pPr>
        <w:pStyle w:val="Author"/>
      </w:pPr>
      <w:r>
        <w:t xml:space="preserve">Alexander</w:t>
      </w:r>
      <w:r>
        <w:t xml:space="preserve"> </w:t>
      </w:r>
      <w:r>
        <w:t xml:space="preserve">Apartsin</w:t>
      </w:r>
      <w:r>
        <w:rPr>
          <w:vertAlign w:val="superscript"/>
        </w:rPr>
        <w:t xml:space="preserve">1</w:t>
      </w:r>
    </w:p>
    <w:p>
      <w:pPr>
        <w:pStyle w:val="Author"/>
      </w:pPr>
      <w:r>
        <w:t xml:space="preserve">Yehudit</w:t>
      </w:r>
      <w:r>
        <w:t xml:space="preserve"> </w:t>
      </w:r>
      <w:r>
        <w:t xml:space="preserve">Aperstein</w:t>
      </w:r>
      <w:r>
        <w:rPr>
          <w:vertAlign w:val="superscript"/>
        </w:rPr>
        <w:t xml:space="preserve">2</w:t>
      </w:r>
    </w:p>
    <w:p>
      <w:pPr>
        <w:pStyle w:val="Date"/>
      </w:pPr>
      <w:r>
        <w:t xml:space="preserve">2026-08-30</w:t>
      </w:r>
    </w:p>
    <w:p>
      <w:pPr>
        <w:pStyle w:val="FirstParagraph"/>
      </w:pPr>
      <w:r>
        <w:rPr>
          <w:vertAlign w:val="superscript"/>
        </w:rPr>
        <w:t xml:space="preserve">1</w:t>
      </w:r>
      <w:r>
        <w:t xml:space="preserve"> </w:t>
      </w:r>
      <w:r>
        <w:t xml:space="preserve">School of Computer Science, Faculty of Sciences, Holon Institute of Technology (HIT), Holon, Israel</w:t>
      </w:r>
      <w:r>
        <w:br/>
      </w:r>
      <w:r>
        <w:rPr>
          <w:vertAlign w:val="superscript"/>
        </w:rPr>
        <w:t xml:space="preserve">2</w:t>
      </w:r>
      <w:r>
        <w:t xml:space="preserve"> </w:t>
      </w:r>
      <w:r>
        <w:t xml:space="preserve">Intelligent Systems, Afeka Academic College of Engineering, Tel-Aviv, Israel</w:t>
      </w:r>
    </w:p>
    <w:bookmarkStart w:id="20" w:name="abstract"/>
    <w:p>
      <w:pPr>
        <w:pStyle w:val="Heading2"/>
      </w:pPr>
      <w:r>
        <w:t xml:space="preserve">Abstract</w:t>
      </w:r>
    </w:p>
    <w:p>
      <w:pPr>
        <w:pStyle w:val="FirstParagraph"/>
      </w:pPr>
      <w:r>
        <w:t xml:space="preserve">Every large system logs discrete operational events: errors, retries,</w:t>
      </w:r>
      <w:r>
        <w:t xml:space="preserve"> </w:t>
      </w:r>
      <w:r>
        <w:t xml:space="preserve">task failures, maintenance actions. Frequent-pattern mining</w:t>
      </w:r>
      <w:r>
        <w:t xml:space="preserve"> </w:t>
      </w:r>
      <w:r>
        <w:t xml:space="preserve">(FP-Growth, PrefixSpan) surfaces recurrent event patterns in these</w:t>
      </w:r>
      <w:r>
        <w:t xml:space="preserve"> </w:t>
      </w:r>
      <w:r>
        <w:t xml:space="preserve">logs. We test whether pattern mining recovers precursor signatures on</w:t>
      </w:r>
      <w:r>
        <w:t xml:space="preserve"> </w:t>
      </w:r>
      <w:r>
        <w:t xml:space="preserve">real industrial telemetry when the underlying failure process</w:t>
      </w:r>
      <w:r>
        <w:t xml:space="preserve"> </w:t>
      </w:r>
      <w:r>
        <w:t xml:space="preserve">advances through discrete stages. The result is a signature</w:t>
      </w:r>
      <w:r>
        <w:t xml:space="preserve"> </w:t>
      </w:r>
      <w:r>
        <w:t xml:space="preserve">catalog mined from six operational traces: two independent wind-farm</w:t>
      </w:r>
      <w:r>
        <w:t xml:space="preserve"> </w:t>
      </w:r>
      <w:r>
        <w:t xml:space="preserve">alarm logs (Kelmarsh 6 × Senvion MM92, 482 forced outages over</w:t>
      </w:r>
      <w:r>
        <w:t xml:space="preserve"> </w:t>
      </w:r>
      <w:r>
        <w:t xml:space="preserve">2016-2017; Penmanshiel 9 × Senvion MM82, 790 forced outages in 2016),</w:t>
      </w:r>
      <w:r>
        <w:t xml:space="preserve"> </w:t>
      </w:r>
      <w:r>
        <w:t xml:space="preserve">Azure PdM (synthetic), Alibaba v2018 (production cloud), LLNL Blue</w:t>
      </w:r>
      <w:r>
        <w:t xml:space="preserve"> </w:t>
      </w:r>
      <w:r>
        <w:t xml:space="preserve">Gene/L syslogs (HPC), and SCANIA Component X (production automotive).</w:t>
      </w:r>
      <w:r>
        <w:t xml:space="preserve"> </w:t>
      </w:r>
      <w:r>
        <w:t xml:space="preserve">Every signature is validated on an entity-disjoint 50/50 discovery/</w:t>
      </w:r>
      <w:r>
        <w:t xml:space="preserve"> </w:t>
      </w:r>
      <w:r>
        <w:t xml:space="preserve">inference split, with post-selection-valid p-values (Fithian-Sun-</w:t>
      </w:r>
      <w:r>
        <w:t xml:space="preserve"> </w:t>
      </w:r>
      <w:r>
        <w:t xml:space="preserve">Taylor) and Benjamini-Yekutieli FDR control on the inference half. A</w:t>
      </w:r>
      <w:r>
        <w:t xml:space="preserve"> </w:t>
      </w:r>
      <w:r>
        <w:t xml:space="preserve">count-preserving order comparator removes the multiplicity confound,</w:t>
      </w:r>
      <w:r>
        <w:t xml:space="preserve"> </w:t>
      </w:r>
      <w:r>
        <w:t xml:space="preserve">and the right-censored SCANIA trace is scored by matched conditional</w:t>
      </w:r>
      <w:r>
        <w:t xml:space="preserve"> </w:t>
      </w:r>
      <w:r>
        <w:t xml:space="preserve">logistic regression stratified by risk set (Prentice-Breslow). The central result is a replicated physical</w:t>
      </w:r>
      <w:r>
        <w:t xml:space="preserve"> </w:t>
      </w:r>
      <w:r>
        <w:t xml:space="preserve">cascade: on</w:t>
      </w:r>
      <w:r>
        <w:t xml:space="preserve"> </w:t>
      </w:r>
      <w:r>
        <w:rPr>
          <w:b/>
          <w:bCs/>
        </w:rPr>
        <w:t xml:space="preserve">two independent Senvion wind farms of different rotor</w:t>
      </w:r>
      <w:r>
        <w:rPr>
          <w:b/>
          <w:bCs/>
        </w:rPr>
        <w:t xml:space="preserve"> </w:t>
      </w:r>
      <w:r>
        <w:rPr>
          <w:b/>
          <w:bCs/>
        </w:rPr>
        <w:t xml:space="preserve">size and site, discovery/inference mining surfaces zero-control</w:t>
      </w:r>
      <w:r>
        <w:rPr>
          <w:b/>
          <w:bCs/>
        </w:rPr>
        <w:t xml:space="preserve"> </w:t>
      </w:r>
      <w:r>
        <w:rPr>
          <w:b/>
          <w:bCs/>
        </w:rPr>
        <w:t xml:space="preserve">cascade signatures of the same form at inference-half lift 4.00</w:t>
      </w:r>
      <w:r>
        <w:t xml:space="preserve"> </w:t>
      </w:r>
      <w:r>
        <w:t xml:space="preserve">(generator-fan overload codes on Kelmarsh, safety-system and</w:t>
      </w:r>
      <w:r>
        <w:t xml:space="preserve"> </w:t>
      </w:r>
      <w:r>
        <w:t xml:space="preserve">frequency-converter codes on Penmanshiel). Azure</w:t>
      </w:r>
      <w:r>
        <w:t xml:space="preserve"> </w:t>
      </w:r>
      <w:r>
        <w:t xml:space="preserve">PdM and Alibaba v2018 reproduce the effect in cloud and maintenance</w:t>
      </w:r>
      <w:r>
        <w:t xml:space="preserve"> </w:t>
      </w:r>
      <w:r>
        <w:t xml:space="preserve">logs, with ordering adding no signal on Alibaba once event</w:t>
      </w:r>
      <w:r>
        <w:t xml:space="preserve"> </w:t>
      </w:r>
      <w:r>
        <w:t xml:space="preserve">multiplicity is controlled. SCANIA Component X, right-censored,</w:t>
      </w:r>
      <w:r>
        <w:t xml:space="preserve"> </w:t>
      </w:r>
      <w:r>
        <w:t xml:space="preserve">yields interpretable per-truck hazard ratios under matched</w:t>
      </w:r>
      <w:r>
        <w:t xml:space="preserve"> </w:t>
      </w:r>
      <w:r>
        <w:t xml:space="preserve">conditional logistic regression on a disjoint inference half (74 of</w:t>
      </w:r>
      <w:r>
        <w:t xml:space="preserve"> </w:t>
      </w:r>
      <w:r>
        <w:t xml:space="preserve">200 discovery-selected patterns survive the arbitrary-dependence FDR;</w:t>
      </w:r>
      <w:r>
        <w:t xml:space="preserve"> </w:t>
      </w:r>
      <w:r>
        <w:t xml:space="preserve">top HR 1.60). BGL is the mapped boundary</w:t>
      </w:r>
      <w:r>
        <w:t xml:space="preserve"> </w:t>
      </w:r>
      <w:r>
        <w:t xml:space="preserve">case where the only surviving pattern is a barely-enriched fatal-error</w:t>
      </w:r>
      <w:r>
        <w:t xml:space="preserve"> </w:t>
      </w:r>
      <w:r>
        <w:t xml:space="preserve">marker (lift 1.16), so no deployable non-alert precursor reaches the</w:t>
      </w:r>
      <w:r>
        <w:t xml:space="preserve"> </w:t>
      </w:r>
      <w:r>
        <w:t xml:space="preserve">catalog. Mining code, splits,</w:t>
      </w:r>
      <w:r>
        <w:t xml:space="preserve"> </w:t>
      </w:r>
      <w:r>
        <w:t xml:space="preserve">matched-hazard outputs, and per-dataset signature tables are released</w:t>
      </w:r>
      <w:r>
        <w:t xml:space="preserve"> </w:t>
      </w:r>
      <w:r>
        <w:t xml:space="preserve">as reproducible parquet artefacts.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failure prediction; frequent itemset mining; sequential</w:t>
      </w:r>
      <w:r>
        <w:t xml:space="preserve"> </w:t>
      </w:r>
      <w:r>
        <w:t xml:space="preserve">pattern mining; post-selection inference; false discovery rate;</w:t>
      </w:r>
      <w:r>
        <w:t xml:space="preserve"> </w:t>
      </w:r>
      <w:r>
        <w:t xml:space="preserve">predictive maintenance; operational event logs.</w:t>
      </w:r>
    </w:p>
    <w:bookmarkEnd w:id="20"/>
    <w:bookmarkStart w:id="21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Operational logs from datacenters, industrial fleets, and cloud</w:t>
      </w:r>
      <w:r>
        <w:t xml:space="preserve"> </w:t>
      </w:r>
      <w:r>
        <w:t xml:space="preserve">platforms carry a rich stream of discrete events: software errors,</w:t>
      </w:r>
      <w:r>
        <w:t xml:space="preserve"> </w:t>
      </w:r>
      <w:r>
        <w:t xml:space="preserve">task failures, retries, eviction notices, maintenance actions,</w:t>
      </w:r>
      <w:r>
        <w:t xml:space="preserve"> </w:t>
      </w:r>
      <w:r>
        <w:t xml:space="preserve">component replacements. These events are usually consumed one at a</w:t>
      </w:r>
      <w:r>
        <w:t xml:space="preserve"> </w:t>
      </w:r>
      <w:r>
        <w:t xml:space="preserve">time by alerting systems and dashboards. We ask a different question:</w:t>
      </w:r>
      <w:r>
        <w:t xml:space="preserve"> </w:t>
      </w:r>
      <w:r>
        <w:t xml:space="preserve">do</w:t>
      </w:r>
      <w:r>
        <w:t xml:space="preserve"> </w:t>
      </w:r>
      <w:r>
        <w:rPr>
          <w:i/>
          <w:iCs/>
        </w:rPr>
        <w:t xml:space="preserve">recurrent ordered sequences</w:t>
      </w:r>
      <w:r>
        <w:t xml:space="preserve"> </w:t>
      </w:r>
      <w:r>
        <w:t xml:space="preserve">of these events precede failures</w:t>
      </w:r>
      <w:r>
        <w:t xml:space="preserve"> </w:t>
      </w:r>
      <w:r>
        <w:t xml:space="preserve">systematically enough to serve as early-warning signatures?</w:t>
      </w:r>
    </w:p>
    <w:p>
      <w:pPr>
        <w:pStyle w:val="BodyText"/>
      </w:pPr>
      <w:r>
        <w:t xml:space="preserve">Two mining families answer this shape of question. Frequent itemset</w:t>
      </w:r>
      <w:r>
        <w:t xml:space="preserve"> </w:t>
      </w:r>
      <w:r>
        <w:t xml:space="preserve">mining (Apriori, FP-Growth) treats each pre-failure window as an</w:t>
      </w:r>
      <w:r>
        <w:t xml:space="preserve"> </w:t>
      </w:r>
      <w:r>
        <w:t xml:space="preserve">unordered set of events. Sequential pattern mining (PrefixSpan,</w:t>
      </w:r>
      <w:r>
        <w:t xml:space="preserve"> </w:t>
      </w:r>
      <w:r>
        <w:t xml:space="preserve">SPADE, GSP) preserves temporal order. One methodological question</w:t>
      </w:r>
      <w:r>
        <w:t xml:space="preserve"> </w:t>
      </w:r>
      <w:r>
        <w:t xml:space="preserve">runs through the paper: does the second family find anything the</w:t>
      </w:r>
      <w:r>
        <w:t xml:space="preserve"> </w:t>
      </w:r>
      <w:r>
        <w:t xml:space="preserve">first does not? Its central deliverable is a catalog of validated</w:t>
      </w:r>
      <w:r>
        <w:t xml:space="preserve"> </w:t>
      </w:r>
      <w:r>
        <w:t xml:space="preserve">pre-failure signatures, anchored by a physical cascade replicated</w:t>
      </w:r>
      <w:r>
        <w:t xml:space="preserve"> </w:t>
      </w:r>
      <w:r>
        <w:t xml:space="preserve">across two independent wind farms.</w:t>
      </w:r>
    </w:p>
    <w:p>
      <w:pPr>
        <w:pStyle w:val="BodyText"/>
      </w:pPr>
      <w:r>
        <w:t xml:space="preserve">We contribute: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matched-control frequent-pattern pipeline that separates</w:t>
      </w:r>
      <w:r>
        <w:rPr>
          <w:b/>
          <w:bCs/>
        </w:rPr>
        <w:t xml:space="preserve"> </w:t>
      </w:r>
      <w:r>
        <w:rPr>
          <w:b/>
          <w:bCs/>
        </w:rPr>
        <w:t xml:space="preserve">predictive patterns from frequent noise</w:t>
      </w:r>
      <w:r>
        <w:t xml:space="preserve">, with sanity invariants</w:t>
      </w:r>
      <w:r>
        <w:t xml:space="preserve"> </w:t>
      </w:r>
      <w:r>
        <w:t xml:space="preserve">at every phase (random-label permutation for itemsets, within-</w:t>
      </w:r>
      <w:r>
        <w:t xml:space="preserve"> </w:t>
      </w:r>
      <w:r>
        <w:t xml:space="preserve">window order shuffle for sequences), exact hypergeometric</w:t>
      </w:r>
      <w:r>
        <w:t xml:space="preserve"> </w:t>
      </w:r>
      <w:r>
        <w:t xml:space="preserve">permutation p-values, and BH FDR correction on the per-pattern</w:t>
      </w:r>
      <w:r>
        <w:t xml:space="preserve"> </w:t>
      </w:r>
      <w:r>
        <w:t xml:space="preserve">significance test. The predictive-vs-noise separation is the</w:t>
      </w:r>
      <w:r>
        <w:t xml:space="preserve"> </w:t>
      </w:r>
      <w:r>
        <w:t xml:space="preserve">central object we characterise, not a downstream AUROC number.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generalisation of matched-control mining to right-censored</w:t>
      </w:r>
      <w:r>
        <w:rPr>
          <w:b/>
          <w:bCs/>
        </w:rPr>
        <w:t xml:space="preserve"> </w:t>
      </w:r>
      <w:r>
        <w:rPr>
          <w:b/>
          <w:bCs/>
        </w:rPr>
        <w:t xml:space="preserve">survival-style data via incidence-density (risk-set) sampling</w:t>
      </w:r>
      <w:r>
        <w:t xml:space="preserve"> </w:t>
      </w:r>
      <w:r>
        <w:t xml:space="preserve">with matched conditional logistic scoring stratified by risk set,</w:t>
      </w:r>
      <w:r>
        <w:t xml:space="preserve"> </w:t>
      </w:r>
      <w:r>
        <w:t xml:space="preserve">which estimates per-pattern hazard ratios without modifying the</w:t>
      </w:r>
      <w:r>
        <w:t xml:space="preserve"> </w:t>
      </w:r>
      <w:r>
        <w:t xml:space="preserve">mining stage. This is the tool that lets the pipeline apply to</w:t>
      </w:r>
      <w:r>
        <w:t xml:space="preserve"> </w:t>
      </w:r>
      <w:r>
        <w:t xml:space="preserve">traces where entities exit observation upon failure (Component X).</w:t>
      </w:r>
    </w:p>
    <w:p>
      <w:pPr>
        <w:pStyle w:val="Compact"/>
        <w:numPr>
          <w:ilvl w:val="0"/>
          <w:numId w:val="1001"/>
        </w:numPr>
      </w:pPr>
      <w:r>
        <w:t xml:space="preserve">A downstream</w:t>
      </w:r>
      <w:r>
        <w:t xml:space="preserve"> </w:t>
      </w:r>
      <w:r>
        <w:rPr>
          <w:b/>
          <w:bCs/>
        </w:rPr>
        <w:t xml:space="preserve">predictive evaluation</w:t>
      </w:r>
      <w:r>
        <w:t xml:space="preserve"> </w:t>
      </w:r>
      <w:r>
        <w:t xml:space="preserve">on a temporally-held-out</w:t>
      </w:r>
      <w:r>
        <w:t xml:space="preserve"> </w:t>
      </w:r>
      <w:r>
        <w:t xml:space="preserve">split that compares four feature sets (event-count baseline,</w:t>
      </w:r>
      <w:r>
        <w:t xml:space="preserve"> </w:t>
      </w:r>
      <w:r>
        <w:t xml:space="preserve">itemsets, sequences, combined) built from patterns that survived</w:t>
      </w:r>
      <w:r>
        <w:t xml:space="preserve"> </w:t>
      </w:r>
      <w:r>
        <w:t xml:space="preserve">training-set significance, under logistic regression.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Cross-dataset characterisation</w:t>
      </w:r>
      <w:r>
        <w:t xml:space="preserve"> </w:t>
      </w:r>
      <w:r>
        <w:t xml:space="preserve">on six public traces: two</w:t>
      </w:r>
      <w:r>
        <w:t xml:space="preserve"> </w:t>
      </w:r>
      <w:r>
        <w:t xml:space="preserve">production wind farms (Kelmarsh, Penmanshiel), synthetic</w:t>
      </w:r>
      <w:r>
        <w:t xml:space="preserve"> </w:t>
      </w:r>
      <w:r>
        <w:t xml:space="preserve">industrial per-machine (Azure PdM), real cloud per-job (Alibaba</w:t>
      </w:r>
      <w:r>
        <w:t xml:space="preserve"> </w:t>
      </w:r>
      <w:r>
        <w:t xml:space="preserve">cluster-trace-v2018), real HPC per-rack (LLNL Blue Gene/L</w:t>
      </w:r>
      <w:r>
        <w:t xml:space="preserve"> </w:t>
      </w:r>
      <w:r>
        <w:t xml:space="preserve">syslogs), and real automotive per-vehicle (SCANIA Component X). We</w:t>
      </w:r>
      <w:r>
        <w:t xml:space="preserve"> </w:t>
      </w:r>
      <w:r>
        <w:t xml:space="preserve">report the fraction of mined patterns that pass significance on</w:t>
      </w:r>
      <w:r>
        <w:t xml:space="preserve"> </w:t>
      </w:r>
      <w:r>
        <w:t xml:space="preserve">each trace, the strongest predictive signatures, and the</w:t>
      </w:r>
      <w:r>
        <w:t xml:space="preserve"> </w:t>
      </w:r>
      <w:r>
        <w:t xml:space="preserve">mechanistic reason why the post-selection-valid fraction varies</w:t>
      </w:r>
      <w:r>
        <w:t xml:space="preserve"> </w:t>
      </w:r>
      <w:r>
        <w:t xml:space="preserve">from 100% (Azure 24h itemsets) through 45% (Alibaba, BY-corrected)</w:t>
      </w:r>
      <w:r>
        <w:t xml:space="preserve"> </w:t>
      </w:r>
      <w:r>
        <w:t xml:space="preserve">to 0% (SCANIA last20 under post-selection-valid inference).</w:t>
      </w:r>
    </w:p>
    <w:p>
      <w:pPr>
        <w:pStyle w:val="Compact"/>
        <w:numPr>
          <w:ilvl w:val="0"/>
          <w:numId w:val="1001"/>
        </w:numPr>
      </w:pPr>
      <w:r>
        <w:t xml:space="preserve">A</w:t>
      </w:r>
      <w:r>
        <w:t xml:space="preserve"> </w:t>
      </w:r>
      <w:r>
        <w:rPr>
          <w:b/>
          <w:bCs/>
        </w:rPr>
        <w:t xml:space="preserve">validated signature catalog anchored by a replicated physical</w:t>
      </w:r>
      <w:r>
        <w:rPr>
          <w:b/>
          <w:bCs/>
        </w:rPr>
        <w:t xml:space="preserve"> </w:t>
      </w:r>
      <w:r>
        <w:rPr>
          <w:b/>
          <w:bCs/>
        </w:rPr>
        <w:t xml:space="preserve">cascade</w:t>
      </w:r>
      <w:r>
        <w:t xml:space="preserve">: two independent Senvion wind farms (Kelmarsh,</w:t>
      </w:r>
      <w:r>
        <w:t xml:space="preserve"> </w:t>
      </w:r>
      <w:r>
        <w:t xml:space="preserve">Penmanshiel) produce zero-control cascade signatures at</w:t>
      </w:r>
      <w:r>
        <w:t xml:space="preserve"> </w:t>
      </w:r>
      <w:r>
        <w:t xml:space="preserve">inference-half lift 4.00 under one mining protocol (§6.4), the</w:t>
      </w:r>
      <w:r>
        <w:t xml:space="preserve"> </w:t>
      </w:r>
      <w:r>
        <w:t xml:space="preserve">closest the study comes to a controlled cross-site replication.</w:t>
      </w:r>
    </w:p>
    <w:bookmarkEnd w:id="21"/>
    <w:bookmarkStart w:id="29" w:name="background-and-related-work"/>
    <w:p>
      <w:pPr>
        <w:pStyle w:val="Heading2"/>
      </w:pPr>
      <w:r>
        <w:t xml:space="preserve">2 Background and related work</w:t>
      </w:r>
    </w:p>
    <w:bookmarkStart w:id="22" w:name="X9628e7f76eef08e98b9d1aca8c234075694d1d8"/>
    <w:p>
      <w:pPr>
        <w:pStyle w:val="Heading3"/>
      </w:pPr>
      <w:r>
        <w:t xml:space="preserve">2.1 Frequent itemset and sequential pattern mining</w:t>
      </w:r>
    </w:p>
    <w:p>
      <w:pPr>
        <w:pStyle w:val="FirstParagraph"/>
      </w:pPr>
      <w:r>
        <w:t xml:space="preserve">The two mining families this paper compares are well-established.</w:t>
      </w:r>
      <w:r>
        <w:t xml:space="preserve"> </w:t>
      </w:r>
      <w:r>
        <w:t xml:space="preserve">Association-rule mining introduced Apriori</w:t>
      </w:r>
      <w:r>
        <w:t xml:space="preserve"> </w:t>
      </w:r>
      <w:r>
        <w:t xml:space="preserve">[</w:t>
      </w:r>
      <w:hyperlink w:anchor="ref-agrawal1994fast">
        <w:r>
          <w:rPr>
            <w:rStyle w:val="Hyperlink"/>
          </w:rPr>
          <w:t xml:space="preserve">1</w:t>
        </w:r>
      </w:hyperlink>
      <w:r>
        <w:t xml:space="preserve">]</w:t>
      </w:r>
      <w:r>
        <w:t xml:space="preserve"> </w:t>
      </w:r>
      <w:r>
        <w:t xml:space="preserve">and</w:t>
      </w:r>
      <w:r>
        <w:t xml:space="preserve"> </w:t>
      </w:r>
      <w:r>
        <w:t xml:space="preserve">FP-Growth</w:t>
      </w:r>
      <w:r>
        <w:t xml:space="preserve"> </w:t>
      </w:r>
      <w:r>
        <w:t xml:space="preserve">[</w:t>
      </w:r>
      <w:hyperlink w:anchor="ref-han2000mining">
        <w:r>
          <w:rPr>
            <w:rStyle w:val="Hyperlink"/>
          </w:rPr>
          <w:t xml:space="preserve">2</w:t>
        </w:r>
      </w:hyperlink>
      <w:r>
        <w:t xml:space="preserve">]</w:t>
      </w:r>
      <w:r>
        <w:t xml:space="preserve"> </w:t>
      </w:r>
      <w:r>
        <w:t xml:space="preserve">over unordered transactions, the latter</w:t>
      </w:r>
      <w:r>
        <w:t xml:space="preserve"> </w:t>
      </w:r>
      <w:r>
        <w:t xml:space="preserve">avoiding candidate generation through a compressed frequent-pattern</w:t>
      </w:r>
      <w:r>
        <w:t xml:space="preserve"> </w:t>
      </w:r>
      <w:r>
        <w:t xml:space="preserve">tree. Sequential pattern mining extended this to ordered event</w:t>
      </w:r>
      <w:r>
        <w:t xml:space="preserve"> </w:t>
      </w:r>
      <w:r>
        <w:t xml:space="preserve">streams: GSP</w:t>
      </w:r>
      <w:r>
        <w:t xml:space="preserve"> </w:t>
      </w:r>
      <w:r>
        <w:t xml:space="preserve">[</w:t>
      </w:r>
      <w:hyperlink w:anchor="ref-srikant1996gsp">
        <w:r>
          <w:rPr>
            <w:rStyle w:val="Hyperlink"/>
          </w:rPr>
          <w:t xml:space="preserve">3</w:t>
        </w:r>
      </w:hyperlink>
      <w:r>
        <w:t xml:space="preserve">]</w:t>
      </w:r>
      <w:r>
        <w:t xml:space="preserve"> </w:t>
      </w:r>
      <w:r>
        <w:t xml:space="preserve">generalises Apriori-style level-wise</w:t>
      </w:r>
      <w:r>
        <w:t xml:space="preserve"> </w:t>
      </w:r>
      <w:r>
        <w:t xml:space="preserve">generation to sequences; SPADE</w:t>
      </w:r>
      <w:r>
        <w:t xml:space="preserve"> </w:t>
      </w:r>
      <w:r>
        <w:t xml:space="preserve">[</w:t>
      </w:r>
      <w:hyperlink w:anchor="ref-zaki2001spade">
        <w:r>
          <w:rPr>
            <w:rStyle w:val="Hyperlink"/>
          </w:rPr>
          <w:t xml:space="preserve">4</w:t>
        </w:r>
      </w:hyperlink>
      <w:r>
        <w:t xml:space="preserve">]</w:t>
      </w:r>
      <w:r>
        <w:t xml:space="preserve"> </w:t>
      </w:r>
      <w:r>
        <w:t xml:space="preserve">uses a vertical</w:t>
      </w:r>
      <w:r>
        <w:t xml:space="preserve"> </w:t>
      </w:r>
      <w:r>
        <w:t xml:space="preserve">id-list format; PrefixSpan</w:t>
      </w:r>
      <w:r>
        <w:t xml:space="preserve"> </w:t>
      </w:r>
      <w:r>
        <w:t xml:space="preserve">[</w:t>
      </w:r>
      <w:hyperlink w:anchor="ref-pei2001prefixspan">
        <w:r>
          <w:rPr>
            <w:rStyle w:val="Hyperlink"/>
          </w:rPr>
          <w:t xml:space="preserve">5</w:t>
        </w:r>
      </w:hyperlink>
      <w:r>
        <w:t xml:space="preserve">]</w:t>
      </w:r>
      <w:r>
        <w:t xml:space="preserve"> </w:t>
      </w:r>
      <w:r>
        <w:t xml:space="preserve">uses prefix-projected</w:t>
      </w:r>
      <w:r>
        <w:t xml:space="preserve"> </w:t>
      </w:r>
      <w:r>
        <w:t xml:space="preserve">pattern growth, and is the algorithm we use in this paper.</w:t>
      </w:r>
    </w:p>
    <w:p>
      <w:pPr>
        <w:pStyle w:val="BodyText"/>
      </w:pPr>
      <w:r>
        <w:t xml:space="preserve">Later variants sharpen the raw output. CM-SPAM / CM-SPADE</w:t>
      </w:r>
      <w:r>
        <w:t xml:space="preserve"> </w:t>
      </w:r>
      <w:r>
        <w:t xml:space="preserve">[</w:t>
      </w:r>
      <w:hyperlink w:anchor="ref-fournierviger2014cmspade">
        <w:r>
          <w:rPr>
            <w:rStyle w:val="Hyperlink"/>
          </w:rPr>
          <w:t xml:space="preserve">6</w:t>
        </w:r>
      </w:hyperlink>
      <w:r>
        <w:t xml:space="preserve">]</w:t>
      </w:r>
      <w:r>
        <w:t xml:space="preserve"> </w:t>
      </w:r>
      <w:r>
        <w:t xml:space="preserve">speed vertical mining through co-occurrence</w:t>
      </w:r>
      <w:r>
        <w:t xml:space="preserve"> </w:t>
      </w:r>
      <w:r>
        <w:t xml:space="preserve">pruning; VMSP</w:t>
      </w:r>
      <w:r>
        <w:t xml:space="preserve"> </w:t>
      </w:r>
      <w:r>
        <w:t xml:space="preserve">[</w:t>
      </w:r>
      <w:hyperlink w:anchor="ref-fournierviger2014vmsp">
        <w:r>
          <w:rPr>
            <w:rStyle w:val="Hyperlink"/>
          </w:rPr>
          <w:t xml:space="preserve">7</w:t>
        </w:r>
      </w:hyperlink>
      <w:r>
        <w:t xml:space="preserve">]</w:t>
      </w:r>
      <w:r>
        <w:t xml:space="preserve"> </w:t>
      </w:r>
      <w:r>
        <w:t xml:space="preserve">returns only maximal sequences,</w:t>
      </w:r>
      <w:r>
        <w:t xml:space="preserve"> </w:t>
      </w:r>
      <w:r>
        <w:t xml:space="preserve">compressing the pattern set without losing coverage. A recent survey</w:t>
      </w:r>
      <w:r>
        <w:t xml:space="preserve"> </w:t>
      </w:r>
      <w:r>
        <w:t xml:space="preserve">[</w:t>
      </w:r>
      <w:hyperlink w:anchor="ref-fournierviger2022patternmining">
        <w:r>
          <w:rPr>
            <w:rStyle w:val="Hyperlink"/>
          </w:rPr>
          <w:t xml:space="preserve">8</w:t>
        </w:r>
      </w:hyperlink>
      <w:r>
        <w:t xml:space="preserve">]</w:t>
      </w:r>
      <w:r>
        <w:t xml:space="preserve"> </w:t>
      </w:r>
      <w:r>
        <w:t xml:space="preserve">summarises open problems in the</w:t>
      </w:r>
      <w:r>
        <w:t xml:space="preserve"> </w:t>
      </w:r>
      <w:r>
        <w:t xml:space="preserve">area. All of these algorithms are implemented in the SPMF library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 which we call from Python for the sequence-mining</w:t>
      </w:r>
      <w:r>
        <w:t xml:space="preserve"> </w:t>
      </w:r>
      <w:r>
        <w:t xml:space="preserve">half of our pipeline; the itemset half uses</w:t>
      </w:r>
      <w:r>
        <w:t xml:space="preserve"> </w:t>
      </w:r>
      <w:r>
        <w:rPr>
          <w:rStyle w:val="VerbatimChar"/>
        </w:rPr>
        <w:t xml:space="preserve">mlxtend</w:t>
      </w:r>
      <w:r>
        <w:t xml:space="preserve"> </w:t>
      </w:r>
      <w:r>
        <w:t xml:space="preserve">[</w:t>
      </w:r>
      <w:hyperlink w:anchor="ref-raschka2018mlxtend">
        <w:r>
          <w:rPr>
            <w:rStyle w:val="Hyperlink"/>
          </w:rPr>
          <w:t xml:space="preserve">10</w:t>
        </w:r>
      </w:hyperlink>
      <w:r>
        <w:t xml:space="preserve">]</w:t>
      </w:r>
      <w:r>
        <w:t xml:space="preserve">.</w:t>
      </w:r>
    </w:p>
    <w:bookmarkEnd w:id="22"/>
    <w:bookmarkStart w:id="23" w:name="Xa808e2839045ed9b5bd28673ad2f734e83696c3"/>
    <w:p>
      <w:pPr>
        <w:pStyle w:val="Heading3"/>
      </w:pPr>
      <w:r>
        <w:t xml:space="preserve">2.2 Failure prediction from operational event logs</w:t>
      </w:r>
    </w:p>
    <w:p>
      <w:pPr>
        <w:pStyle w:val="FirstParagraph"/>
      </w:pPr>
      <w:r>
        <w:t xml:space="preserve">Two families of methods dominate the literature: (i) explicit</w:t>
      </w:r>
      <w:r>
        <w:t xml:space="preserve"> </w:t>
      </w:r>
      <w:r>
        <w:t xml:space="preserve">frequent-pattern mining on parsed log templates, close to what this</w:t>
      </w:r>
      <w:r>
        <w:t xml:space="preserve"> </w:t>
      </w:r>
      <w:r>
        <w:t xml:space="preserve">paper does, and (ii) deep learning over log sequences.</w:t>
      </w:r>
    </w:p>
    <w:p>
      <w:pPr>
        <w:pStyle w:val="BodyText"/>
      </w:pPr>
      <w:r>
        <w:rPr>
          <w:b/>
          <w:bCs/>
        </w:rPr>
        <w:t xml:space="preserve">Pattern mining.</w:t>
      </w:r>
      <w:r>
        <w:t xml:space="preserve"> </w:t>
      </w:r>
      <w:r>
        <w:t xml:space="preserve">Ren et al.</w:t>
      </w:r>
      <w:r>
        <w:t xml:space="preserve"> </w:t>
      </w:r>
      <w:r>
        <w:t xml:space="preserve">[</w:t>
      </w:r>
      <w:hyperlink w:anchor="ref-ren2020failure">
        <w:r>
          <w:rPr>
            <w:rStyle w:val="Hyperlink"/>
          </w:rPr>
          <w:t xml:space="preserve">11</w:t>
        </w:r>
      </w:hyperlink>
      <w:r>
        <w:t xml:space="preserve">]</w:t>
      </w:r>
      <w:r>
        <w:t xml:space="preserve"> </w:t>
      </w:r>
      <w:r>
        <w:t xml:space="preserve">apply Spark FP-Growth</w:t>
      </w:r>
      <w:r>
        <w:t xml:space="preserve"> </w:t>
      </w:r>
      <w:r>
        <w:t xml:space="preserve">to failure prediction on BlueGene/L, LANL-HPC, and CMRI-Hadoop logs,</w:t>
      </w:r>
      <w:r>
        <w:t xml:space="preserve"> </w:t>
      </w:r>
      <w:r>
        <w:t xml:space="preserve">using event-density sliding windows over long-tail event vocabularies.</w:t>
      </w:r>
      <w:r>
        <w:t xml:space="preserve"> </w:t>
      </w:r>
      <w:r>
        <w:t xml:space="preserve">İfraz and Ersöz</w:t>
      </w:r>
      <w:r>
        <w:t xml:space="preserve"> </w:t>
      </w:r>
      <w:r>
        <w:t xml:space="preserve">[</w:t>
      </w:r>
      <w:hyperlink w:anchor="ref-ifraz2024sequential">
        <w:r>
          <w:rPr>
            <w:rStyle w:val="Hyperlink"/>
          </w:rPr>
          <w:t xml:space="preserve">12</w:t>
        </w:r>
      </w:hyperlink>
      <w:r>
        <w:t xml:space="preserve">]</w:t>
      </w:r>
      <w:r>
        <w:t xml:space="preserve"> </w:t>
      </w:r>
      <w:r>
        <w:t xml:space="preserve">run PrefixSpan and Apriori</w:t>
      </w:r>
      <w:r>
        <w:t xml:space="preserve"> </w:t>
      </w:r>
      <w:r>
        <w:t xml:space="preserve">side-by-side on a bus-fleet maintenance log, showing that sequence</w:t>
      </w:r>
      <w:r>
        <w:t xml:space="preserve"> </w:t>
      </w:r>
      <w:r>
        <w:t xml:space="preserve">mining recovers</w:t>
      </w:r>
      <w:r>
        <w:t xml:space="preserve"> </w:t>
      </w:r>
      <w:r>
        <w:t xml:space="preserve">“</w:t>
      </w:r>
      <w:r>
        <w:t xml:space="preserve">errors → replacement</w:t>
      </w:r>
      <w:r>
        <w:t xml:space="preserve">”</w:t>
      </w:r>
      <w:r>
        <w:t xml:space="preserve"> </w:t>
      </w:r>
      <w:r>
        <w:t xml:space="preserve">trajectories that itemset</w:t>
      </w:r>
      <w:r>
        <w:t xml:space="preserve"> </w:t>
      </w:r>
      <w:r>
        <w:t xml:space="preserve">mining misses. Both studies stop short of the post-selection-valid</w:t>
      </w:r>
      <w:r>
        <w:t xml:space="preserve"> </w:t>
      </w:r>
      <w:r>
        <w:t xml:space="preserve">matched-control + BY-corrected + predictive-utility comparison used</w:t>
      </w:r>
      <w:r>
        <w:t xml:space="preserve"> </w:t>
      </w:r>
      <w:r>
        <w:t xml:space="preserve">here, and neither touches Alibaba PdM or Azure.</w:t>
      </w:r>
    </w:p>
    <w:p>
      <w:pPr>
        <w:pStyle w:val="BodyText"/>
      </w:pPr>
      <w:r>
        <w:rPr>
          <w:b/>
          <w:bCs/>
        </w:rPr>
        <w:t xml:space="preserve">Industrial alarm-flood mining and wind-turbine alarm logs.</w:t>
      </w:r>
      <w:r>
        <w:t xml:space="preserve"> </w:t>
      </w:r>
      <w:r>
        <w:t xml:space="preserve">The</w:t>
      </w:r>
      <w:r>
        <w:t xml:space="preserve"> </w:t>
      </w:r>
      <w:r>
        <w:t xml:space="preserve">process-control community mines alarm sequences directly. Hu, Wang</w:t>
      </w:r>
      <w:r>
        <w:t xml:space="preserve"> </w:t>
      </w:r>
      <w:r>
        <w:t xml:space="preserve">and Wang</w:t>
      </w:r>
      <w:r>
        <w:t xml:space="preserve"> </w:t>
      </w:r>
      <w:r>
        <w:t xml:space="preserve">[</w:t>
      </w:r>
      <w:hyperlink w:anchor="ref-hu2023priority">
        <w:r>
          <w:rPr>
            <w:rStyle w:val="Hyperlink"/>
          </w:rPr>
          <w:t xml:space="preserve">13</w:t>
        </w:r>
      </w:hyperlink>
      <w:r>
        <w:t xml:space="preserve">]</w:t>
      </w:r>
      <w:r>
        <w:t xml:space="preserve"> </w:t>
      </w:r>
      <w:r>
        <w:t xml:space="preserve">mine priority-aware closed sequential</w:t>
      </w:r>
      <w:r>
        <w:t xml:space="preserve"> </w:t>
      </w:r>
      <w:r>
        <w:t xml:space="preserve">patterns to compress alarm floods into compact patterns; Hu et al.</w:t>
      </w:r>
      <w:r>
        <w:t xml:space="preserve"> </w:t>
      </w:r>
      <w:r>
        <w:t xml:space="preserve">[</w:t>
      </w:r>
      <w:hyperlink w:anchor="ref-hu2023frequent">
        <w:r>
          <w:rPr>
            <w:rStyle w:val="Hyperlink"/>
          </w:rPr>
          <w:t xml:space="preserve">14</w:t>
        </w:r>
      </w:hyperlink>
      <w:r>
        <w:t xml:space="preserve">]</w:t>
      </w:r>
      <w:r>
        <w:t xml:space="preserve"> </w:t>
      </w:r>
      <w:r>
        <w:t xml:space="preserve">adapt PrefixSpan to tolerate the short-term order</w:t>
      </w:r>
      <w:r>
        <w:t xml:space="preserve"> </w:t>
      </w:r>
      <w:r>
        <w:t xml:space="preserve">ambiguity of alarm timestamps. These methods are descriptive, keyed</w:t>
      </w:r>
      <w:r>
        <w:t xml:space="preserve"> </w:t>
      </w:r>
      <w:r>
        <w:t xml:space="preserve">to frequency and compactness rather than a validated pre-failure</w:t>
      </w:r>
      <w:r>
        <w:t xml:space="preserve"> </w:t>
      </w:r>
      <w:r>
        <w:t xml:space="preserve">claim; our count-preserving order comparator (§4.7) is the principled</w:t>
      </w:r>
      <w:r>
        <w:t xml:space="preserve"> </w:t>
      </w:r>
      <w:r>
        <w:t xml:space="preserve">test of exactly the order-vs-multiplicity ambiguity they handle</w:t>
      </w:r>
      <w:r>
        <w:t xml:space="preserve"> </w:t>
      </w:r>
      <w:r>
        <w:t xml:space="preserve">heuristically, and our matched controls turn each mined pattern into</w:t>
      </w:r>
      <w:r>
        <w:t xml:space="preserve"> </w:t>
      </w:r>
      <w:r>
        <w:t xml:space="preserve">an FDR-tested predictive hypothesis. On wind-turbine alarm logs</w:t>
      </w:r>
      <w:r>
        <w:t xml:space="preserve"> </w:t>
      </w:r>
      <w:r>
        <w:t xml:space="preserve">specifically, Chatterjee and Dethlefs</w:t>
      </w:r>
      <w:r>
        <w:t xml:space="preserve"> </w:t>
      </w:r>
      <w:r>
        <w:t xml:space="preserve">[</w:t>
      </w:r>
      <w:hyperlink w:anchor="ref-chatterjee2022deep">
        <w:r>
          <w:rPr>
            <w:rStyle w:val="Hyperlink"/>
          </w:rPr>
          <w:t xml:space="preserve">15</w:t>
        </w:r>
      </w:hyperlink>
      <w:r>
        <w:t xml:space="preserve">]</w:t>
      </w:r>
      <w:r>
        <w:t xml:space="preserve"> </w:t>
      </w:r>
      <w:r>
        <w:t xml:space="preserve">predict</w:t>
      </w:r>
      <w:r>
        <w:t xml:space="preserve"> </w:t>
      </w:r>
      <w:r>
        <w:t xml:space="preserve">repair actions with a bi-LSTM over turbine alarm sequences, and Shah</w:t>
      </w:r>
      <w:r>
        <w:t xml:space="preserve"> </w:t>
      </w:r>
      <w:r>
        <w:t xml:space="preserve">and Tan</w:t>
      </w:r>
      <w:r>
        <w:t xml:space="preserve"> </w:t>
      </w:r>
      <w:r>
        <w:t xml:space="preserve">[</w:t>
      </w:r>
      <w:hyperlink w:anchor="ref-shah2025alarm">
        <w:r>
          <w:rPr>
            <w:rStyle w:val="Hyperlink"/>
          </w:rPr>
          <w:t xml:space="preserve">16</w:t>
        </w:r>
      </w:hyperlink>
      <w:r>
        <w:t xml:space="preserve">]</w:t>
      </w:r>
      <w:r>
        <w:t xml:space="preserve"> </w:t>
      </w:r>
      <w:r>
        <w:t xml:space="preserve">forecast future turbine alarms with LSTM</w:t>
      </w:r>
      <w:r>
        <w:t xml:space="preserve"> </w:t>
      </w:r>
      <w:r>
        <w:t xml:space="preserve">regression. Both are black-box and forecast the alarm stream itself;</w:t>
      </w:r>
      <w:r>
        <w:t xml:space="preserve"> </w:t>
      </w:r>
      <w:r>
        <w:t xml:space="preserve">we mine auditable pre-failure signatures on the same class of Senvion</w:t>
      </w:r>
      <w:r>
        <w:t xml:space="preserve"> </w:t>
      </w:r>
      <w:r>
        <w:t xml:space="preserve">SCADA logs (Kelmarsh, Penmanshiel) with FDR guarantees and zero</w:t>
      </w:r>
      <w:r>
        <w:t xml:space="preserve"> </w:t>
      </w:r>
      <w:r>
        <w:t xml:space="preserve">control-window false alarms.</w:t>
      </w:r>
    </w:p>
    <w:p>
      <w:pPr>
        <w:pStyle w:val="BodyText"/>
      </w:pPr>
      <w:r>
        <w:rPr>
          <w:b/>
          <w:bCs/>
        </w:rPr>
        <w:t xml:space="preserve">Discriminative and statistically-significant pattern mining.</w:t>
      </w:r>
      <w:r>
        <w:t xml:space="preserve"> </w:t>
      </w:r>
      <w:r>
        <w:t xml:space="preserve">Dong</w:t>
      </w:r>
      <w:r>
        <w:t xml:space="preserve"> </w:t>
      </w:r>
      <w:r>
        <w:t xml:space="preserve">and Li</w:t>
      </w:r>
      <w:r>
        <w:t xml:space="preserve"> </w:t>
      </w:r>
      <w:r>
        <w:t xml:space="preserve">[</w:t>
      </w:r>
      <w:hyperlink w:anchor="ref-dong1999emerging">
        <w:r>
          <w:rPr>
            <w:rStyle w:val="Hyperlink"/>
          </w:rPr>
          <w:t xml:space="preserve">17</w:t>
        </w:r>
      </w:hyperlink>
      <w:r>
        <w:t xml:space="preserve">]</w:t>
      </w:r>
      <w:r>
        <w:t xml:space="preserve"> </w:t>
      </w:r>
      <w:r>
        <w:t xml:space="preserve">introduced emerging patterns as itemsets</w:t>
      </w:r>
      <w:r>
        <w:t xml:space="preserve"> </w:t>
      </w:r>
      <w:r>
        <w:t xml:space="preserve">whose support differs substantially between classes; Bay and Pazzani</w:t>
      </w:r>
      <w:r>
        <w:t xml:space="preserve"> </w:t>
      </w:r>
      <w:r>
        <w:t xml:space="preserve">[</w:t>
      </w:r>
      <w:hyperlink w:anchor="ref-bay1999contrast">
        <w:r>
          <w:rPr>
            <w:rStyle w:val="Hyperlink"/>
          </w:rPr>
          <w:t xml:space="preserve">18</w:t>
        </w:r>
      </w:hyperlink>
      <w:r>
        <w:t xml:space="preserve">]</w:t>
      </w:r>
      <w:r>
        <w:t xml:space="preserve"> </w:t>
      </w:r>
      <w:r>
        <w:t xml:space="preserve">formulated the parallel notion of contrast sets</w:t>
      </w:r>
      <w:r>
        <w:t xml:space="preserve"> </w:t>
      </w:r>
      <w:r>
        <w:t xml:space="preserve">in the same year. This class-contrast literature is a direct</w:t>
      </w:r>
      <w:r>
        <w:t xml:space="preserve"> </w:t>
      </w:r>
      <w:r>
        <w:t xml:space="preserve">ancestor of the paper’s predictive-vs-frequent-noise separation.</w:t>
      </w:r>
      <w:r>
        <w:t xml:space="preserve"> </w:t>
      </w:r>
      <w:r>
        <w:t xml:space="preserve">Statistically significant pattern mining sharpens the criterion:</w:t>
      </w:r>
      <w:r>
        <w:t xml:space="preserve"> </w:t>
      </w:r>
      <w:r>
        <w:t xml:space="preserve">Terada et al.</w:t>
      </w:r>
      <w:r>
        <w:t xml:space="preserve"> </w:t>
      </w:r>
      <w:r>
        <w:t xml:space="preserve">[</w:t>
      </w:r>
      <w:hyperlink w:anchor="ref-terada2013statssp">
        <w:r>
          <w:rPr>
            <w:rStyle w:val="Hyperlink"/>
          </w:rPr>
          <w:t xml:space="preserve">19</w:t>
        </w:r>
      </w:hyperlink>
      <w:r>
        <w:t xml:space="preserve">]</w:t>
      </w:r>
      <w:r>
        <w:t xml:space="preserve"> </w:t>
      </w:r>
      <w:r>
        <w:t xml:space="preserve">give an exact family-wise-error</w:t>
      </w:r>
      <w:r>
        <w:t xml:space="preserve"> </w:t>
      </w:r>
      <w:r>
        <w:t xml:space="preserve">control for combinatorial regulations, and the Hämäläinen-Webb</w:t>
      </w:r>
      <w:r>
        <w:t xml:space="preserve"> </w:t>
      </w:r>
      <w:r>
        <w:t xml:space="preserve">tutorial</w:t>
      </w:r>
      <w:r>
        <w:t xml:space="preserve"> </w:t>
      </w:r>
      <w:r>
        <w:t xml:space="preserve">[</w:t>
      </w:r>
      <w:hyperlink w:anchor="ref-hamalainen2019tutorial">
        <w:r>
          <w:rPr>
            <w:rStyle w:val="Hyperlink"/>
          </w:rPr>
          <w:t xml:space="preserve">20</w:t>
        </w:r>
      </w:hyperlink>
      <w:r>
        <w:t xml:space="preserve">]</w:t>
      </w:r>
      <w:r>
        <w:t xml:space="preserve"> </w:t>
      </w:r>
      <w:r>
        <w:t xml:space="preserve">is the canonical statement of the</w:t>
      </w:r>
      <w:r>
        <w:t xml:space="preserve"> </w:t>
      </w:r>
      <w:r>
        <w:t xml:space="preserve">multiple-testing pitfalls this class of method must handle. Recent</w:t>
      </w:r>
      <w:r>
        <w:t xml:space="preserve"> </w:t>
      </w:r>
      <w:r>
        <w:t xml:space="preserve">work controls the false discovery rate directly: Dalleiger and</w:t>
      </w:r>
      <w:r>
        <w:t xml:space="preserve"> </w:t>
      </w:r>
      <w:r>
        <w:t xml:space="preserve">Vreeken</w:t>
      </w:r>
      <w:r>
        <w:t xml:space="preserve"> </w:t>
      </w:r>
      <w:r>
        <w:t xml:space="preserve">[</w:t>
      </w:r>
      <w:hyperlink w:anchor="ref-dalleiger2022significant">
        <w:r>
          <w:rPr>
            <w:rStyle w:val="Hyperlink"/>
          </w:rPr>
          <w:t xml:space="preserve">21</w:t>
        </w:r>
      </w:hyperlink>
      <w:r>
        <w:t xml:space="preserve">]</w:t>
      </w:r>
      <w:r>
        <w:t xml:space="preserve"> </w:t>
      </w:r>
      <w:r>
        <w:t xml:space="preserve">test pattern significance against</w:t>
      </w:r>
      <w:r>
        <w:t xml:space="preserve"> </w:t>
      </w:r>
      <w:r>
        <w:t xml:space="preserve">an evolving data model under sequential FDR control, and Pellegrina</w:t>
      </w:r>
      <w:r>
        <w:t xml:space="preserve"> </w:t>
      </w:r>
      <w:r>
        <w:t xml:space="preserve">and Vandin</w:t>
      </w:r>
      <w:r>
        <w:t xml:space="preserve"> </w:t>
      </w:r>
      <w:r>
        <w:t xml:space="preserve">[</w:t>
      </w:r>
      <w:hyperlink w:anchor="ref-pellegrina2024efficient">
        <w:r>
          <w:rPr>
            <w:rStyle w:val="Hyperlink"/>
          </w:rPr>
          <w:t xml:space="preserve">22</w:t>
        </w:r>
      </w:hyperlink>
      <w:r>
        <w:t xml:space="preserve">]</w:t>
      </w:r>
      <w:r>
        <w:t xml:space="preserve"> </w:t>
      </w:r>
      <w:r>
        <w:t xml:space="preserve">mine significant itemsets,</w:t>
      </w:r>
      <w:r>
        <w:t xml:space="preserve"> </w:t>
      </w:r>
      <w:r>
        <w:t xml:space="preserve">sequential patterns, and subgroups with rigorous guarantees via</w:t>
      </w:r>
      <w:r>
        <w:t xml:space="preserve"> </w:t>
      </w:r>
      <w:r>
        <w:t xml:space="preserve">few-shot resampling. These are our closest methodological siblings.</w:t>
      </w:r>
      <w:r>
        <w:t xml:space="preserve"> </w:t>
      </w:r>
      <w:r>
        <w:t xml:space="preserve">All of these methods share the ordinary post-selection-inference</w:t>
      </w:r>
      <w:r>
        <w:t xml:space="preserve"> </w:t>
      </w:r>
      <w:r>
        <w:t xml:space="preserve">concern (Fithian, Sun and Taylor</w:t>
      </w:r>
      <w:r>
        <w:t xml:space="preserve"> </w:t>
      </w:r>
      <w:r>
        <w:t xml:space="preserve">[</w:t>
      </w:r>
      <w:hyperlink w:anchor="ref-fithian2014optimal">
        <w:r>
          <w:rPr>
            <w:rStyle w:val="Hyperlink"/>
          </w:rPr>
          <w:t xml:space="preserve">23</w:t>
        </w:r>
      </w:hyperlink>
      <w:r>
        <w:t xml:space="preserve">]</w:t>
      </w:r>
      <w:r>
        <w:t xml:space="preserve">) that mining</w:t>
      </w:r>
      <w:r>
        <w:t xml:space="preserve"> </w:t>
      </w:r>
      <w:r>
        <w:t xml:space="preserve">and testing on the same sample invalidates marginal p-values; we</w:t>
      </w:r>
      <w:r>
        <w:t xml:space="preserve"> </w:t>
      </w:r>
      <w:r>
        <w:t xml:space="preserve">address it via entity-disjoint discovery/inference splits (§4.5) and</w:t>
      </w:r>
      <w:r>
        <w:t xml:space="preserve"> </w:t>
      </w:r>
      <w:r>
        <w:t xml:space="preserve">add the pre-failure windowing and survival-matched design that the</w:t>
      </w:r>
      <w:r>
        <w:t xml:space="preserve"> </w:t>
      </w:r>
      <w:r>
        <w:t xml:space="preserve">general-purpose significance frameworks do not model.</w:t>
      </w:r>
    </w:p>
    <w:p>
      <w:pPr>
        <w:pStyle w:val="BodyText"/>
      </w:pPr>
      <w:r>
        <w:rPr>
          <w:b/>
          <w:bCs/>
        </w:rPr>
        <w:t xml:space="preserve">Deep learning on log sequences.</w:t>
      </w:r>
      <w:r>
        <w:t xml:space="preserve"> </w:t>
      </w:r>
      <w:r>
        <w:t xml:space="preserve">DeepLog</w:t>
      </w:r>
      <w:r>
        <w:t xml:space="preserve"> </w:t>
      </w:r>
      <w:r>
        <w:t xml:space="preserve">[</w:t>
      </w:r>
      <w:hyperlink w:anchor="ref-du2017deeplog">
        <w:r>
          <w:rPr>
            <w:rStyle w:val="Hyperlink"/>
          </w:rPr>
          <w:t xml:space="preserve">24</w:t>
        </w:r>
      </w:hyperlink>
      <w:r>
        <w:t xml:space="preserve">]</w:t>
      </w:r>
      <w:r>
        <w:t xml:space="preserve"> </w:t>
      </w:r>
      <w:r>
        <w:t xml:space="preserve">frames</w:t>
      </w:r>
      <w:r>
        <w:t xml:space="preserve"> </w:t>
      </w:r>
      <w:r>
        <w:t xml:space="preserve">system-log anomaly detection as next-template prediction with a</w:t>
      </w:r>
      <w:r>
        <w:t xml:space="preserve"> </w:t>
      </w:r>
      <w:r>
        <w:t xml:space="preserve">stacked LSTM, and remains the canonical DL baseline. LogAnomaly</w:t>
      </w:r>
      <w:r>
        <w:t xml:space="preserve"> </w:t>
      </w:r>
      <w:r>
        <w:t xml:space="preserve">[</w:t>
      </w:r>
      <w:hyperlink w:anchor="ref-meng2019loganomaly">
        <w:r>
          <w:rPr>
            <w:rStyle w:val="Hyperlink"/>
          </w:rPr>
          <w:t xml:space="preserve">25</w:t>
        </w:r>
      </w:hyperlink>
      <w:r>
        <w:t xml:space="preserve">]</w:t>
      </w:r>
      <w:r>
        <w:t xml:space="preserve"> </w:t>
      </w:r>
      <w:r>
        <w:t xml:space="preserve">adds unsupervised quantitative-anomaly detection</w:t>
      </w:r>
      <w:r>
        <w:t xml:space="preserve"> </w:t>
      </w:r>
      <w:r>
        <w:t xml:space="preserve">alongside sequential anomalies. LogRobust</w:t>
      </w:r>
      <w:r>
        <w:t xml:space="preserve"> </w:t>
      </w:r>
      <w:r>
        <w:t xml:space="preserve">[</w:t>
      </w:r>
      <w:hyperlink w:anchor="ref-zhang2019logrobust">
        <w:r>
          <w:rPr>
            <w:rStyle w:val="Hyperlink"/>
          </w:rPr>
          <w:t xml:space="preserve">26</w:t>
        </w:r>
      </w:hyperlink>
      <w:r>
        <w:t xml:space="preserve">]</w:t>
      </w:r>
      <w:r>
        <w:t xml:space="preserve"> </w:t>
      </w:r>
      <w:r>
        <w:t xml:space="preserve">adds</w:t>
      </w:r>
      <w:r>
        <w:t xml:space="preserve"> </w:t>
      </w:r>
      <w:r>
        <w:t xml:space="preserve">an attention Bi-LSTM to survive log-template drift, and PLELog</w:t>
      </w:r>
      <w:r>
        <w:t xml:space="preserve"> </w:t>
      </w:r>
      <w:r>
        <w:t xml:space="preserve">[</w:t>
      </w:r>
      <w:hyperlink w:anchor="ref-yang2021plelog">
        <w:r>
          <w:rPr>
            <w:rStyle w:val="Hyperlink"/>
          </w:rPr>
          <w:t xml:space="preserve">27</w:t>
        </w:r>
      </w:hyperlink>
      <w:r>
        <w:t xml:space="preserve">]</w:t>
      </w:r>
      <w:r>
        <w:t xml:space="preserve"> </w:t>
      </w:r>
      <w:r>
        <w:t xml:space="preserve">introduces semi-supervised label estimation for the</w:t>
      </w:r>
      <w:r>
        <w:t xml:space="preserve"> </w:t>
      </w:r>
      <w:r>
        <w:t xml:space="preserve">weakly-labelled setting. Recent transformer approaches (LogBERT</w:t>
      </w:r>
      <w:r>
        <w:t xml:space="preserve"> </w:t>
      </w:r>
      <w:r>
        <w:t xml:space="preserve">[</w:t>
      </w:r>
      <w:hyperlink w:anchor="ref-guo2021logbert">
        <w:r>
          <w:rPr>
            <w:rStyle w:val="Hyperlink"/>
          </w:rPr>
          <w:t xml:space="preserve">28</w:t>
        </w:r>
      </w:hyperlink>
      <w:r>
        <w:t xml:space="preserve">]</w:t>
      </w:r>
      <w:r>
        <w:t xml:space="preserve">; LogFormer</w:t>
      </w:r>
      <w:r>
        <w:t xml:space="preserve"> </w:t>
      </w:r>
      <w:r>
        <w:t xml:space="preserve">[</w:t>
      </w:r>
      <w:hyperlink w:anchor="ref-guo2024logformer">
        <w:r>
          <w:rPr>
            <w:rStyle w:val="Hyperlink"/>
          </w:rPr>
          <w:t xml:space="preserve">29</w:t>
        </w:r>
      </w:hyperlink>
      <w:r>
        <w:t xml:space="preserve">]</w:t>
      </w:r>
      <w:r>
        <w:t xml:space="preserve">) pre-train on unlabelled</w:t>
      </w:r>
      <w:r>
        <w:t xml:space="preserve"> </w:t>
      </w:r>
      <w:r>
        <w:t xml:space="preserve">logs and fine-tune for anomaly detection; the Landauer et al. survey</w:t>
      </w:r>
      <w:r>
        <w:t xml:space="preserve"> </w:t>
      </w:r>
      <w:r>
        <w:t xml:space="preserve">[</w:t>
      </w:r>
      <w:hyperlink w:anchor="ref-landauer2023deep">
        <w:r>
          <w:rPr>
            <w:rStyle w:val="Hyperlink"/>
          </w:rPr>
          <w:t xml:space="preserve">30</w:t>
        </w:r>
      </w:hyperlink>
      <w:r>
        <w:t xml:space="preserve">]</w:t>
      </w:r>
      <w:r>
        <w:t xml:space="preserve"> </w:t>
      </w:r>
      <w:r>
        <w:t xml:space="preserve">catalogues this landscape and its benchmark</w:t>
      </w:r>
      <w:r>
        <w:t xml:space="preserve"> </w:t>
      </w:r>
      <w:r>
        <w:t xml:space="preserve">datasets (including BGL). Hadadi et al.</w:t>
      </w:r>
      <w:r>
        <w:t xml:space="preserve"> </w:t>
      </w:r>
      <w:r>
        <w:t xml:space="preserve">[</w:t>
      </w:r>
      <w:hyperlink w:anchor="ref-hadadi2024systematic">
        <w:r>
          <w:rPr>
            <w:rStyle w:val="Hyperlink"/>
          </w:rPr>
          <w:t xml:space="preserve">31</w:t>
        </w:r>
      </w:hyperlink>
      <w:r>
        <w:t xml:space="preserve">]</w:t>
      </w:r>
      <w:r>
        <w:t xml:space="preserve"> </w:t>
      </w:r>
      <w:r>
        <w:t xml:space="preserve">give</w:t>
      </w:r>
      <w:r>
        <w:t xml:space="preserve"> </w:t>
      </w:r>
      <w:r>
        <w:t xml:space="preserve">the systematic controlled study of log-embedding by architecture</w:t>
      </w:r>
      <w:r>
        <w:t xml:space="preserve"> </w:t>
      </w:r>
      <w:r>
        <w:t xml:space="preserve">combinations for log-based failure prediction, the canonical modern</w:t>
      </w:r>
      <w:r>
        <w:t xml:space="preserve"> </w:t>
      </w:r>
      <w:r>
        <w:t xml:space="preserve">DL baseline framing. These methods generally outperform classical</w:t>
      </w:r>
      <w:r>
        <w:t xml:space="preserve"> </w:t>
      </w:r>
      <w:r>
        <w:t xml:space="preserve">pattern miners on held-out AUROC when trained on enough data, but</w:t>
      </w:r>
      <w:r>
        <w:t xml:space="preserve"> </w:t>
      </w:r>
      <w:r>
        <w:t xml:space="preserve">produce opaque per-line anomaly scores rather than interpretable</w:t>
      </w:r>
      <w:r>
        <w:t xml:space="preserve"> </w:t>
      </w:r>
      <w:r>
        <w:t xml:space="preserve">pre-failure signatures. Our contribution is orthogonal:</w:t>
      </w:r>
      <w:r>
        <w:t xml:space="preserve"> </w:t>
      </w:r>
      <w:r>
        <w:t xml:space="preserve">we ask whether explicit ordered patterns add signal over their</w:t>
      </w:r>
      <w:r>
        <w:t xml:space="preserve"> </w:t>
      </w:r>
      <w:r>
        <w:t xml:space="preserve">itemset counterparts, with every mined pattern human-readable and</w:t>
      </w:r>
      <w:r>
        <w:t xml:space="preserve"> </w:t>
      </w:r>
      <w:r>
        <w:t xml:space="preserve">independently significance-tested.</w:t>
      </w:r>
    </w:p>
    <w:bookmarkEnd w:id="23"/>
    <w:bookmarkStart w:id="24" w:name="log-parsing-infrastructure"/>
    <w:p>
      <w:pPr>
        <w:pStyle w:val="Heading3"/>
      </w:pPr>
      <w:r>
        <w:t xml:space="preserve">2.3 Log-parsing infrastructure</w:t>
      </w:r>
    </w:p>
    <w:p>
      <w:pPr>
        <w:pStyle w:val="FirstParagraph"/>
      </w:pPr>
      <w:r>
        <w:t xml:space="preserve">The raw text of most system logs must first be converted into event</w:t>
      </w:r>
      <w:r>
        <w:t xml:space="preserve"> </w:t>
      </w:r>
      <w:r>
        <w:t xml:space="preserve">templates before either family of methods applies. The Loghub</w:t>
      </w:r>
      <w:r>
        <w:t xml:space="preserve"> </w:t>
      </w:r>
      <w:r>
        <w:t xml:space="preserve">collection</w:t>
      </w:r>
      <w:r>
        <w:t xml:space="preserve"> </w:t>
      </w:r>
      <w:r>
        <w:t xml:space="preserve">[</w:t>
      </w:r>
      <w:hyperlink w:anchor="ref-zhu2023loghub">
        <w:r>
          <w:rPr>
            <w:rStyle w:val="Hyperlink"/>
          </w:rPr>
          <w:t xml:space="preserve">32</w:t>
        </w:r>
      </w:hyperlink>
      <w:r>
        <w:t xml:space="preserve">]</w:t>
      </w:r>
      <w:r>
        <w:t xml:space="preserve"> </w:t>
      </w:r>
      <w:r>
        <w:t xml:space="preserve">curates parsed versions of BGL, HDFS,</w:t>
      </w:r>
      <w:r>
        <w:t xml:space="preserve"> </w:t>
      </w:r>
      <w:r>
        <w:t xml:space="preserve">Thunderbird, and 13 other benchmark log datasets; the parsing</w:t>
      </w:r>
      <w:r>
        <w:t xml:space="preserve"> </w:t>
      </w:r>
      <w:r>
        <w:t xml:space="preserve">benchmark of Zhu et al.</w:t>
      </w:r>
      <w:r>
        <w:t xml:space="preserve"> </w:t>
      </w:r>
      <w:r>
        <w:t xml:space="preserve">[</w:t>
      </w:r>
      <w:hyperlink w:anchor="ref-zhu2019logparsing">
        <w:r>
          <w:rPr>
            <w:rStyle w:val="Hyperlink"/>
          </w:rPr>
          <w:t xml:space="preserve">33</w:t>
        </w:r>
      </w:hyperlink>
      <w:r>
        <w:t xml:space="preserve">]</w:t>
      </w:r>
      <w:r>
        <w:t xml:space="preserve"> </w:t>
      </w:r>
      <w:r>
        <w:t xml:space="preserve">compares Drain and</w:t>
      </w:r>
      <w:r>
        <w:t xml:space="preserve"> </w:t>
      </w:r>
      <w:r>
        <w:t xml:space="preserve">alternative parsers on the same corpora. We take BGL from Loghub</w:t>
      </w:r>
      <w:r>
        <w:t xml:space="preserve"> </w:t>
      </w:r>
      <w:r>
        <w:t xml:space="preserve">directly and use its native label field, avoiding the parsing step</w:t>
      </w:r>
      <w:r>
        <w:t xml:space="preserve"> </w:t>
      </w:r>
      <w:r>
        <w:t xml:space="preserve">as a confound.</w:t>
      </w:r>
    </w:p>
    <w:bookmarkEnd w:id="24"/>
    <w:bookmarkStart w:id="25" w:name="X2cee95283128710baeed23d400dc2bb84c6e9a3"/>
    <w:p>
      <w:pPr>
        <w:pStyle w:val="Heading3"/>
      </w:pPr>
      <w:r>
        <w:t xml:space="preserve">2.4 Failure characterisation on Alibaba and BGL</w:t>
      </w:r>
    </w:p>
    <w:p>
      <w:pPr>
        <w:pStyle w:val="FirstParagraph"/>
      </w:pPr>
      <w:r>
        <w:t xml:space="preserve">Cheng et al.</w:t>
      </w:r>
      <w:r>
        <w:t xml:space="preserve"> </w:t>
      </w:r>
      <w:r>
        <w:t xml:space="preserve">[</w:t>
      </w:r>
      <w:hyperlink w:anchor="ref-cheng2018characterizing">
        <w:r>
          <w:rPr>
            <w:rStyle w:val="Hyperlink"/>
          </w:rPr>
          <w:t xml:space="preserve">34</w:t>
        </w:r>
      </w:hyperlink>
      <w:r>
        <w:t xml:space="preserve">]</w:t>
      </w:r>
      <w:r>
        <w:t xml:space="preserve"> </w:t>
      </w:r>
      <w:r>
        <w:t xml:space="preserve">provide the standard</w:t>
      </w:r>
      <w:r>
        <w:t xml:space="preserve"> </w:t>
      </w:r>
      <w:r>
        <w:t xml:space="preserve">characterisation of the Alibaba 2018 trace, reporting failure</w:t>
      </w:r>
      <w:r>
        <w:t xml:space="preserve"> </w:t>
      </w:r>
      <w:r>
        <w:t xml:space="preserve">statistics and co-location effects but not extracting sequential</w:t>
      </w:r>
      <w:r>
        <w:t xml:space="preserve"> </w:t>
      </w:r>
      <w:r>
        <w:t xml:space="preserve">patterns. Luo et al.</w:t>
      </w:r>
      <w:r>
        <w:t xml:space="preserve"> </w:t>
      </w:r>
      <w:r>
        <w:t xml:space="preserve">[</w:t>
      </w:r>
      <w:hyperlink w:anchor="ref-luo2021alibaba">
        <w:r>
          <w:rPr>
            <w:rStyle w:val="Hyperlink"/>
          </w:rPr>
          <w:t xml:space="preserve">35</w:t>
        </w:r>
      </w:hyperlink>
      <w:r>
        <w:t xml:space="preserve">]</w:t>
      </w:r>
      <w:r>
        <w:t xml:space="preserve"> </w:t>
      </w:r>
      <w:r>
        <w:t xml:space="preserve">extend this to the microservice</w:t>
      </w:r>
      <w:r>
        <w:t xml:space="preserve"> </w:t>
      </w:r>
      <w:r>
        <w:t xml:space="preserve">trace with focus on dependency and latency rather than fault</w:t>
      </w:r>
      <w:r>
        <w:t xml:space="preserve"> </w:t>
      </w:r>
      <w:r>
        <w:t xml:space="preserve">prediction. Oliner and Stearley</w:t>
      </w:r>
      <w:r>
        <w:t xml:space="preserve"> </w:t>
      </w:r>
      <w:r>
        <w:t xml:space="preserve">[</w:t>
      </w:r>
      <w:hyperlink w:anchor="ref-oliner2007supercomputers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 </w:t>
      </w:r>
      <w:r>
        <w:t xml:space="preserve">introduce</w:t>
      </w:r>
      <w:r>
        <w:t xml:space="preserve"> </w:t>
      </w:r>
      <w:r>
        <w:t xml:space="preserve">the BGL log we use, along with four other HPC logs, and characterise</w:t>
      </w:r>
      <w:r>
        <w:t xml:space="preserve"> </w:t>
      </w:r>
      <w:r>
        <w:t xml:space="preserve">their alert statistics.</w:t>
      </w:r>
    </w:p>
    <w:bookmarkEnd w:id="25"/>
    <w:bookmarkStart w:id="26" w:name="X26eeaefc54ccd912ad82e9cce20d5b6441a9657"/>
    <w:p>
      <w:pPr>
        <w:pStyle w:val="Heading3"/>
      </w:pPr>
      <w:r>
        <w:t xml:space="preserve">2.5 Predictive maintenance beyond system logs</w:t>
      </w:r>
    </w:p>
    <w:p>
      <w:pPr>
        <w:pStyle w:val="FirstParagraph"/>
      </w:pPr>
      <w:r>
        <w:t xml:space="preserve">The broader predictive-maintenance literature works mostly on</w:t>
      </w:r>
      <w:r>
        <w:t xml:space="preserve"> </w:t>
      </w:r>
      <w:r>
        <w:t xml:space="preserve">continuous sensor telemetry. NASA C-MAPSS</w:t>
      </w:r>
      <w:r>
        <w:t xml:space="preserve"> </w:t>
      </w:r>
      <w:r>
        <w:t xml:space="preserve">[</w:t>
      </w:r>
      <w:hyperlink w:anchor="ref-saxena2008cmapss">
        <w:r>
          <w:rPr>
            <w:rStyle w:val="Hyperlink"/>
          </w:rPr>
          <w:t xml:space="preserve">37</w:t>
        </w:r>
      </w:hyperlink>
      <w:r>
        <w:t xml:space="preserve">]</w:t>
      </w:r>
      <w:r>
        <w:t xml:space="preserve"> </w:t>
      </w:r>
      <w:r>
        <w:t xml:space="preserve">is the</w:t>
      </w:r>
      <w:r>
        <w:t xml:space="preserve"> </w:t>
      </w:r>
      <w:r>
        <w:t xml:space="preserve">de-facto Remaining-Useful-Life benchmark; recent surveys</w:t>
      </w:r>
      <w:r>
        <w:t xml:space="preserve"> </w:t>
      </w:r>
      <w:r>
        <w:t xml:space="preserve">[</w:t>
      </w:r>
      <w:hyperlink w:anchor="ref-serradilla2022pdmsurvey">
        <w:r>
          <w:rPr>
            <w:rStyle w:val="Hyperlink"/>
          </w:rPr>
          <w:t xml:space="preserve">38</w:t>
        </w:r>
      </w:hyperlink>
      <w:r>
        <w:t xml:space="preserve">]</w:t>
      </w:r>
      <w:r>
        <w:t xml:space="preserve"> </w:t>
      </w:r>
      <w:r>
        <w:t xml:space="preserve">catalogue the deep-learning methods trained</w:t>
      </w:r>
      <w:r>
        <w:t xml:space="preserve"> </w:t>
      </w:r>
      <w:r>
        <w:t xml:space="preserve">on it. Automotive predictive maintenance has historically used</w:t>
      </w:r>
      <w:r>
        <w:t xml:space="preserve"> </w:t>
      </w:r>
      <w:r>
        <w:t xml:space="preserve">per-vehicle sensor snapshots (SCANIA APS Failure via the IDA 2016</w:t>
      </w:r>
      <w:r>
        <w:t xml:space="preserve"> </w:t>
      </w:r>
      <w:r>
        <w:t xml:space="preserve">industrial challenge</w:t>
      </w:r>
      <w:r>
        <w:t xml:space="preserve"> </w:t>
      </w:r>
      <w:r>
        <w:t xml:space="preserve">[</w:t>
      </w:r>
      <w:hyperlink w:anchor="ref-costa2016ida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); the SCANIA Component X release</w:t>
      </w:r>
      <w:r>
        <w:t xml:space="preserve"> </w:t>
      </w:r>
      <w:r>
        <w:t xml:space="preserve">[</w:t>
      </w:r>
      <w:hyperlink w:anchor="ref-kharazian2025scania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 </w:t>
      </w:r>
      <w:r>
        <w:t xml:space="preserve">we adopt extends this to a per-vehicle</w:t>
      </w:r>
      <w:r>
        <w:t xml:space="preserve"> </w:t>
      </w:r>
      <w:r>
        <w:t xml:space="preserve">longitudinal readout stream. Our work sits between these traditions:</w:t>
      </w:r>
      <w:r>
        <w:t xml:space="preserve"> </w:t>
      </w:r>
      <w:r>
        <w:t xml:space="preserve">we take discrete-event traces where possible, and derive discrete</w:t>
      </w:r>
      <w:r>
        <w:t xml:space="preserve"> </w:t>
      </w:r>
      <w:r>
        <w:t xml:space="preserve">tokens (per §3.6) where we must.</w:t>
      </w:r>
    </w:p>
    <w:bookmarkEnd w:id="26"/>
    <w:bookmarkStart w:id="27" w:name="statistical-significance"/>
    <w:p>
      <w:pPr>
        <w:pStyle w:val="Heading3"/>
      </w:pPr>
      <w:r>
        <w:t xml:space="preserve">2.6 Statistical significance</w:t>
      </w:r>
    </w:p>
    <w:p>
      <w:pPr>
        <w:pStyle w:val="FirstParagraph"/>
      </w:pPr>
      <w:r>
        <w:t xml:space="preserve">We apply Benjamini-Hochberg FDR correction</w:t>
      </w:r>
      <w:r>
        <w:t xml:space="preserve"> </w:t>
      </w:r>
      <w:r>
        <w:t xml:space="preserve">[</w:t>
      </w:r>
      <w:hyperlink w:anchor="ref-benjamini1995controlling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 </w:t>
      </w:r>
      <w:r>
        <w:t xml:space="preserve">to the one-sided hypergeometric p-values on the inference half of</w:t>
      </w:r>
      <w:r>
        <w:t xml:space="preserve"> </w:t>
      </w:r>
      <w:r>
        <w:t xml:space="preserve">the discovery/inference split (§4.5). For arbitrary dependence</w:t>
      </w:r>
      <w:r>
        <w:t xml:space="preserve"> </w:t>
      </w:r>
      <w:r>
        <w:t xml:space="preserve">between p-values (justified when mined patterns share items), we</w:t>
      </w:r>
      <w:r>
        <w:t xml:space="preserve"> </w:t>
      </w:r>
      <w:r>
        <w:t xml:space="preserve">also report the more conservative Benjamini-Yekutieli correction</w:t>
      </w:r>
      <w:r>
        <w:t xml:space="preserve"> </w:t>
      </w:r>
      <w:r>
        <w:t xml:space="preserve">[</w:t>
      </w:r>
      <w:hyperlink w:anchor="ref-benjamini2001control">
        <w:r>
          <w:rPr>
            <w:rStyle w:val="Hyperlink"/>
          </w:rPr>
          <w:t xml:space="preserve">42</w:t>
        </w:r>
      </w:hyperlink>
      <w:r>
        <w:t xml:space="preserve">]</w:t>
      </w:r>
      <w:r>
        <w:t xml:space="preserve">. The Prentice-Breslow retrospective-cohort</w:t>
      </w:r>
      <w:r>
        <w:t xml:space="preserve"> </w:t>
      </w:r>
      <w:r>
        <w:t xml:space="preserve">framework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]</w:t>
      </w:r>
      <w:r>
        <w:t xml:space="preserve"> </w:t>
      </w:r>
      <w:r>
        <w:t xml:space="preserve">and the Langholz-Goldstein</w:t>
      </w:r>
      <w:r>
        <w:t xml:space="preserve"> </w:t>
      </w:r>
      <w:r>
        <w:t xml:space="preserve">risk-set-sampling review</w:t>
      </w:r>
      <w:r>
        <w:t xml:space="preserve"> </w:t>
      </w:r>
      <w:r>
        <w:t xml:space="preserve">[</w:t>
      </w:r>
      <w:hyperlink w:anchor="ref-langholz1996risk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 </w:t>
      </w:r>
      <w:r>
        <w:t xml:space="preserve">motivate the matched</w:t>
      </w:r>
      <w:r>
        <w:t xml:space="preserve"> </w:t>
      </w:r>
      <w:r>
        <w:t xml:space="preserve">conditional logistic estimator we use for SCANIA (§4.6).</w:t>
      </w:r>
    </w:p>
    <w:bookmarkEnd w:id="27"/>
    <w:bookmarkStart w:id="28" w:name="positioning"/>
    <w:p>
      <w:pPr>
        <w:pStyle w:val="Heading3"/>
      </w:pPr>
      <w:r>
        <w:t xml:space="preserve">2.7 Positioning</w:t>
      </w:r>
    </w:p>
    <w:p>
      <w:pPr>
        <w:pStyle w:val="FirstParagraph"/>
      </w:pPr>
      <w:r>
        <w:t xml:space="preserve">The paper’s contribution is a single methodological package applied</w:t>
      </w:r>
      <w:r>
        <w:t xml:space="preserve"> </w:t>
      </w:r>
      <w:r>
        <w:t xml:space="preserve">uniformly across six traces: entity-disjoint post-selection-valid</w:t>
      </w:r>
      <w:r>
        <w:t xml:space="preserve"> </w:t>
      </w:r>
      <w:r>
        <w:t xml:space="preserve">mining, a count-preserving order null that separates ordering from</w:t>
      </w:r>
      <w:r>
        <w:t xml:space="preserve"> </w:t>
      </w:r>
      <w:r>
        <w:t xml:space="preserve">event multiplicity, and a censoring-valid matched conditional</w:t>
      </w:r>
      <w:r>
        <w:t xml:space="preserve"> </w:t>
      </w:r>
      <w:r>
        <w:t xml:space="preserve">logistic estimator for right-censored entities, evaluated against an</w:t>
      </w:r>
      <w:r>
        <w:t xml:space="preserve"> </w:t>
      </w:r>
      <w:r>
        <w:t xml:space="preserve">event-count baseline and each pattern family in turn on a temporally-</w:t>
      </w:r>
      <w:r>
        <w:t xml:space="preserve"> </w:t>
      </w:r>
      <w:r>
        <w:t xml:space="preserve">held-out split. To our knowledge, this package has not been applied</w:t>
      </w:r>
      <w:r>
        <w:t xml:space="preserve"> </w:t>
      </w:r>
      <w:r>
        <w:t xml:space="preserve">head-to-head to Alibaba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status transitions or to Azure</w:t>
      </w:r>
      <w:r>
        <w:t xml:space="preserve"> </w:t>
      </w:r>
      <w:r>
        <w:t xml:space="preserve">PdM</w:t>
      </w:r>
      <w:r>
        <w:t xml:space="preserve"> </w:t>
      </w:r>
      <w:r>
        <w:rPr>
          <w:rStyle w:val="VerbatimChar"/>
        </w:rPr>
        <w:t xml:space="preserve">errorID → failure</w:t>
      </w:r>
      <w:r>
        <w:t xml:space="preserve"> </w:t>
      </w:r>
      <w:r>
        <w:t xml:space="preserve">sequences, and the six-trace regime-of-</w:t>
      </w:r>
      <w:r>
        <w:t xml:space="preserve"> </w:t>
      </w:r>
      <w:r>
        <w:t xml:space="preserve">validity study of §7.3, anchored by a cascade replicated across two</w:t>
      </w:r>
      <w:r>
        <w:t xml:space="preserve"> </w:t>
      </w:r>
      <w:r>
        <w:t xml:space="preserve">independent wind farms, is likewise unprecedented in the</w:t>
      </w:r>
      <w:r>
        <w:t xml:space="preserve"> </w:t>
      </w:r>
      <w:r>
        <w:t xml:space="preserve">pattern-mining log-analysis literature.</w:t>
      </w:r>
    </w:p>
    <w:bookmarkEnd w:id="28"/>
    <w:bookmarkEnd w:id="29"/>
    <w:bookmarkStart w:id="36" w:name="data"/>
    <w:p>
      <w:pPr>
        <w:pStyle w:val="Heading2"/>
      </w:pPr>
      <w:r>
        <w:t xml:space="preserve">3 Data</w:t>
      </w:r>
    </w:p>
    <w:p>
      <w:pPr>
        <w:pStyle w:val="FirstParagraph"/>
      </w:pPr>
      <w:r>
        <w:t xml:space="preserve">We use six public traces: two wind-farm alarm logs, one synthetic</w:t>
      </w:r>
      <w:r>
        <w:t xml:space="preserve"> </w:t>
      </w:r>
      <w:r>
        <w:t xml:space="preserve">industrial-maintenance trace, one production cloud trace, one HPC</w:t>
      </w:r>
      <w:r>
        <w:t xml:space="preserve"> </w:t>
      </w:r>
      <w:r>
        <w:t xml:space="preserve">syslog corpus, and one automotive fleet trace.</w:t>
      </w:r>
    </w:p>
    <w:bookmarkStart w:id="30" w:name="Xf76511c02de4b4a191c2516eb8af22e2ac8aa94"/>
    <w:p>
      <w:pPr>
        <w:pStyle w:val="Heading3"/>
      </w:pPr>
      <w:r>
        <w:t xml:space="preserve">3.1 Kelmarsh wind-farm alarm logs (production, per-turbine)</w:t>
      </w:r>
    </w:p>
    <w:p>
      <w:pPr>
        <w:pStyle w:val="FirstParagraph"/>
      </w:pPr>
      <w:r>
        <w:t xml:space="preserve">Six Senvion MM92 wind turbines at the Kelmarsh site, released by</w:t>
      </w:r>
      <w:r>
        <w:t xml:space="preserve"> </w:t>
      </w:r>
      <w:r>
        <w:t xml:space="preserve">Plumley 2022</w:t>
      </w:r>
      <w:r>
        <w:t xml:space="preserve"> </w:t>
      </w:r>
      <w:r>
        <w:t xml:space="preserve">[</w:t>
      </w:r>
      <w:hyperlink w:anchor="ref-plumley2022kelmarsh">
        <w:r>
          <w:rPr>
            <w:rStyle w:val="Hyperlink"/>
          </w:rPr>
          <w:t xml:space="preserve">45</w:t>
        </w:r>
      </w:hyperlink>
      <w:r>
        <w:t xml:space="preserve">]</w:t>
      </w:r>
      <w:r>
        <w:t xml:space="preserve"> </w:t>
      </w:r>
      <w:r>
        <w:t xml:space="preserve">via Zenodo record 5841834 under</w:t>
      </w:r>
      <w:r>
        <w:t xml:space="preserve"> </w:t>
      </w:r>
      <w:r>
        <w:t xml:space="preserve">CC-BY-4.0. Each</w:t>
      </w:r>
      <w:r>
        <w:t xml:space="preserve"> </w:t>
      </w:r>
      <w:r>
        <w:t xml:space="preserve">turbine’s status log carries every alarm/event that the SCADA emitted</w:t>
      </w:r>
      <w:r>
        <w:t xml:space="preserve"> </w:t>
      </w:r>
      <w:r>
        <w:t xml:space="preserve">over the year, together with an IEC category (</w:t>
      </w:r>
      <w:r>
        <w:rPr>
          <w:rStyle w:val="VerbatimChar"/>
        </w:rPr>
        <w:t xml:space="preserve">Full Performance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,</w:t>
      </w:r>
      <w:r>
        <w:t xml:space="preserve"> </w:t>
      </w:r>
      <w:r>
        <w:rPr>
          <w:rStyle w:val="VerbatimChar"/>
        </w:rPr>
        <w:t xml:space="preserve">Out of Environmental Specification</w:t>
      </w:r>
      <w:r>
        <w:t xml:space="preserve">, …).</w:t>
      </w:r>
    </w:p>
    <w:p>
      <w:pPr>
        <w:pStyle w:val="BodyText"/>
      </w:pPr>
      <w:r>
        <w:t xml:space="preserve">Across 2016-2017 the six turbines produced 63,633 status events,</w:t>
      </w:r>
      <w:r>
        <w:t xml:space="preserve"> </w:t>
      </w:r>
      <w:r>
        <w:t xml:space="preserve">of which 482 were tagged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 </w:t>
      </w:r>
      <w:r>
        <w:t xml:space="preserve">(real physical failures:</w:t>
      </w:r>
      <w:r>
        <w:t xml:space="preserve"> </w:t>
      </w:r>
      <w:r>
        <w:t xml:space="preserve">generator-fan overloads, frequency-converter faults, safety-chain</w:t>
      </w:r>
      <w:r>
        <w:t xml:space="preserve"> </w:t>
      </w:r>
      <w:r>
        <w:t xml:space="preserve">openings). Top forced-outage codes across the fleet:</w:t>
      </w:r>
      <w:r>
        <w:t xml:space="preserve"> </w:t>
      </w:r>
      <w:r>
        <w:rPr>
          <w:rStyle w:val="VerbatimChar"/>
        </w:rPr>
        <w:t xml:space="preserve">2550</w:t>
      </w:r>
      <w:r>
        <w:t xml:space="preserve"> </w:t>
      </w:r>
      <w:r>
        <w:t xml:space="preserve">Overload</w:t>
      </w:r>
      <w:r>
        <w:t xml:space="preserve"> </w:t>
      </w:r>
      <w:r>
        <w:t xml:space="preserve">generator fan 1,</w:t>
      </w:r>
      <w:r>
        <w:t xml:space="preserve"> </w:t>
      </w:r>
      <w:r>
        <w:rPr>
          <w:rStyle w:val="VerbatimChar"/>
        </w:rPr>
        <w:t xml:space="preserve">2650</w:t>
      </w:r>
      <w:r>
        <w:t xml:space="preserve"> </w:t>
      </w:r>
      <w:r>
        <w:t xml:space="preserve">Overload generator fan 2,</w:t>
      </w:r>
      <w:r>
        <w:t xml:space="preserve"> </w:t>
      </w:r>
      <w:r>
        <w:rPr>
          <w:rStyle w:val="VerbatimChar"/>
        </w:rPr>
        <w:t xml:space="preserve">2655</w:t>
      </w:r>
      <w:r>
        <w:t xml:space="preserve"> </w:t>
      </w:r>
      <w:r>
        <w:t xml:space="preserve">Overload</w:t>
      </w:r>
      <w:r>
        <w:t xml:space="preserve"> </w:t>
      </w:r>
      <w:r>
        <w:t xml:space="preserve">generator fan 3,</w:t>
      </w:r>
      <w:r>
        <w:t xml:space="preserve"> </w:t>
      </w:r>
      <w:r>
        <w:rPr>
          <w:rStyle w:val="VerbatimChar"/>
        </w:rPr>
        <w:t xml:space="preserve">3000</w:t>
      </w:r>
      <w:r>
        <w:t xml:space="preserve"> </w:t>
      </w:r>
      <w:r>
        <w:t xml:space="preserve">Frequency converter not ready,</w:t>
      </w:r>
      <w:r>
        <w:t xml:space="preserve"> </w:t>
      </w:r>
      <w:r>
        <w:rPr>
          <w:rStyle w:val="VerbatimChar"/>
        </w:rPr>
        <w:t xml:space="preserve">100</w:t>
      </w:r>
      <w:r>
        <w:t xml:space="preserve"> </w:t>
      </w:r>
      <w:r>
        <w:t xml:space="preserve">Safety</w:t>
      </w:r>
      <w:r>
        <w:t xml:space="preserve"> </w:t>
      </w:r>
      <w:r>
        <w:t xml:space="preserve">chain open. Non-forced-outage codes that appear as warnings or stops</w:t>
      </w:r>
      <w:r>
        <w:t xml:space="preserve"> </w:t>
      </w:r>
      <w:r>
        <w:t xml:space="preserve">are the natural precursor candidates:</w:t>
      </w:r>
      <w:r>
        <w:t xml:space="preserve"> </w:t>
      </w:r>
      <w:r>
        <w:rPr>
          <w:rStyle w:val="VerbatimChar"/>
        </w:rPr>
        <w:t xml:space="preserve">5720</w:t>
      </w:r>
      <w:r>
        <w:t xml:space="preserve"> </w:t>
      </w:r>
      <w:r>
        <w:t xml:space="preserve">Brake accumulator</w:t>
      </w:r>
      <w:r>
        <w:t xml:space="preserve"> </w:t>
      </w:r>
      <w:r>
        <w:t xml:space="preserve">defect,</w:t>
      </w:r>
      <w:r>
        <w:t xml:space="preserve"> </w:t>
      </w:r>
      <w:r>
        <w:rPr>
          <w:rStyle w:val="VerbatimChar"/>
        </w:rPr>
        <w:t xml:space="preserve">2125</w:t>
      </w:r>
      <w:r>
        <w:t xml:space="preserve"> </w:t>
      </w:r>
      <w:r>
        <w:t xml:space="preserve">Timeout brake closed, and the same overload-fan codes</w:t>
      </w:r>
      <w:r>
        <w:t xml:space="preserve"> </w:t>
      </w:r>
      <w:r>
        <w:t xml:space="preserve">that later terminate the cascade.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system_stop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system_info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system_comm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. Entity is the turbine (</w:t>
      </w:r>
      <w:r>
        <w:rPr>
          <w:rStyle w:val="VerbatimChar"/>
        </w:rPr>
        <w:t xml:space="preserve">T1</w:t>
      </w:r>
      <w:r>
        <w:t xml:space="preserve">..</w:t>
      </w:r>
      <w:r>
        <w:rPr>
          <w:rStyle w:val="VerbatimChar"/>
        </w:rPr>
        <w:t xml:space="preserve">T6</w:t>
      </w:r>
      <w:r>
        <w:t xml:space="preserve">),</w:t>
      </w:r>
      <w:r>
        <w:t xml:space="preserve"> </w:t>
      </w:r>
      <w:r>
        <w:t xml:space="preserve">subtype is the numeric fault code. Failure event =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placed at each Forced-outage timestamp.</w:t>
      </w:r>
    </w:p>
    <w:p>
      <w:pPr>
        <w:pStyle w:val="BodyText"/>
      </w:pPr>
      <w:r>
        <w:t xml:space="preserve">This trace is the paper’s cleanest realisation of the physical-</w:t>
      </w:r>
      <w:r>
        <w:t xml:space="preserve"> </w:t>
      </w:r>
      <w:r>
        <w:t xml:space="preserve">cascade shape: the alarm-code progression is consistent with a</w:t>
      </w:r>
      <w:r>
        <w:t xml:space="preserve"> </w:t>
      </w:r>
      <w:r>
        <w:t xml:space="preserve">physical fault cascade, in which intermediate warning codes precede</w:t>
      </w:r>
      <w:r>
        <w:t xml:space="preserve"> </w:t>
      </w:r>
      <w:r>
        <w:t xml:space="preserve">a specific alarm that terminates as a Forced outage. We report the</w:t>
      </w:r>
      <w:r>
        <w:t xml:space="preserve"> </w:t>
      </w:r>
      <w:r>
        <w:t xml:space="preserve">statistical enrichment and the code semantics; the underlying wear</w:t>
      </w:r>
      <w:r>
        <w:t xml:space="preserve"> </w:t>
      </w:r>
      <w:r>
        <w:t xml:space="preserve">mechanism is an engineering interpretation, not something the logs</w:t>
      </w:r>
      <w:r>
        <w:t xml:space="preserve"> </w:t>
      </w:r>
      <w:r>
        <w:t xml:space="preserve">alone establish.</w:t>
      </w:r>
    </w:p>
    <w:bookmarkEnd w:id="30"/>
    <w:bookmarkStart w:id="31" w:name="Xe360e6971e355afaf3886fd596502bfcaf52cc4"/>
    <w:p>
      <w:pPr>
        <w:pStyle w:val="Heading3"/>
      </w:pPr>
      <w:r>
        <w:t xml:space="preserve">3.2 Penmanshiel wind-farm alarm logs (production, per-turbine)</w:t>
      </w:r>
    </w:p>
    <w:p>
      <w:pPr>
        <w:pStyle w:val="FirstParagraph"/>
      </w:pPr>
      <w:r>
        <w:t xml:space="preserve">Nine of the fourteen Senvion MM82 turbines at the Penmanshiel site</w:t>
      </w:r>
      <w:r>
        <w:t xml:space="preserve"> </w:t>
      </w:r>
      <w:r>
        <w:t xml:space="preserve">(Cubico Sustainable Investments; Plumley 2022</w:t>
      </w:r>
      <w:r>
        <w:t xml:space="preserve"> </w:t>
      </w:r>
      <w:r>
        <w:t xml:space="preserve">[</w:t>
      </w:r>
      <w:hyperlink w:anchor="ref-plumley2022penmanshiel">
        <w:r>
          <w:rPr>
            <w:rStyle w:val="Hyperlink"/>
          </w:rPr>
          <w:t xml:space="preserve">46</w:t>
        </w:r>
      </w:hyperlink>
      <w:r>
        <w:t xml:space="preserve">]</w:t>
      </w:r>
      <w:r>
        <w:t xml:space="preserve"> </w:t>
      </w:r>
      <w:r>
        <w:t xml:space="preserve">Zenodo record 5946808 under CC-BY-4.0), same Greenbyte SCADA schema as</w:t>
      </w:r>
      <w:r>
        <w:t xml:space="preserve"> </w:t>
      </w:r>
      <w:r>
        <w:t xml:space="preserve">Kelmarsh. We use the nine turbines (of identifiers P01-P15, with P03</w:t>
      </w:r>
      <w:r>
        <w:t xml:space="preserve"> </w:t>
      </w:r>
      <w:r>
        <w:t xml:space="preserve">absent from the release) whose status logs cover the 2016 window;</w:t>
      </w:r>
      <w:r>
        <w:t xml:space="preserve"> </w:t>
      </w:r>
      <w:r>
        <w:t xml:space="preserve">for the second half of 2016 (2016-06 through 2016-12, when the site</w:t>
      </w:r>
      <w:r>
        <w:t xml:space="preserve"> </w:t>
      </w:r>
      <w:r>
        <w:t xml:space="preserve">went live) they produced 15,388 status events, of which 790 were</w:t>
      </w:r>
      <w:r>
        <w:t xml:space="preserve"> </w:t>
      </w:r>
      <w:r>
        <w:t xml:space="preserve">tagged</w:t>
      </w:r>
      <w:r>
        <w:t xml:space="preserve"> </w:t>
      </w:r>
      <w:r>
        <w:rPr>
          <w:rStyle w:val="VerbatimChar"/>
        </w:rPr>
        <w:t xml:space="preserve">Forced outage</w:t>
      </w:r>
      <w:r>
        <w:t xml:space="preserve">. This is the paper’s</w:t>
      </w:r>
      <w:r>
        <w:t xml:space="preserve"> </w:t>
      </w:r>
      <w:r>
        <w:t xml:space="preserve">largest single-year forced-outage count on a physical cascade trace,</w:t>
      </w:r>
      <w:r>
        <w:t xml:space="preserve"> </w:t>
      </w:r>
      <w:r>
        <w:t xml:space="preserve">and the alarm vocabulary is Senvion-shared with Kelmarsh, so</w:t>
      </w:r>
      <w:r>
        <w:t xml:space="preserve"> </w:t>
      </w:r>
      <w:r>
        <w:t xml:space="preserve">Penmanshiel is an independent replication of the Kelmarsh cascade</w:t>
      </w:r>
      <w:r>
        <w:t xml:space="preserve"> </w:t>
      </w:r>
      <w:r>
        <w:t xml:space="preserve">finding on turbines of a different rotor size (MM82 vs MM92) at a</w:t>
      </w:r>
      <w:r>
        <w:t xml:space="preserve"> </w:t>
      </w:r>
      <w:r>
        <w:t xml:space="preserve">site with different terrain and weather.</w:t>
      </w:r>
    </w:p>
    <w:p>
      <w:pPr>
        <w:pStyle w:val="BodyText"/>
      </w:pPr>
      <w:r>
        <w:t xml:space="preserve">Entity is the turbine (</w:t>
      </w:r>
      <w:r>
        <w:rPr>
          <w:rStyle w:val="VerbatimChar"/>
        </w:rPr>
        <w:t xml:space="preserve">P01</w:t>
      </w:r>
      <w:r>
        <w:t xml:space="preserve">..</w:t>
      </w:r>
      <w:r>
        <w:rPr>
          <w:rStyle w:val="VerbatimChar"/>
        </w:rPr>
        <w:t xml:space="preserve">P15</w:t>
      </w:r>
      <w:r>
        <w:t xml:space="preserve">,</w:t>
      </w:r>
      <w:r>
        <w:t xml:space="preserve"> </w:t>
      </w:r>
      <w:r>
        <w:rPr>
          <w:rStyle w:val="VerbatimChar"/>
        </w:rPr>
        <w:t xml:space="preserve">P03</w:t>
      </w:r>
      <w:r>
        <w:t xml:space="preserve"> </w:t>
      </w:r>
      <w:r>
        <w:t xml:space="preserve">is not in the release),</w:t>
      </w:r>
      <w:r>
        <w:t xml:space="preserve"> </w:t>
      </w:r>
      <w:r>
        <w:t xml:space="preserve">subtype is the numeric fault code.</w:t>
      </w:r>
    </w:p>
    <w:bookmarkEnd w:id="31"/>
    <w:bookmarkStart w:id="32" w:name="X80a7b106efa4995aea7e5e4fef80939ac602abf"/>
    <w:p>
      <w:pPr>
        <w:pStyle w:val="Heading3"/>
      </w:pPr>
      <w:r>
        <w:t xml:space="preserve">3.3 Azure Predictive Maintenance (synthetic, per-machine)</w:t>
      </w:r>
    </w:p>
    <w:p>
      <w:pPr>
        <w:pStyle w:val="FirstParagraph"/>
      </w:pPr>
      <w:r>
        <w:t xml:space="preserve">100 machines, 2015-01-01 to 2016-01-01, hourly telemetry.</w:t>
      </w:r>
      <w:r>
        <w:t xml:space="preserve"> </w:t>
      </w:r>
      <w:r>
        <w:rPr>
          <w:rStyle w:val="VerbatimChar"/>
        </w:rPr>
        <w:t xml:space="preserve">PdM_errors</w:t>
      </w:r>
      <w:r>
        <w:t xml:space="preserve"> </w:t>
      </w:r>
      <w:r>
        <w:t xml:space="preserve">(3,919 non-fatal errors, five error codes),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(3,286 maintenance actions, four components),</w:t>
      </w:r>
      <w:r>
        <w:t xml:space="preserve"> </w:t>
      </w:r>
      <w:r>
        <w:rPr>
          <w:rStyle w:val="VerbatimChar"/>
        </w:rPr>
        <w:t xml:space="preserve">PdM_failures</w:t>
      </w:r>
      <w:r>
        <w:t xml:space="preserve"> </w:t>
      </w:r>
      <w:r>
        <w:t xml:space="preserve">(761 component replacements). We join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PdM_failures</w:t>
      </w:r>
      <w:r>
        <w:t xml:space="preserve"> </w:t>
      </w:r>
      <w:r>
        <w:t xml:space="preserve">on (machineID, datetime, comp) to distinguish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 </w:t>
      </w:r>
      <w:r>
        <w:t xml:space="preserve">from</w:t>
      </w:r>
      <w:r>
        <w:t xml:space="preserve"> </w:t>
      </w:r>
      <w:r>
        <w:rPr>
          <w:rStyle w:val="VerbatimChar"/>
        </w:rPr>
        <w:t xml:space="preserve">component_replacement</w:t>
      </w:r>
      <w:r>
        <w:t xml:space="preserve">. Failures at exactly 2015-01-02 03:00 (18</w:t>
      </w:r>
      <w:r>
        <w:t xml:space="preserve"> </w:t>
      </w:r>
      <w:r>
        <w:t xml:space="preserve">rows) do not match any</w:t>
      </w:r>
      <w:r>
        <w:t xml:space="preserve"> </w:t>
      </w:r>
      <w:r>
        <w:rPr>
          <w:rStyle w:val="VerbatimChar"/>
        </w:rPr>
        <w:t xml:space="preserve">PdM_maint</w:t>
      </w:r>
      <w:r>
        <w:t xml:space="preserve"> </w:t>
      </w:r>
      <w:r>
        <w:t xml:space="preserve">record; they are a bootstrap seed</w:t>
      </w:r>
      <w:r>
        <w:t xml:space="preserve"> </w:t>
      </w:r>
      <w:r>
        <w:t xml:space="preserve">batch planted by the synthetic generator and are excluded from both</w:t>
      </w:r>
      <w:r>
        <w:t xml:space="preserve"> </w:t>
      </w:r>
      <w:r>
        <w:t xml:space="preserve">anchors and event streams so they do not contaminate windows for</w:t>
      </w:r>
      <w:r>
        <w:t xml:space="preserve"> </w:t>
      </w:r>
      <w:r>
        <w:t xml:space="preserve">subsequent real failures.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software_error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maintenance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component_replacement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, each with a subtype</w:t>
      </w:r>
      <w:r>
        <w:t xml:space="preserve"> </w:t>
      </w:r>
      <w:r>
        <w:t xml:space="preserve">(</w:t>
      </w:r>
      <w:r>
        <w:rPr>
          <w:rStyle w:val="VerbatimChar"/>
        </w:rPr>
        <w:t xml:space="preserve">error1..error5</w:t>
      </w:r>
      <w:r>
        <w:t xml:space="preserve">,</w:t>
      </w:r>
      <w:r>
        <w:t xml:space="preserve"> </w:t>
      </w:r>
      <w:r>
        <w:rPr>
          <w:rStyle w:val="VerbatimChar"/>
        </w:rPr>
        <w:t xml:space="preserve">comp1..comp4</w:t>
      </w:r>
      <w:r>
        <w:t xml:space="preserve">). Entity is</w:t>
      </w:r>
      <w:r>
        <w:t xml:space="preserve"> </w:t>
      </w:r>
      <w:r>
        <w:rPr>
          <w:rStyle w:val="VerbatimChar"/>
        </w:rPr>
        <w:t xml:space="preserve">machineID</w:t>
      </w:r>
      <w:r>
        <w:t xml:space="preserve">.</w:t>
      </w:r>
      <w:r>
        <w:t xml:space="preserve"> </w:t>
      </w:r>
      <w:r>
        <w:t xml:space="preserve">Source:</w:t>
      </w:r>
      <w:r>
        <w:t xml:space="preserve"> </w:t>
      </w:r>
      <w:r>
        <w:t xml:space="preserve">[</w:t>
      </w:r>
      <w:hyperlink w:anchor="ref-azurepdm">
        <w:r>
          <w:rPr>
            <w:rStyle w:val="Hyperlink"/>
          </w:rPr>
          <w:t xml:space="preserve">47</w:t>
        </w:r>
      </w:hyperlink>
      <w:r>
        <w:t xml:space="preserve">]</w:t>
      </w:r>
      <w:r>
        <w:t xml:space="preserve">.</w:t>
      </w:r>
    </w:p>
    <w:bookmarkEnd w:id="32"/>
    <w:bookmarkStart w:id="33" w:name="X63889831d02285240bcac1226077e46efa3cd0f"/>
    <w:p>
      <w:pPr>
        <w:pStyle w:val="Heading3"/>
      </w:pPr>
      <w:r>
        <w:t xml:space="preserve">3.4 Alibaba cluster-trace-v2018 (production cloud, per-job)</w:t>
      </w:r>
    </w:p>
    <w:p>
      <w:pPr>
        <w:pStyle w:val="FirstParagraph"/>
      </w:pPr>
      <w:r>
        <w:rPr>
          <w:rStyle w:val="VerbatimChar"/>
        </w:rPr>
        <w:t xml:space="preserve">batch_task.csv</w:t>
      </w:r>
      <w:r>
        <w:t xml:space="preserve"> </w:t>
      </w:r>
      <w:r>
        <w:t xml:space="preserve">from the public Alibaba trace</w:t>
      </w:r>
      <w:r>
        <w:t xml:space="preserve"> </w:t>
      </w:r>
      <w:r>
        <w:t xml:space="preserve">[</w:t>
      </w:r>
      <w:hyperlink w:anchor="ref-alibaba2018repo">
        <w:r>
          <w:rPr>
            <w:rStyle w:val="Hyperlink"/>
          </w:rPr>
          <w:t xml:space="preserve">48</w:t>
        </w:r>
      </w:hyperlink>
      <w:r>
        <w:t xml:space="preserve">,</w:t>
      </w:r>
      <w:r>
        <w:t xml:space="preserve"> </w:t>
      </w:r>
      <w:hyperlink w:anchor="ref-alibaba2018trace">
        <w:r>
          <w:rPr>
            <w:rStyle w:val="Hyperlink"/>
          </w:rPr>
          <w:t xml:space="preserve">49</w:t>
        </w:r>
      </w:hyperlink>
      <w:r>
        <w:t xml:space="preserve">]</w:t>
      </w:r>
      <w:r>
        <w:t xml:space="preserve">, 14,295,731 tasks across 4,201,014 jobs, 8.9 days</w:t>
      </w:r>
      <w:r>
        <w:t xml:space="preserve"> </w:t>
      </w:r>
      <w:r>
        <w:t xml:space="preserve">(2018-01-01 through 2018-01-09 by trace clock). 83,207 jobs contain</w:t>
      </w:r>
      <w:r>
        <w:t xml:space="preserve"> </w:t>
      </w:r>
      <w:r>
        <w:t xml:space="preserve">at least one</w:t>
      </w:r>
      <w:r>
        <w:t xml:space="preserve"> </w:t>
      </w:r>
      <w:r>
        <w:rPr>
          <w:rStyle w:val="VerbatimChar"/>
        </w:rPr>
        <w:t xml:space="preserve">Failed</w:t>
      </w:r>
      <w:r>
        <w:t xml:space="preserve"> </w:t>
      </w:r>
      <w:r>
        <w:t xml:space="preserve">task.</w:t>
      </w:r>
      <w:r>
        <w:t xml:space="preserve"> </w:t>
      </w:r>
      <w:r>
        <w:rPr>
          <w:rStyle w:val="VerbatimChar"/>
        </w:rPr>
        <w:t xml:space="preserve">batch_instance.csv</w:t>
      </w:r>
      <w:r>
        <w:t xml:space="preserve"> </w:t>
      </w:r>
      <w:r>
        <w:t xml:space="preserve">(21 GB compressed)</w:t>
      </w:r>
      <w:r>
        <w:t xml:space="preserve"> </w:t>
      </w:r>
      <w:r>
        <w:t xml:space="preserve">is not used in this pass; the per-job analysis on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alone</w:t>
      </w:r>
      <w:r>
        <w:t xml:space="preserve"> </w:t>
      </w:r>
      <w:r>
        <w:t xml:space="preserve">is sufficient to answer the ordering question.</w:t>
      </w:r>
    </w:p>
    <w:p>
      <w:pPr>
        <w:pStyle w:val="BodyText"/>
      </w:pPr>
      <w:r>
        <w:t xml:space="preserve">Event vocabulary:</w:t>
      </w:r>
      <w:r>
        <w:t xml:space="preserve"> </w:t>
      </w:r>
      <w:r>
        <w:rPr>
          <w:rStyle w:val="VerbatimChar"/>
        </w:rPr>
        <w:t xml:space="preserve">task_failure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task_waiting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task_running</w:t>
      </w:r>
      <w:r>
        <w:t xml:space="preserve">, each with subtype = task_name letter prefix</w:t>
      </w:r>
      <w:r>
        <w:t xml:space="preserve"> </w:t>
      </w:r>
      <w:r>
        <w:t xml:space="preserve">(</w:t>
      </w:r>
      <w:r>
        <w:rPr>
          <w:rStyle w:val="VerbatimChar"/>
        </w:rPr>
        <w:t xml:space="preserve">M</w:t>
      </w:r>
      <w:r>
        <w:t xml:space="preserve">,</w:t>
      </w:r>
      <w:r>
        <w:t xml:space="preserve"> </w:t>
      </w:r>
      <w:r>
        <w:rPr>
          <w:rStyle w:val="VerbatimChar"/>
        </w:rPr>
        <w:t xml:space="preserve">R</w:t>
      </w:r>
      <w:r>
        <w:t xml:space="preserve">,</w:t>
      </w:r>
      <w:r>
        <w:t xml:space="preserve"> </w:t>
      </w:r>
      <w:r>
        <w:rPr>
          <w:rStyle w:val="VerbatimChar"/>
        </w:rPr>
        <w:t xml:space="preserve">J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MergeTask</w:t>
      </w:r>
      <w:r>
        <w:t xml:space="preserve">,</w:t>
      </w:r>
      <w:r>
        <w:t xml:space="preserve"> </w:t>
      </w:r>
      <w:r>
        <w:rPr>
          <w:rStyle w:val="VerbatimChar"/>
        </w:rPr>
        <w:t xml:space="preserve">L</w:t>
      </w:r>
      <w:r>
        <w:t xml:space="preserve">). Entity is</w:t>
      </w:r>
      <w:r>
        <w:t xml:space="preserve"> </w:t>
      </w:r>
      <w:r>
        <w:rPr>
          <w:rStyle w:val="VerbatimChar"/>
        </w:rPr>
        <w:t xml:space="preserve">job_name</w:t>
      </w:r>
      <w:r>
        <w:t xml:space="preserve">.</w:t>
      </w:r>
    </w:p>
    <w:bookmarkEnd w:id="33"/>
    <w:bookmarkStart w:id="34" w:name="llnl-blue-genel-syslogs-loghub-per-rack"/>
    <w:p>
      <w:pPr>
        <w:pStyle w:val="Heading3"/>
      </w:pPr>
      <w:r>
        <w:t xml:space="preserve">3.5 LLNL Blue Gene/L syslogs (Loghub, per-rack)</w:t>
      </w:r>
    </w:p>
    <w:p>
      <w:pPr>
        <w:pStyle w:val="FirstParagraph"/>
      </w:pPr>
      <w:r>
        <w:t xml:space="preserve">4,747,963 syslog messages from LLNL Blue Gene/L, 214.7 days</w:t>
      </w:r>
      <w:r>
        <w:t xml:space="preserve"> </w:t>
      </w:r>
      <w:r>
        <w:t xml:space="preserve">(2005-06-03 to 2006-01-04), from the Loghub archive</w:t>
      </w:r>
      <w:r>
        <w:t xml:space="preserve"> </w:t>
      </w:r>
      <w:r>
        <w:t xml:space="preserve">[</w:t>
      </w:r>
      <w:hyperlink w:anchor="ref-zhu2023loghub">
        <w:r>
          <w:rPr>
            <w:rStyle w:val="Hyperlink"/>
          </w:rPr>
          <w:t xml:space="preserve">32</w:t>
        </w:r>
      </w:hyperlink>
      <w:r>
        <w:t xml:space="preserve">,</w:t>
      </w:r>
      <w:r>
        <w:t xml:space="preserve"> </w:t>
      </w:r>
      <w:hyperlink w:anchor="ref-oliner2007supercomputers">
        <w:r>
          <w:rPr>
            <w:rStyle w:val="Hyperlink"/>
          </w:rPr>
          <w:t xml:space="preserve">36</w:t>
        </w:r>
      </w:hyperlink>
      <w:r>
        <w:t xml:space="preserve">]</w:t>
      </w:r>
      <w:r>
        <w:t xml:space="preserve">. 913,594 messages remain</w:t>
      </w:r>
      <w:r>
        <w:t xml:space="preserve"> </w:t>
      </w:r>
      <w:r>
        <w:t xml:space="preserve">after dropping INFO-level</w:t>
      </w:r>
      <w:r>
        <w:t xml:space="preserve"> </w:t>
      </w:r>
      <w:r>
        <w:t xml:space="preserve">noise; 348,189 (7.34%) are labelled alerts. Entity is the rack</w:t>
      </w:r>
      <w:r>
        <w:t xml:space="preserve"> </w:t>
      </w:r>
      <w:r>
        <w:t xml:space="preserve">(top-level</w:t>
      </w:r>
      <w:r>
        <w:t xml:space="preserve"> </w:t>
      </w:r>
      <w:r>
        <w:rPr>
          <w:rStyle w:val="VerbatimChar"/>
        </w:rPr>
        <w:t xml:space="preserve">R##</w:t>
      </w:r>
      <w:r>
        <w:t xml:space="preserve"> </w:t>
      </w:r>
      <w:r>
        <w:t xml:space="preserve">prefix of the node ID); 64 racks. Event vocabulary:</w:t>
      </w:r>
      <w:r>
        <w:t xml:space="preserve"> </w:t>
      </w:r>
      <w:r>
        <w:rPr>
          <w:rStyle w:val="VerbatimChar"/>
        </w:rPr>
        <w:t xml:space="preserve">terminal_alert</w:t>
      </w:r>
      <w:r>
        <w:t xml:space="preserve"> </w:t>
      </w:r>
      <w:r>
        <w:t xml:space="preserve">(labelled alerts with 30+ alert codes such as</w:t>
      </w:r>
      <w:r>
        <w:t xml:space="preserve"> </w:t>
      </w:r>
      <w:r>
        <w:t xml:space="preserve">KERNMNTF, APPTO, KERNSTOR),</w:t>
      </w:r>
      <w:r>
        <w:t xml:space="preserve"> </w:t>
      </w:r>
      <w:r>
        <w:rPr>
          <w:rStyle w:val="VerbatimChar"/>
        </w:rPr>
        <w:t xml:space="preserve">system_error</w:t>
      </w:r>
      <w:r>
        <w:t xml:space="preserve"> </w:t>
      </w:r>
      <w:r>
        <w:t xml:space="preserve">(non-alert FATAL / ERROR /</w:t>
      </w:r>
      <w:r>
        <w:t xml:space="preserve"> </w:t>
      </w:r>
      <w:r>
        <w:t xml:space="preserve">SEVERE / FAILURE),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. Component (RAS, KERNEL, APP,</w:t>
      </w:r>
      <w:r>
        <w:t xml:space="preserve"> </w:t>
      </w:r>
      <w:r>
        <w:t xml:space="preserve">MMCS, …) is used as an additional subtype axis.</w:t>
      </w:r>
    </w:p>
    <w:bookmarkEnd w:id="34"/>
    <w:bookmarkStart w:id="35" w:name="X0cc0213a3a3d6b0aa45b5af167aefb97013eef0"/>
    <w:p>
      <w:pPr>
        <w:pStyle w:val="Heading3"/>
      </w:pPr>
      <w:r>
        <w:t xml:space="preserve">3.6 SCANIA Component X (production automotive, per-vehicle)</w:t>
      </w:r>
    </w:p>
    <w:p>
      <w:pPr>
        <w:pStyle w:val="FirstParagraph"/>
      </w:pPr>
      <w:r>
        <w:t xml:space="preserve">Real fleet telematics dataset released 2025</w:t>
      </w:r>
      <w:r>
        <w:t xml:space="preserve"> </w:t>
      </w:r>
      <w:r>
        <w:t xml:space="preserve">[</w:t>
      </w:r>
      <w:hyperlink w:anchor="ref-kharazian2025scania">
        <w:r>
          <w:rPr>
            <w:rStyle w:val="Hyperlink"/>
          </w:rPr>
          <w:t xml:space="preserve">40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23,550 trucks over 1.5 years (2019-01 through 2020-05 in study</w:t>
      </w:r>
      <w:r>
        <w:t xml:space="preserve"> </w:t>
      </w:r>
      <w:r>
        <w:t xml:space="preserve">clock), 1,122,452 readouts of 105 numeric counter and histogram</w:t>
      </w:r>
      <w:r>
        <w:t xml:space="preserve"> </w:t>
      </w:r>
      <w:r>
        <w:t xml:space="preserve">features. 2,272 vehicles (9.65%) undergo a component X repair during</w:t>
      </w:r>
      <w:r>
        <w:t xml:space="preserve"> </w:t>
      </w:r>
      <w:r>
        <w:t xml:space="preserve">the study.</w:t>
      </w:r>
    </w:p>
    <w:p>
      <w:pPr>
        <w:pStyle w:val="BodyText"/>
      </w:pPr>
      <w:r>
        <w:t xml:space="preserve">Because features are numeric counters rather than native discrete</w:t>
      </w:r>
      <w:r>
        <w:t xml:space="preserve"> </w:t>
      </w:r>
      <w:r>
        <w:t xml:space="preserve">events, we derive tokens: for each (vehicle, feature) we compute</w:t>
      </w:r>
      <w:r>
        <w:t xml:space="preserve"> </w:t>
      </w:r>
      <w:r>
        <w:t xml:space="preserve">inter-readout deltas and emit a</w:t>
      </w:r>
      <w:r>
        <w:t xml:space="preserve"> 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token per readout</w:t>
      </w:r>
      <w:r>
        <w:t xml:space="preserve"> </w:t>
      </w:r>
      <w:r>
        <w:t xml:space="preserve">whenever the absolute delta exceeds the vehicle’s own 90th-percentile</w:t>
      </w:r>
      <w:r>
        <w:t xml:space="preserve"> </w:t>
      </w:r>
      <w:r>
        <w:t xml:space="preserve">threshold for that feature. Per-vehicle normalisation controls for</w:t>
      </w:r>
      <w:r>
        <w:t xml:space="preserve"> </w:t>
      </w:r>
      <w:r>
        <w:t xml:space="preserve">baseline usage variation across the fleet. Entity is</w:t>
      </w:r>
      <w:r>
        <w:t xml:space="preserve"> </w:t>
      </w:r>
      <w:r>
        <w:rPr>
          <w:rStyle w:val="VerbatimChar"/>
        </w:rPr>
        <w:t xml:space="preserve">vehicle_id</w:t>
      </w:r>
      <w:r>
        <w:t xml:space="preserve">.</w:t>
      </w:r>
      <w:r>
        <w:t xml:space="preserve"> </w:t>
      </w:r>
      <w:r>
        <w:t xml:space="preserve">The failure event is a synthetic</w:t>
      </w:r>
      <w:r>
        <w:t xml:space="preserve"> </w:t>
      </w:r>
      <w:r>
        <w:rPr>
          <w:rStyle w:val="VerbatimChar"/>
        </w:rPr>
        <w:t xml:space="preserve">terminal_repair</w:t>
      </w:r>
      <w:r>
        <w:t xml:space="preserve"> </w:t>
      </w:r>
      <w:r>
        <w:t xml:space="preserve">marker placed at</w:t>
      </w:r>
      <w:r>
        <w:t xml:space="preserve"> </w:t>
      </w:r>
      <w:r>
        <w:t xml:space="preserve">the last readout timestamp of each repair-labelled vehicle.</w:t>
      </w:r>
    </w:p>
    <w:bookmarkEnd w:id="35"/>
    <w:bookmarkEnd w:id="36"/>
    <w:bookmarkStart w:id="45" w:name="method"/>
    <w:p>
      <w:pPr>
        <w:pStyle w:val="Heading2"/>
      </w:pPr>
      <w:r>
        <w:t xml:space="preserve">4 Method</w:t>
      </w:r>
    </w:p>
    <w:p>
      <w:pPr>
        <w:pStyle w:val="FirstParagraph"/>
      </w:pPr>
      <w:r>
        <w:t xml:space="preserve">The same pipeline is applied to every trace (Figure 1): pre-failure</w:t>
      </w:r>
      <w:r>
        <w:t xml:space="preserve"> </w:t>
      </w:r>
      <w:r>
        <w:t xml:space="preserve">windows with matched controls, an entity-disjoint discovery/inference</w:t>
      </w:r>
      <w:r>
        <w:t xml:space="preserve"> </w:t>
      </w:r>
      <w:r>
        <w:t xml:space="preserve">split, mining on the discovery half, and post-selection-valid scoring</w:t>
      </w:r>
      <w:r>
        <w:t xml:space="preserve"> </w:t>
      </w:r>
      <w:r>
        <w:t xml:space="preserve">with FDR control on the inference half. The right-censored SCANIA</w:t>
      </w:r>
      <w:r>
        <w:t xml:space="preserve"> </w:t>
      </w:r>
      <w:r>
        <w:t xml:space="preserve">trace additionally uses risk-set matched sampling and matched</w:t>
      </w:r>
      <w:r>
        <w:t xml:space="preserve"> </w:t>
      </w:r>
      <w:r>
        <w:t xml:space="preserve">conditional logistic regression.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1.</w:t>
            </w:r>
            <w:r>
              <w:t xml:space="preserve"> </w:t>
            </w:r>
            <w:r>
              <w:t xml:space="preserve">The mining and validation pipeline applied uniformly to every trace. Pattern discovery runs on the discovery half; every mined pattern is then scored on the disjoint inference half with an exact hypergeometric test and BH / BY false-discovery control. The count-preserving order null separates ordering from event multiplicity, and the right-censored SCANIA trace branches to risk-set matched sampling with a matched conditional logistic estimator.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1.</w:t>
      </w:r>
      <w:r>
        <w:t xml:space="preserve"> </w:t>
      </w:r>
      <w:r>
        <w:t xml:space="preserve">The mining and validation pipeline applied uniformly to every trace. Pattern discovery runs on the discovery half; every mined pattern is then scored on the disjoint inference half with an exact hypergeometric test and BH / BY false-discovery control. The count-preserving order null separates ordering from event multiplicity, and the right-censored SCANIA trace branches to risk-set matched sampling with a matched conditional logistic estimator.</w:t>
      </w:r>
    </w:p>
    <w:bookmarkStart w:id="37" w:name="pre-failure-windows-and-matched-controls"/>
    <w:p>
      <w:pPr>
        <w:pStyle w:val="Heading3"/>
      </w:pPr>
      <w:r>
        <w:t xml:space="preserve">4.1 Pre-failure windows and matched controls</w:t>
      </w:r>
    </w:p>
    <w:p>
      <w:pPr>
        <w:pStyle w:val="FirstParagraph"/>
      </w:pPr>
      <w:r>
        <w:t xml:space="preserve">For every terminal failure event on an entity (machine on Azure, job</w:t>
      </w:r>
      <w:r>
        <w:t xml:space="preserve"> </w:t>
      </w:r>
      <w:r>
        <w:t xml:space="preserve">on Alibaba, rack on BGL, vehicle on SCANIA, turbine on Kelmarsh and</w:t>
      </w:r>
      <w:r>
        <w:t xml:space="preserve"> </w:t>
      </w:r>
      <w:r>
        <w:t xml:space="preserve">Penmanshiel), we build a failure window covering the K events (or the</w:t>
      </w:r>
      <w:r>
        <w:t xml:space="preserve"> </w:t>
      </w:r>
      <w:r>
        <w:t xml:space="preserve">time horizon T) strictly before the failure timestamp. Matched</w:t>
      </w:r>
      <w:r>
        <w:t xml:space="preserve"> </w:t>
      </w:r>
      <w:r>
        <w:t xml:space="preserve">controls come from two designs depending on the trace: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Same-entity clean regions</w:t>
      </w:r>
      <w:r>
        <w:t xml:space="preserve"> </w:t>
      </w:r>
      <w:r>
        <w:t xml:space="preserve">(Azure, BGL, Kelmarsh, Penmanshiel)</w:t>
      </w:r>
      <w:r>
        <w:t xml:space="preserve"> </w:t>
      </w:r>
      <w:r>
        <w:t xml:space="preserve">when the entity carries long timelines with sparse failures;</w:t>
      </w:r>
      <w:r>
        <w:t xml:space="preserve"> </w:t>
      </w:r>
      <w:r>
        <w:t xml:space="preserve">controls are anchored at times on the same entity with no failure</w:t>
      </w:r>
      <w:r>
        <w:t xml:space="preserve"> </w:t>
      </w:r>
      <w:r>
        <w:t xml:space="preserve">within horizon T in either direction, sampled at a 1:3</w:t>
      </w:r>
      <w:r>
        <w:t xml:space="preserve"> </w:t>
      </w:r>
      <w:r>
        <w:t xml:space="preserve">case-to-control ratio.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Cross-entity non-failure sample</w:t>
      </w:r>
      <w:r>
        <w:t xml:space="preserve"> </w:t>
      </w:r>
      <w:r>
        <w:t xml:space="preserve">(Alibaba, SCANIA) when entities</w:t>
      </w:r>
      <w:r>
        <w:t xml:space="preserve"> </w:t>
      </w:r>
      <w:r>
        <w:t xml:space="preserve">are short-lived; controls come from the last K events of a</w:t>
      </w:r>
      <w:r>
        <w:t xml:space="preserve"> </w:t>
      </w:r>
      <w:r>
        <w:t xml:space="preserve">non-failure entity, sampled at a 1:3 case-to-control ratio from a</w:t>
      </w:r>
      <w:r>
        <w:t xml:space="preserve"> </w:t>
      </w:r>
      <w:r>
        <w:t xml:space="preserve">large candidate pool.</w:t>
      </w:r>
    </w:p>
    <w:p>
      <w:pPr>
        <w:pStyle w:val="FirstParagraph"/>
      </w:pPr>
      <w:r>
        <w:t xml:space="preserve">The two wind farms use the same-entity design over each turbine’s</w:t>
      </w:r>
      <w:r>
        <w:t xml:space="preserve"> </w:t>
      </w:r>
      <w:r>
        <w:t xml:space="preserve">multi-year alarm timeline: failure windows are anchored on each</w:t>
      </w:r>
      <w:r>
        <w:t xml:space="preserve"> </w:t>
      </w:r>
      <w:r>
        <w:t xml:space="preserve">Forced-outage event and controls on same-turbine clean regions. The</w:t>
      </w:r>
      <w:r>
        <w:t xml:space="preserve"> </w:t>
      </w:r>
      <w:r>
        <w:t xml:space="preserve">entity-disjoint discovery/inference split (§4.5) partitions turbines</w:t>
      </w:r>
      <w:r>
        <w:t xml:space="preserve"> </w:t>
      </w:r>
      <w:r>
        <w:t xml:space="preserve">3-and-3 on Kelmarsh (6 turbines) and 4-and-5 on Penmanshiel (9</w:t>
      </w:r>
      <w:r>
        <w:t xml:space="preserve"> </w:t>
      </w:r>
      <w:r>
        <w:t xml:space="preserve">turbines), so no turbine contributes to both mining and inference;</w:t>
      </w:r>
      <w:r>
        <w:t xml:space="preserve"> </w:t>
      </w:r>
      <w:r>
        <w:t xml:space="preserve">the resulting inference half carries 233 failure and 699 control</w:t>
      </w:r>
      <w:r>
        <w:t xml:space="preserve"> </w:t>
      </w:r>
      <w:r>
        <w:t xml:space="preserve">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Kelmarsh and 448 failure and 1,344</w:t>
      </w:r>
      <w:r>
        <w:t xml:space="preserve"> </w:t>
      </w:r>
      <w:r>
        <w:t xml:space="preserve">control windows on Penmanshiel.</w:t>
      </w:r>
    </w:p>
    <w:p>
      <w:pPr>
        <w:pStyle w:val="BodyText"/>
      </w:pPr>
      <w:r>
        <w:t xml:space="preserve">BGL alerts are additionally grouped into episodes (&gt;= 1h inter-arrival</w:t>
      </w:r>
      <w:r>
        <w:t xml:space="preserve"> </w:t>
      </w:r>
      <w:r>
        <w:t xml:space="preserve">gap) and windows are anchored on the first alert of each episode, so</w:t>
      </w:r>
      <w:r>
        <w:t xml:space="preserve"> </w:t>
      </w:r>
      <w:r>
        <w:t xml:space="preserve">anchor-per-alert double-counting inside a cascade is avoided.</w:t>
      </w:r>
    </w:p>
    <w:p>
      <w:pPr>
        <w:pStyle w:val="BodyText"/>
      </w:pPr>
      <w:r>
        <w:t xml:space="preserve">Horizons studied:</w:t>
      </w:r>
      <w:r>
        <w:t xml:space="preserve"> </w:t>
      </w:r>
      <w:r>
        <w:rPr>
          <w:rStyle w:val="VerbatimChar"/>
        </w:rPr>
        <w:t xml:space="preserve">1h</w:t>
      </w:r>
      <w:r>
        <w:t xml:space="preserve">,</w:t>
      </w:r>
      <w:r>
        <w:t xml:space="preserve"> </w:t>
      </w:r>
      <w:r>
        <w:rPr>
          <w:rStyle w:val="VerbatimChar"/>
        </w:rPr>
        <w:t xml:space="preserve">6h</w:t>
      </w:r>
      <w:r>
        <w:t xml:space="preserve">,</w:t>
      </w:r>
      <w:r>
        <w:t xml:space="preserve"> </w:t>
      </w:r>
      <w:r>
        <w:rPr>
          <w:rStyle w:val="VerbatimChar"/>
        </w:rPr>
        <w:t xml:space="preserve">24h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Azure and</w:t>
      </w:r>
      <w:r>
        <w:t xml:space="preserve"> </w:t>
      </w:r>
      <w:r>
        <w:t xml:space="preserve">on the two wind farms;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on Alibaba;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on BGL and SCANIA (time-based horizons</w:t>
      </w:r>
      <w:r>
        <w:t xml:space="preserve"> </w:t>
      </w:r>
      <w:r>
        <w:t xml:space="preserve">are not meaningful for short per-job or per-episode observations).</w:t>
      </w:r>
    </w:p>
    <w:bookmarkEnd w:id="37"/>
    <w:bookmarkStart w:id="38" w:name="mining"/>
    <w:p>
      <w:pPr>
        <w:pStyle w:val="Heading3"/>
      </w:pPr>
      <w:r>
        <w:t xml:space="preserve">4.2 Mining</w:t>
      </w:r>
    </w:p>
    <w:p>
      <w:pPr>
        <w:pStyle w:val="FirstParagraph"/>
      </w:pPr>
      <w:r>
        <w:t xml:space="preserve">Items are</w:t>
      </w:r>
      <w:r>
        <w:t xml:space="preserve"> </w:t>
      </w:r>
      <w:r>
        <w:rPr>
          <w:rStyle w:val="VerbatimChar"/>
        </w:rPr>
        <w:t xml:space="preserve">event_type:event_subtype</w:t>
      </w:r>
      <w:r>
        <w:t xml:space="preserve"> </w:t>
      </w:r>
      <w:r>
        <w:t xml:space="preserve">strings. FP-Growth</w:t>
      </w:r>
      <w:r>
        <w:t xml:space="preserve"> </w:t>
      </w:r>
      <w:r>
        <w:t xml:space="preserve">(</w:t>
      </w:r>
      <w:r>
        <w:rPr>
          <w:rStyle w:val="VerbatimChar"/>
        </w:rPr>
        <w:t xml:space="preserve">mlxtend.frequent_patterns.fpgrowth</w:t>
      </w:r>
      <w:r>
        <w:t xml:space="preserve">) mines frequent itemsets on</w:t>
      </w:r>
      <w:r>
        <w:t xml:space="preserve"> </w:t>
      </w:r>
      <w:r>
        <w:t xml:space="preserve">failure windows at minimum support 0.05. PrefixSpan (SPMF v2.64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 </w:t>
      </w:r>
      <w:r>
        <w:t xml:space="preserve">via subprocess) mines frequent ordered sequences</w:t>
      </w:r>
      <w:r>
        <w:t xml:space="preserve"> </w:t>
      </w:r>
      <w:r>
        <w:t xml:space="preserve">at the same support.</w:t>
      </w:r>
    </w:p>
    <w:p>
      <w:pPr>
        <w:pStyle w:val="BodyText"/>
      </w:pPr>
      <w:r>
        <w:t xml:space="preserve">For each mined pattern P we compute support in failure windows</w:t>
      </w:r>
      <w:r>
        <w:t xml:space="preserve"> </w:t>
      </w:r>
      <w:r>
        <w:t xml:space="preserve">(support_failure), support in control windows (support_control),</w:t>
      </w:r>
      <w:r>
        <w:t xml:space="preserve"> </w:t>
      </w:r>
      <w:r>
        <w:t xml:space="preserve">lift = support_failure / pooled_support(P), and relative risk</w:t>
      </w:r>
      <w:r>
        <w:t xml:space="preserve"> </w:t>
      </w:r>
      <w:r>
        <w:t xml:space="preserve">= P(failure | P) / P(failure | ¬P). Every mined sequence is also</w:t>
      </w:r>
      <w:r>
        <w:t xml:space="preserve"> </w:t>
      </w:r>
      <w:r>
        <w:t xml:space="preserve">scored against the itemset counterpart of the same event set; the</w:t>
      </w:r>
      <w:r>
        <w:t xml:space="preserve"> </w:t>
      </w:r>
      <w:r>
        <w:t xml:space="preserve">difference</w:t>
      </w:r>
      <w:r>
        <w:t xml:space="preserve"> </w:t>
      </w:r>
      <w:r>
        <w:rPr>
          <w:rStyle w:val="VerbatimChar"/>
        </w:rPr>
        <w:t xml:space="preserve">order_gain = sequence_lift - itemset_lift</w:t>
      </w:r>
      <w:r>
        <w:t xml:space="preserve"> </w:t>
      </w:r>
      <w:r>
        <w:t xml:space="preserve">quantifies</w:t>
      </w:r>
      <w:r>
        <w:t xml:space="preserve"> </w:t>
      </w:r>
      <w:r>
        <w:t xml:space="preserve">how much preserving order contributes above co-occurrence.</w:t>
      </w:r>
    </w:p>
    <w:bookmarkEnd w:id="38"/>
    <w:bookmarkStart w:id="39" w:name="sanity-invariants"/>
    <w:p>
      <w:pPr>
        <w:pStyle w:val="Heading3"/>
      </w:pPr>
      <w:r>
        <w:t xml:space="preserve">4.3 Sanity invariants</w:t>
      </w:r>
    </w:p>
    <w:p>
      <w:pPr>
        <w:pStyle w:val="FirstParagraph"/>
      </w:pPr>
      <w:r>
        <w:t xml:space="preserve">Every phase carries pre-declared invariants whose expected outcome is</w:t>
      </w:r>
      <w:r>
        <w:t xml:space="preserve"> </w:t>
      </w:r>
      <w:r>
        <w:t xml:space="preserve">stated up front. Itemset mining checks that a random-label</w:t>
      </w:r>
      <w:r>
        <w:t xml:space="preserve"> </w:t>
      </w:r>
      <w:r>
        <w:t xml:space="preserve">permutation at the same minimum support does not yield a top lift within</w:t>
      </w:r>
      <w:r>
        <w:t xml:space="preserve"> </w:t>
      </w:r>
      <w:r>
        <w:t xml:space="preserve">a factor of 1.5× of the real top lift; a violation would indicate</w:t>
      </w:r>
      <w:r>
        <w:t xml:space="preserve"> </w:t>
      </w:r>
      <w:r>
        <w:t xml:space="preserve">either data leakage or an over-sensitive support threshold. Sequence</w:t>
      </w:r>
      <w:r>
        <w:t xml:space="preserve"> </w:t>
      </w:r>
      <w:r>
        <w:t xml:space="preserve">mining checks that a within-window random order permutation</w:t>
      </w:r>
      <w:r>
        <w:t xml:space="preserve"> </w:t>
      </w:r>
      <w:r>
        <w:t xml:space="preserve">preserves top itemset lift (unchanged, by construction) but strictly</w:t>
      </w:r>
      <w:r>
        <w:t xml:space="preserve"> </w:t>
      </w:r>
      <w:r>
        <w:t xml:space="preserve">reduces top sequence lift on rich horizons (windows with &gt;= 3 events</w:t>
      </w:r>
      <w:r>
        <w:t xml:space="preserve"> </w:t>
      </w:r>
      <w:r>
        <w:t xml:space="preserve">on average). Both invariants pass on the two cloud and maintenance</w:t>
      </w:r>
      <w:r>
        <w:t xml:space="preserve"> </w:t>
      </w:r>
      <w:r>
        <w:t xml:space="preserve">traces (Azure, Alibaba); on the boundary</w:t>
      </w:r>
      <w:r>
        <w:t xml:space="preserve"> </w:t>
      </w:r>
      <w:r>
        <w:t xml:space="preserve">traces the same invariants localise where the signal fails, rather</w:t>
      </w:r>
      <w:r>
        <w:t xml:space="preserve"> </w:t>
      </w:r>
      <w:r>
        <w:t xml:space="preserve">than requiring post-hoc justification.</w:t>
      </w:r>
    </w:p>
    <w:bookmarkEnd w:id="39"/>
    <w:bookmarkStart w:id="40" w:name="Xff462f684860b99f87ffb52704ce6033ecb21e1"/>
    <w:p>
      <w:pPr>
        <w:pStyle w:val="Heading3"/>
      </w:pPr>
      <w:r>
        <w:t xml:space="preserve">4.4 Risk-set matched sampling for right-censored data</w:t>
      </w:r>
    </w:p>
    <w:p>
      <w:pPr>
        <w:pStyle w:val="FirstParagraph"/>
      </w:pPr>
      <w:r>
        <w:t xml:space="preserve">The matched-control design in §4.1 assumes we can define a</w:t>
      </w:r>
      <w:r>
        <w:t xml:space="preserve"> </w:t>
      </w:r>
      <w:r>
        <w:t xml:space="preserve">“</w:t>
      </w:r>
      <w:r>
        <w:t xml:space="preserve">no-failure</w:t>
      </w:r>
      <w:r>
        <w:t xml:space="preserve">”</w:t>
      </w:r>
      <w:r>
        <w:t xml:space="preserve"> </w:t>
      </w:r>
      <w:r>
        <w:t xml:space="preserve">control window on the same or another entity at the anchor time. For</w:t>
      </w:r>
      <w:r>
        <w:t xml:space="preserve"> </w:t>
      </w:r>
      <w:r>
        <w:t xml:space="preserve">right-censored survival-style data (traces where entities exit</w:t>
      </w:r>
      <w:r>
        <w:t xml:space="preserve"> </w:t>
      </w:r>
      <w:r>
        <w:t xml:space="preserve">observation upon repair or dropout), naive matching biases scoring</w:t>
      </w:r>
      <w:r>
        <w:t xml:space="preserve"> </w:t>
      </w:r>
      <w:r>
        <w:t xml:space="preserve">because</w:t>
      </w:r>
      <w:r>
        <w:t xml:space="preserve"> </w:t>
      </w:r>
      <w:r>
        <w:t xml:space="preserve">“</w:t>
      </w:r>
      <w:r>
        <w:t xml:space="preserve">did we observe a failure</w:t>
      </w:r>
      <w:r>
        <w:t xml:space="preserve">”</w:t>
      </w:r>
      <w:r>
        <w:t xml:space="preserve"> </w:t>
      </w:r>
      <w:r>
        <w:t xml:space="preserve">becomes entangled with</w:t>
      </w:r>
      <w:r>
        <w:t xml:space="preserve"> </w:t>
      </w:r>
      <w:r>
        <w:t xml:space="preserve">“</w:t>
      </w:r>
      <w:r>
        <w:t xml:space="preserve">how long did</w:t>
      </w:r>
      <w:r>
        <w:t xml:space="preserve"> </w:t>
      </w:r>
      <w:r>
        <w:t xml:space="preserve">we observe the truck</w:t>
      </w:r>
      <w:r>
        <w:t xml:space="preserve">”</w:t>
      </w:r>
      <w:r>
        <w:t xml:space="preserve">. Component X in §3.6 has exactly this problem:</w:t>
      </w:r>
      <w:r>
        <w:t xml:space="preserve"> </w:t>
      </w:r>
      <w:r>
        <w:t xml:space="preserve">short-observation trucks have 12% failure rate; long-observation trucks</w:t>
      </w:r>
      <w:r>
        <w:t xml:space="preserve"> </w:t>
      </w:r>
      <w:r>
        <w:t xml:space="preserve">have 5%.</w:t>
      </w:r>
    </w:p>
    <w:p>
      <w:pPr>
        <w:pStyle w:val="BodyText"/>
      </w:pPr>
      <w:r>
        <w:t xml:space="preserve">Following the epidemiological literature on incidence-density sampling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,</w:t>
      </w:r>
      <w:r>
        <w:t xml:space="preserve"> </w:t>
      </w:r>
      <w:hyperlink w:anchor="ref-rothman2008modern">
        <w:r>
          <w:rPr>
            <w:rStyle w:val="Hyperlink"/>
          </w:rPr>
          <w:t xml:space="preserve">50</w:t>
        </w:r>
      </w:hyperlink>
      <w:r>
        <w:t xml:space="preserve">]</w:t>
      </w:r>
      <w:r>
        <w:t xml:space="preserve">, we replace §4.1’s</w:t>
      </w:r>
      <w:r>
        <w:t xml:space="preserve"> </w:t>
      </w:r>
      <w:r>
        <w:t xml:space="preserve">sampler with a risk-set matched design: for each case with observed</w:t>
      </w:r>
      <w:r>
        <w:t xml:space="preserve"> </w:t>
      </w:r>
      <w:r>
        <w:t xml:space="preserve">failure time T_f, controls are drawn from the risk set at T_f (the set</w:t>
      </w:r>
      <w:r>
        <w:t xml:space="preserve"> </w:t>
      </w:r>
      <w:r>
        <w:t xml:space="preserve">of entities still under observation at that lifetime index) and their</w:t>
      </w:r>
      <w:r>
        <w:t xml:space="preserve"> </w:t>
      </w:r>
      <w:r>
        <w:t xml:space="preserve">windows are aligned to T_f rather than to their own end-of-observation.</w:t>
      </w:r>
      <w:r>
        <w:t xml:space="preserve"> </w:t>
      </w:r>
      <w:r>
        <w:t xml:space="preserve">Both case and control windows use the last K events with time_step &lt; T_f.</w:t>
      </w:r>
      <w:r>
        <w:t xml:space="preserve"> </w:t>
      </w:r>
      <w:r>
        <w:t xml:space="preserve">Under this sampling, the pooled 2×2 odds ratio of a mined pattern</w:t>
      </w:r>
      <w:r>
        <w:t xml:space="preserve"> </w:t>
      </w:r>
      <w:r>
        <w:t xml:space="preserve">(case-in vs case-out; control-in vs control-out, Woolf-Haldane</w:t>
      </w:r>
      <w:r>
        <w:t xml:space="preserve"> </w:t>
      </w:r>
      <w:r>
        <w:t xml:space="preserve">0.5-continuity-corrected, 95% CI via log-OR variance) estimates the</w:t>
      </w:r>
      <w:r>
        <w:t xml:space="preserve"> </w:t>
      </w:r>
      <w:r>
        <w:t xml:space="preserve">per-pattern hazard ratio rather than a prevalence lift. A mined pattern</w:t>
      </w:r>
      <w:r>
        <w:t xml:space="preserve"> </w:t>
      </w:r>
      <w:r>
        <w:t xml:space="preserve">with MH-OR &gt; 1 and 95% CI excluding 1 is a censoring-valid signal of</w:t>
      </w:r>
      <w:r>
        <w:t xml:space="preserve"> </w:t>
      </w:r>
      <w:r>
        <w:t xml:space="preserve">elevated failure risk, not an artefact of the observation process.</w:t>
      </w:r>
    </w:p>
    <w:p>
      <w:pPr>
        <w:pStyle w:val="BodyText"/>
      </w:pPr>
      <w:r>
        <w:t xml:space="preserve">The rest of the pipeline runs unchanged: FP-Growth on the risk-set</w:t>
      </w:r>
      <w:r>
        <w:t xml:space="preserve"> </w:t>
      </w:r>
      <w:r>
        <w:t xml:space="preserve">windows, minimum support 0.05, BH FDR correction on the p-values induced by</w:t>
      </w:r>
      <w:r>
        <w:t xml:space="preserve"> </w:t>
      </w:r>
      <w:r>
        <w:t xml:space="preserve">the Fisher-exact null of the same 2×2 table. This is a drop-in</w:t>
      </w:r>
      <w:r>
        <w:t xml:space="preserve"> </w:t>
      </w:r>
      <w:r>
        <w:t xml:space="preserve">generalisation of the matched-control design that lets the pipeline apply</w:t>
      </w:r>
      <w:r>
        <w:t xml:space="preserve"> </w:t>
      </w:r>
      <w:r>
        <w:t xml:space="preserve">to right-censored traces without modifying the mining or significance</w:t>
      </w:r>
      <w:r>
        <w:t xml:space="preserve"> </w:t>
      </w:r>
      <w:r>
        <w:t xml:space="preserve">stages.</w:t>
      </w:r>
    </w:p>
    <w:bookmarkEnd w:id="40"/>
    <w:bookmarkStart w:id="41" w:name="X9292929c3d43e41408b4a6dbc28d99ff3254025"/>
    <w:p>
      <w:pPr>
        <w:pStyle w:val="Heading3"/>
      </w:pPr>
      <w:r>
        <w:t xml:space="preserve">4.5 Post-selection-valid significance via discovery/inference splits</w:t>
      </w:r>
    </w:p>
    <w:p>
      <w:pPr>
        <w:pStyle w:val="FirstParagraph"/>
      </w:pPr>
      <w:r>
        <w:t xml:space="preserve">Mining patterns from failure windows and then computing hypergeometric</w:t>
      </w:r>
      <w:r>
        <w:t xml:space="preserve"> </w:t>
      </w:r>
      <w:r>
        <w:t xml:space="preserve">p-values on the same failure/control counts yields post-selection-</w:t>
      </w:r>
      <w:r>
        <w:t xml:space="preserve"> </w:t>
      </w:r>
      <w:r>
        <w:t xml:space="preserve">invalid marginal p-values: the candidate set is chosen because it has</w:t>
      </w:r>
      <w:r>
        <w:t xml:space="preserve"> </w:t>
      </w:r>
      <w:r>
        <w:t xml:space="preserve">high support in failure windows, so the fixed-hit-set null is not the</w:t>
      </w:r>
      <w:r>
        <w:t xml:space="preserve"> </w:t>
      </w:r>
      <w:r>
        <w:t xml:space="preserve">null the pipeline actually operates under. BH or BY correction on</w:t>
      </w:r>
      <w:r>
        <w:t xml:space="preserve"> </w:t>
      </w:r>
      <w:r>
        <w:t xml:space="preserve">those marginal p-values does not restore validity</w:t>
      </w:r>
      <w:r>
        <w:t xml:space="preserve"> </w:t>
      </w:r>
      <w:r>
        <w:t xml:space="preserve">[</w:t>
      </w:r>
      <w:hyperlink w:anchor="ref-fithian2014optimal">
        <w:r>
          <w:rPr>
            <w:rStyle w:val="Hyperlink"/>
          </w:rPr>
          <w:t xml:space="preserve">23</w:t>
        </w:r>
      </w:hyperlink>
      <w:r>
        <w:t xml:space="preserve">,</w:t>
      </w:r>
      <w:r>
        <w:t xml:space="preserve"> </w:t>
      </w:r>
      <w:hyperlink w:anchor="ref-loftus2015selective">
        <w:r>
          <w:rPr>
            <w:rStyle w:val="Hyperlink"/>
          </w:rPr>
          <w:t xml:space="preserve">51</w:t>
        </w:r>
      </w:hyperlink>
      <w:r>
        <w:t xml:space="preserve">]</w:t>
      </w:r>
      <w:r>
        <w:t xml:space="preserve">.</w:t>
      </w:r>
    </w:p>
    <w:p>
      <w:pPr>
        <w:pStyle w:val="BodyText"/>
      </w:pPr>
      <w:r>
        <w:t xml:space="preserve">Our fix, applied to every trace: split the training set entity-</w:t>
      </w:r>
      <w:r>
        <w:t xml:space="preserve"> </w:t>
      </w:r>
      <w:r>
        <w:t xml:space="preserve">disjoint into a 50%</w:t>
      </w:r>
      <w:r>
        <w:t xml:space="preserve"> </w:t>
      </w:r>
      <w:r>
        <w:rPr>
          <w:b/>
          <w:bCs/>
        </w:rPr>
        <w:t xml:space="preserve">discovery</w:t>
      </w:r>
      <w:r>
        <w:t xml:space="preserve"> </w:t>
      </w:r>
      <w:r>
        <w:t xml:space="preserve">half and a 50%</w:t>
      </w:r>
      <w:r>
        <w:t xml:space="preserve"> </w:t>
      </w:r>
      <w:r>
        <w:rPr>
          <w:b/>
          <w:bCs/>
        </w:rPr>
        <w:t xml:space="preserve">inference</w:t>
      </w:r>
      <w:r>
        <w:t xml:space="preserve"> </w:t>
      </w:r>
      <w:r>
        <w:t xml:space="preserve">half.</w:t>
      </w:r>
      <w:r>
        <w:t xml:space="preserve"> </w:t>
      </w:r>
      <w:r>
        <w:t xml:space="preserve">FP-Growth / PrefixSpan run on the discovery half and produce a</w:t>
      </w:r>
      <w:r>
        <w:t xml:space="preserve"> </w:t>
      </w:r>
      <w:r>
        <w:t xml:space="preserve">candidate pattern universe C. Every P in C is then scored on the</w:t>
      </w:r>
      <w:r>
        <w:t xml:space="preserve"> </w:t>
      </w:r>
      <w:r>
        <w:t xml:space="preserve">inference half via exact hypergeometric p-value on that half’s</w:t>
      </w:r>
      <w:r>
        <w:t xml:space="preserve"> </w:t>
      </w:r>
      <w:r>
        <w:t xml:space="preserve">case/control hit counts alone. Because C is chosen without touching</w:t>
      </w:r>
      <w:r>
        <w:t xml:space="preserve"> </w:t>
      </w:r>
      <w:r>
        <w:t xml:space="preserve">the inference half, the resulting p-values are marginally valid and</w:t>
      </w:r>
      <w:r>
        <w:t xml:space="preserve"> </w:t>
      </w:r>
      <w:r>
        <w:t xml:space="preserve">BH / BY correction on the family {p(P) : P in C} controls the</w:t>
      </w:r>
      <w:r>
        <w:t xml:space="preserve"> </w:t>
      </w:r>
      <w:r>
        <w:t xml:space="preserve">inference-half FDR correctly.</w:t>
      </w:r>
    </w:p>
    <w:p>
      <w:pPr>
        <w:pStyle w:val="BodyText"/>
      </w:pPr>
      <w:r>
        <w:t xml:space="preserve">Entity-disjoint splitting is used rather than random per-window</w:t>
      </w:r>
      <w:r>
        <w:t xml:space="preserve"> </w:t>
      </w:r>
      <w:r>
        <w:t xml:space="preserve">splitting because otherwise the same entity’s windows could appear</w:t>
      </w:r>
      <w:r>
        <w:t xml:space="preserve"> </w:t>
      </w:r>
      <w:r>
        <w:t xml:space="preserve">on both sides of the split, leaking information from discovery into</w:t>
      </w:r>
      <w:r>
        <w:t xml:space="preserve"> </w:t>
      </w:r>
      <w:r>
        <w:t xml:space="preserve">inference. On Alibaba specifically the entity unit is the batch job:</w:t>
      </w:r>
      <w:r>
        <w:t xml:space="preserve"> </w:t>
      </w:r>
      <w:r>
        <w:t xml:space="preserve">each job contributes exactly three windows, one per horizon (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), and each job is either a case (job that</w:t>
      </w:r>
      <w:r>
        <w:t xml:space="preserve"> </w:t>
      </w:r>
      <w:r>
        <w:t xml:space="preserve">subsequently failed) or a control, never both; the 64,948 unique</w:t>
      </w:r>
      <w:r>
        <w:t xml:space="preserve"> </w:t>
      </w:r>
      <w:r>
        <w:t xml:space="preserve">jobs give a 1:3 case-to-control balance by design (16,237 failed</w:t>
      </w:r>
      <w:r>
        <w:t xml:space="preserve"> </w:t>
      </w:r>
      <w:r>
        <w:t xml:space="preserve">jobs, 48,711 controls). Splitting on</w:t>
      </w:r>
      <w:r>
        <w:t xml:space="preserve"> </w:t>
      </w:r>
      <w:r>
        <w:rPr>
          <w:rStyle w:val="VerbatimChar"/>
        </w:rPr>
        <w:t xml:space="preserve">entity_id</w:t>
      </w:r>
      <w:r>
        <w:t xml:space="preserve"> </w:t>
      </w:r>
      <w:r>
        <w:t xml:space="preserve">(job id) therefore produces truly disjoint discovery and</w:t>
      </w:r>
      <w:r>
        <w:t xml:space="preserve"> </w:t>
      </w:r>
      <w:r>
        <w:t xml:space="preserve">inference halves at both the entity and the window level.</w:t>
      </w:r>
    </w:p>
    <w:bookmarkEnd w:id="41"/>
    <w:bookmarkStart w:id="42" w:name="Xe573a4e2aa8e0f30f3ca6b54b0f29e07905219b"/>
    <w:p>
      <w:pPr>
        <w:pStyle w:val="Heading3"/>
      </w:pPr>
      <w:r>
        <w:t xml:space="preserve">4.6 Matched conditional logistic for risk-set traces</w:t>
      </w:r>
    </w:p>
    <w:p>
      <w:pPr>
        <w:pStyle w:val="FirstParagraph"/>
      </w:pPr>
      <w:r>
        <w:t xml:space="preserve">A pooled 2×2 odds ratio over the risk-set-matched SCANIA patterns</w:t>
      </w:r>
      <w:r>
        <w:t xml:space="preserve"> </w:t>
      </w:r>
      <w:r>
        <w:t xml:space="preserve">discards the matched-set structure that makes the estimator</w:t>
      </w:r>
      <w:r>
        <w:t xml:space="preserve"> </w:t>
      </w:r>
      <w:r>
        <w:t xml:space="preserve">censoring-valid. The standard estimator under incidence-</w:t>
      </w:r>
      <w:r>
        <w:t xml:space="preserve"> </w:t>
      </w:r>
      <w:r>
        <w:t xml:space="preserve">density (risk-set) sampling is a conditional logistic regression</w:t>
      </w:r>
      <w:r>
        <w:t xml:space="preserve"> </w:t>
      </w:r>
      <w:r>
        <w:t xml:space="preserve">stratified by matched set, equivalent to the sampled Cox partial</w:t>
      </w:r>
      <w:r>
        <w:t xml:space="preserve"> </w:t>
      </w:r>
      <w:r>
        <w:t xml:space="preserve">likelihood restricted to the pattern indicator</w:t>
      </w:r>
      <w:r>
        <w:t xml:space="preserve"> </w:t>
      </w:r>
      <w:r>
        <w:t xml:space="preserve">[</w:t>
      </w:r>
      <w:hyperlink w:anchor="ref-prentice1978retrospective">
        <w:r>
          <w:rPr>
            <w:rStyle w:val="Hyperlink"/>
          </w:rPr>
          <w:t xml:space="preserve">43</w:t>
        </w:r>
      </w:hyperlink>
      <w:r>
        <w:t xml:space="preserve">,</w:t>
      </w:r>
      <w:r>
        <w:t xml:space="preserve"> </w:t>
      </w:r>
      <w:hyperlink w:anchor="ref-langholz1996risk">
        <w:r>
          <w:rPr>
            <w:rStyle w:val="Hyperlink"/>
          </w:rPr>
          <w:t xml:space="preserve">44</w:t>
        </w:r>
      </w:hyperlink>
      <w:r>
        <w:t xml:space="preserve">]</w:t>
      </w:r>
      <w:r>
        <w:t xml:space="preserve">. We estimate every SCANIA pattern’s</w:t>
      </w:r>
      <w:r>
        <w:t xml:space="preserve"> </w:t>
      </w:r>
      <w:r>
        <w:t xml:space="preserve">coefficient with</w:t>
      </w:r>
      <w:r>
        <w:t xml:space="preserve"> </w:t>
      </w:r>
      <w:r>
        <w:rPr>
          <w:rStyle w:val="VerbatimChar"/>
        </w:rPr>
        <w:t xml:space="preserve">statsmodels.ConditionalLogit</w:t>
      </w:r>
      <w:r>
        <w:t xml:space="preserve"> </w:t>
      </w:r>
      <w:r>
        <w:t xml:space="preserve">stratified by</w:t>
      </w:r>
      <w:r>
        <w:t xml:space="preserve"> </w:t>
      </w:r>
      <w:r>
        <w:rPr>
          <w:rStyle w:val="VerbatimChar"/>
        </w:rPr>
        <w:t xml:space="preserve">match_id</w:t>
      </w:r>
      <w:r>
        <w:t xml:space="preserve">; each case and its three risk-set-matched controls form</w:t>
      </w:r>
      <w:r>
        <w:t xml:space="preserve"> </w:t>
      </w:r>
      <w:r>
        <w:t xml:space="preserve">one stratum. Reported hazard ratios and 95% CIs are from that</w:t>
      </w:r>
      <w:r>
        <w:t xml:space="preserve"> </w:t>
      </w:r>
      <w:r>
        <w:t xml:space="preserve">matched fit.</w:t>
      </w:r>
    </w:p>
    <w:p>
      <w:pPr>
        <w:pStyle w:val="BodyText"/>
      </w:pPr>
      <w:r>
        <w:t xml:space="preserve">Compared to the pooled 2×2 Woolf-Haldane analysis, the matched</w:t>
      </w:r>
      <w:r>
        <w:t xml:space="preserve"> </w:t>
      </w:r>
      <w:r>
        <w:t xml:space="preserve">estimator is more conservative on this data: a top pattern that</w:t>
      </w:r>
      <w:r>
        <w:t xml:space="preserve"> </w:t>
      </w:r>
      <w:r>
        <w:t xml:space="preserve">scores MH-OR 2.72 [2.10, 3.51] under pooling scores a matched HR in</w:t>
      </w:r>
      <w:r>
        <w:t xml:space="preserve"> </w:t>
      </w:r>
      <w:r>
        <w:t xml:space="preserve">the 1.6-1.7 range under conditional logistic, and the honest</w:t>
      </w:r>
      <w:r>
        <w:t xml:space="preserve"> </w:t>
      </w:r>
      <w:r>
        <w:t xml:space="preserve">inference-half estimate (§6.10) is a top HR of 1.60 [1.35, 1.91].</w:t>
      </w:r>
    </w:p>
    <w:bookmarkEnd w:id="42"/>
    <w:bookmarkStart w:id="43" w:name="count-preserving-order-comparator"/>
    <w:p>
      <w:pPr>
        <w:pStyle w:val="Heading3"/>
      </w:pPr>
      <w:r>
        <w:t xml:space="preserve">4.7 Count-preserving order comparator</w:t>
      </w:r>
    </w:p>
    <w:p>
      <w:pPr>
        <w:pStyle w:val="FirstParagraph"/>
      </w:pPr>
      <w:r>
        <w:t xml:space="preserve">The naive</w:t>
      </w:r>
      <w:r>
        <w:t xml:space="preserve"> </w:t>
      </w:r>
      <w:r>
        <w:rPr>
          <w:rStyle w:val="VerbatimChar"/>
        </w:rPr>
        <w:t xml:space="preserve">order_gain = sequence_lift − itemset_lift</w:t>
      </w:r>
      <w:r>
        <w:t xml:space="preserve"> </w:t>
      </w:r>
      <w:r>
        <w:t xml:space="preserve">compares a</w:t>
      </w:r>
      <w:r>
        <w:t xml:space="preserve"> </w:t>
      </w:r>
      <w:r>
        <w:t xml:space="preserve">sequence like</w:t>
      </w:r>
      <w:r>
        <w:t xml:space="preserve"> </w:t>
      </w:r>
      <w:r>
        <w:rPr>
          <w:rStyle w:val="VerbatimChar"/>
        </w:rPr>
        <w:t xml:space="preserve">M → M → M</w:t>
      </w:r>
      <w:r>
        <w:t xml:space="preserve"> </w:t>
      </w:r>
      <w:r>
        <w:t xml:space="preserve">against its itemset counterpart</w:t>
      </w:r>
      <w:r>
        <w:t xml:space="preserve"> </w:t>
      </w:r>
      <w:r>
        <w:rPr>
          <w:rStyle w:val="VerbatimChar"/>
        </w:rPr>
        <w:t xml:space="preserve">{M}</w:t>
      </w:r>
      <w:r>
        <w:t xml:space="preserve">,</w:t>
      </w:r>
      <w:r>
        <w:t xml:space="preserve"> </w:t>
      </w:r>
      <w:r>
        <w:t xml:space="preserve">which collapses three occurrences to one presence. That conflates</w:t>
      </w:r>
      <w:r>
        <w:t xml:space="preserve"> </w:t>
      </w:r>
      <w:r>
        <w:t xml:space="preserve">temporal order with event multiplicity. Our count-preserving</w:t>
      </w:r>
      <w:r>
        <w:t xml:space="preserve"> </w:t>
      </w:r>
      <w:r>
        <w:t xml:space="preserve">comparator shuffles the ordering within each window while</w:t>
      </w:r>
      <w:r>
        <w:t xml:space="preserve"> </w:t>
      </w:r>
      <w:r>
        <w:t xml:space="preserve">preserving the exact event multiset per window, then rescores the</w:t>
      </w:r>
      <w:r>
        <w:t xml:space="preserve"> </w:t>
      </w:r>
      <w:r>
        <w:t xml:space="preserve">sequence’s support on the shuffled corpus. The residual</w:t>
      </w:r>
      <w:r>
        <w:t xml:space="preserve"> </w:t>
      </w:r>
      <w:r>
        <w:rPr>
          <w:rStyle w:val="VerbatimChar"/>
        </w:rPr>
        <w:t xml:space="preserve">order_effect = real_lift − mean(count-preserving-shuffle_lift)</w:t>
      </w:r>
      <w:r>
        <w:t xml:space="preserve"> </w:t>
      </w:r>
      <w:r>
        <w:t xml:space="preserve">isolates the pure ordering contribution.</w:t>
      </w:r>
    </w:p>
    <w:bookmarkEnd w:id="43"/>
    <w:bookmarkStart w:id="44" w:name="statistical-significance-summary"/>
    <w:p>
      <w:pPr>
        <w:pStyle w:val="Heading3"/>
      </w:pPr>
      <w:r>
        <w:t xml:space="preserve">4.8 Statistical significance summary</w:t>
      </w:r>
    </w:p>
    <w:p>
      <w:pPr>
        <w:pStyle w:val="FirstParagraph"/>
      </w:pPr>
      <w:r>
        <w:t xml:space="preserve">For each mined pattern we compute an exact one-sided hypergeometric</w:t>
      </w:r>
      <w:r>
        <w:t xml:space="preserve"> </w:t>
      </w:r>
      <w:r>
        <w:t xml:space="preserve">p-value on the observed failure-hit count against the</w:t>
      </w:r>
      <w:r>
        <w:t xml:space="preserve"> </w:t>
      </w:r>
      <w:r>
        <w:t xml:space="preserve">label-permutation null with the pattern hit-set fixed. Under H0 the</w:t>
      </w:r>
      <w:r>
        <w:t xml:space="preserve"> </w:t>
      </w:r>
      <w:r>
        <w:t xml:space="preserve">number of hits landing in the failure class is Hypergeom(N_F+N_C,</w:t>
      </w:r>
      <w:r>
        <w:t xml:space="preserve"> </w:t>
      </w:r>
      <w:r>
        <w:t xml:space="preserve">hit_F+hit_C, N_F); the upper-tail probability of the observed hit</w:t>
      </w:r>
      <w:r>
        <w:t xml:space="preserve"> </w:t>
      </w:r>
      <w:r>
        <w:t xml:space="preserve">count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the label-permutation p-value, so we compute it in closed</w:t>
      </w:r>
      <w:r>
        <w:t xml:space="preserve"> </w:t>
      </w:r>
      <w:r>
        <w:t xml:space="preserve">form. Benjamini-Hochberg FDR correction</w:t>
      </w:r>
      <w:r>
        <w:t xml:space="preserve"> </w:t>
      </w:r>
      <w:r>
        <w:t xml:space="preserve">[</w:t>
      </w:r>
      <w:hyperlink w:anchor="ref-benjamini1995controlling">
        <w:r>
          <w:rPr>
            <w:rStyle w:val="Hyperlink"/>
          </w:rPr>
          <w:t xml:space="preserve">41</w:t>
        </w:r>
      </w:hyperlink>
      <w:r>
        <w:t xml:space="preserve">]</w:t>
      </w:r>
      <w:r>
        <w:t xml:space="preserve"> </w:t>
      </w:r>
      <w:r>
        <w:t xml:space="preserve">is applied per (horizon × pattern class)</w:t>
      </w:r>
      <w:r>
        <w:t xml:space="preserve"> </w:t>
      </w:r>
      <w:r>
        <w:t xml:space="preserve">to give q-values.</w:t>
      </w:r>
    </w:p>
    <w:bookmarkEnd w:id="44"/>
    <w:bookmarkEnd w:id="45"/>
    <w:bookmarkStart w:id="48" w:name="experiments"/>
    <w:p>
      <w:pPr>
        <w:pStyle w:val="Heading2"/>
      </w:pPr>
      <w:r>
        <w:t xml:space="preserve">5 Experiments</w:t>
      </w:r>
    </w:p>
    <w:p>
      <w:pPr>
        <w:pStyle w:val="FirstParagraph"/>
      </w:pPr>
      <w:r>
        <w:t xml:space="preserve">Windows are split temporally by anchor timestamp. Cutoffs:</w:t>
      </w:r>
      <w:r>
        <w:t xml:space="preserve"> </w:t>
      </w:r>
      <w:r>
        <w:t xml:space="preserve">Azure 2015-09-01, Alibaba 2018-01-07, BGL 2005-11-01, SCANIA</w:t>
      </w:r>
      <w:r>
        <w:t xml:space="preserve"> </w:t>
      </w:r>
      <w:r>
        <w:t xml:space="preserve">2020-01-01. Mining runs on training windows only; surviving patterns</w:t>
      </w:r>
      <w:r>
        <w:t xml:space="preserve"> </w:t>
      </w:r>
      <w:r>
        <w:t xml:space="preserve">become binary presence features on both train and test. A logistic</w:t>
      </w:r>
      <w:r>
        <w:t xml:space="preserve"> </w:t>
      </w:r>
      <w:r>
        <w:t xml:space="preserve">regression fit on train is evaluated on test for four feature sets: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event_count</w:t>
      </w:r>
      <w:r>
        <w:t xml:space="preserve">: single feature, n_events in the window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itemsets_only</w:t>
      </w:r>
      <w:r>
        <w:t xml:space="preserve">: binary presence of each train-mined itemset</w:t>
      </w:r>
      <w:r>
        <w:t xml:space="preserve"> </w:t>
      </w:r>
      <w:r>
        <w:t xml:space="preserve">surviving its permutation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sequences_only</w:t>
      </w:r>
      <w:r>
        <w:t xml:space="preserve">: binary presence of each train-mined sequence</w:t>
      </w:r>
      <w:r>
        <w:t xml:space="preserve"> </w:t>
      </w:r>
      <w:r>
        <w:t xml:space="preserve">surviving its shuffle null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combined</w:t>
      </w:r>
      <w:r>
        <w:t xml:space="preserve">: union of the event-count, itemset, and sequence</w:t>
      </w:r>
      <w:r>
        <w:t xml:space="preserve"> </w:t>
      </w:r>
      <w:r>
        <w:t xml:space="preserve">feature sets above</w:t>
      </w:r>
    </w:p>
    <w:p>
      <w:pPr>
        <w:pStyle w:val="FirstParagraph"/>
      </w:pPr>
      <w:r>
        <w:t xml:space="preserve">For each configuration we report AUROC, AUPRC, F1 / precision /</w:t>
      </w:r>
      <w:r>
        <w:t xml:space="preserve"> </w:t>
      </w:r>
      <w:r>
        <w:t xml:space="preserve">recall at threshold 0.5, and lead time (anchor − last_event_ts) on</w:t>
      </w:r>
      <w:r>
        <w:t xml:space="preserve"> </w:t>
      </w:r>
      <w:r>
        <w:t xml:space="preserve">true-positive failure windows. Numbers are computed in a single pass</w:t>
      </w:r>
      <w:r>
        <w:t xml:space="preserve"> </w:t>
      </w:r>
      <w:r>
        <w:t xml:space="preserve">per configuration and stored as one artefact, so a comparison across</w:t>
      </w:r>
      <w:r>
        <w:t xml:space="preserve"> </w:t>
      </w:r>
      <w:r>
        <w:t xml:space="preserve">feature sets on the same trace cannot drift.</w:t>
      </w:r>
    </w:p>
    <w:bookmarkStart w:id="46" w:name="coverage-per-horizon-azure"/>
    <w:p>
      <w:pPr>
        <w:pStyle w:val="Heading3"/>
      </w:pPr>
      <w:r>
        <w:t xml:space="preserve">5.1 Coverage per horizon (Azure)</w:t>
      </w:r>
    </w:p>
    <w:p>
      <w:pPr>
        <w:pStyle w:val="FirstParagraph"/>
      </w:pPr>
      <w:r>
        <w:t xml:space="preserve">Time horizons of 1h and 6h leave 99.6% and 98% of failure windows</w:t>
      </w:r>
      <w:r>
        <w:t xml:space="preserve"> </w:t>
      </w:r>
      <w:r>
        <w:t xml:space="preserve">empty. Effectively no Azure PdM failure is preceded by an event in</w:t>
      </w:r>
      <w:r>
        <w:t xml:space="preserve"> </w:t>
      </w:r>
      <w:r>
        <w:t xml:space="preserve">the same hour. Useful horizons are 24h and the count-based</w:t>
      </w:r>
      <w:r>
        <w:t xml:space="preserve"> </w:t>
      </w:r>
      <w:r>
        <w:t xml:space="preserve">(</w:t>
      </w:r>
      <w:r>
        <w:rPr>
          <w:rStyle w:val="VerbatimChar"/>
        </w:rPr>
        <w:t xml:space="preserve">last5</w:t>
      </w:r>
      <w:r>
        <w:t xml:space="preserve">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). Even at 24h, failure and control windows</w:t>
      </w:r>
      <w:r>
        <w:t xml:space="preserve"> </w:t>
      </w:r>
      <w:r>
        <w:t xml:space="preserve">separate cleanly by raw event count (failure mean 1.58 events,</w:t>
      </w:r>
      <w:r>
        <w:t xml:space="preserve"> </w:t>
      </w:r>
      <w:r>
        <w:t xml:space="preserve">control mean 0.077; Figure 2).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2.</w:t>
            </w:r>
            <w:r>
              <w:t xml:space="preserve"> </w:t>
            </w:r>
            <w:r>
              <w:t xml:space="preserve">Event coverage of Azure pre-failure windows by horizon: the mean number of events per window grows with horizon length, which sets how much order information each horizon can carry.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2.</w:t>
      </w:r>
      <w:r>
        <w:t xml:space="preserve"> </w:t>
      </w:r>
      <w:r>
        <w:t xml:space="preserve">Event coverage of Azure pre-failure windows by horizon: the mean number of events per window grows with horizon length, which sets how much order information each horizon can carry.</w:t>
      </w:r>
    </w:p>
    <w:bookmarkEnd w:id="46"/>
    <w:bookmarkStart w:id="47" w:name="Xcb021a9f83200d9f09d3a9403457b97a917b7d4"/>
    <w:p>
      <w:pPr>
        <w:pStyle w:val="Heading3"/>
      </w:pPr>
      <w:r>
        <w:t xml:space="preserve">5.2 Mining sensitivity to minimum support (Azure)</w:t>
      </w:r>
    </w:p>
    <w:p>
      <w:pPr>
        <w:pStyle w:val="FirstParagraph"/>
      </w:pPr>
      <w:r>
        <w:t xml:space="preserve">A minimum support sweep over {0.02, 0.05, 0.10, 0.15} preserves the</w:t>
      </w:r>
      <w:r>
        <w:t xml:space="preserve"> </w:t>
      </w:r>
      <w:r>
        <w:t xml:space="preserve">headline ordering at every operating point (Table 1):</w:t>
      </w:r>
    </w:p>
    <w:p>
      <w:pPr>
        <w:pStyle w:val="TableCaption"/>
      </w:pPr>
      <w:r>
        <w:rPr>
          <w:b/>
          <w:bCs/>
        </w:rPr>
        <w:t xml:space="preserve">Table 1.</w:t>
      </w:r>
      <w:r>
        <w:t xml:space="preserve"> </w:t>
      </w:r>
      <w:r>
        <w:t xml:space="preserve">Predictive AUROC on Azure by feature set across the FP-Growth minimum-support sweep.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1. Predictive AUROC on Azure by feature set across the FP-Growth minimum-support sweep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0.803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0.774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0.762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0.741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0.674</w:t>
            </w:r>
          </w:p>
        </w:tc>
      </w:tr>
    </w:tbl>
    <w:p>
      <w:pPr>
        <w:pStyle w:val="BodyText"/>
      </w:pPr>
      <w:r>
        <w:t xml:space="preserve">At every minimum support tested, combined dominates itemsets_only:</w:t>
      </w:r>
      <w:r>
        <w:t xml:space="preserve"> </w:t>
      </w:r>
      <w:r>
        <w:t xml:space="preserve">by 4 to 6 AUROC points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for minimum support up to 0.10 (and</w:t>
      </w:r>
      <w:r>
        <w:t xml:space="preserve"> </w:t>
      </w:r>
      <w:r>
        <w:t xml:space="preserve">by 2 points at 0.15), and by 3 to 5 points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(Figure 3).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3.</w:t>
            </w:r>
            <w:r>
              <w:t xml:space="preserve"> </w:t>
            </w:r>
            <w:r>
              <w:t xml:space="preserve">Predictive AUROC on Azure across the FP-Growth minimum-support sweep. Combined itemset-plus-sequence features lead the itemset-only and event-count baselines at every threshold.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3.</w:t>
      </w:r>
      <w:r>
        <w:t xml:space="preserve"> </w:t>
      </w:r>
      <w:r>
        <w:t xml:space="preserve">Predictive AUROC on Azure across the FP-Growth minimum-support sweep. Combined itemset-plus-sequence features lead the itemset-only and event-count baselines at every threshold.</w:t>
      </w:r>
    </w:p>
    <w:bookmarkEnd w:id="47"/>
    <w:bookmarkEnd w:id="48"/>
    <w:bookmarkStart w:id="61" w:name="results"/>
    <w:p>
      <w:pPr>
        <w:pStyle w:val="Heading2"/>
      </w:pPr>
      <w:r>
        <w:t xml:space="preserve">6 Results</w:t>
      </w:r>
    </w:p>
    <w:bookmarkStart w:id="49" w:name="mined-patterns-azure-and-alibaba"/>
    <w:p>
      <w:pPr>
        <w:pStyle w:val="Heading3"/>
      </w:pPr>
      <w:r>
        <w:t xml:space="preserve">6.1 Mined patterns (Azure and Alibaba)</w:t>
      </w:r>
    </w:p>
    <w:p>
      <w:pPr>
        <w:pStyle w:val="FirstParagraph"/>
      </w:pPr>
      <w:r>
        <w:t xml:space="preserve">At Azure 24h,</w:t>
      </w:r>
      <w:r>
        <w:t xml:space="preserve"> </w:t>
      </w:r>
      <w:r>
        <w:rPr>
          <w:rStyle w:val="VerbatimChar"/>
        </w:rPr>
        <w:t xml:space="preserve">{software_error:error2, software_error:error3}</w:t>
      </w:r>
      <w:r>
        <w:t xml:space="preserve"> </w:t>
      </w:r>
      <w:r>
        <w:t xml:space="preserve">reaches</w:t>
      </w:r>
      <w:r>
        <w:t xml:space="preserve"> </w:t>
      </w:r>
      <w:r>
        <w:t xml:space="preserve">lift 3.99 (present in 38.2% of failure windows, in 0.04% of controls</w:t>
      </w:r>
      <w:r>
        <w:t xml:space="preserve"> </w:t>
      </w:r>
      <w:r>
        <w:t xml:space="preserve">on the full training sample; the disjoint inference half in §6.4</w:t>
      </w:r>
      <w:r>
        <w:t xml:space="preserve"> </w:t>
      </w:r>
      <w:r>
        <w:t xml:space="preserve">gives zero control hits; P(failure | pattern) = 99.6%). All six 24h itemsets dominate the</w:t>
      </w:r>
      <w:r>
        <w:t xml:space="preserve"> </w:t>
      </w:r>
      <w:r>
        <w:t xml:space="preserve">random-label permutation null (permuted top 1.24).</w:t>
      </w:r>
    </w:p>
    <w:p>
      <w:pPr>
        <w:pStyle w:val="BodyText"/>
      </w:pPr>
      <w:r>
        <w:t xml:space="preserve">At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, the sequence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reaches lift 3.73 as an ordered pattern but only 2.22 as the same</w:t>
      </w:r>
      <w:r>
        <w:t xml:space="preserve"> </w:t>
      </w:r>
      <w:r>
        <w:t xml:space="preserve">items unordered. Ordered patterns ending</w:t>
      </w:r>
      <w:r>
        <w:t xml:space="preserve"> </w:t>
      </w:r>
      <w:r>
        <w:rPr>
          <w:rStyle w:val="VerbatimChar"/>
        </w:rPr>
        <w:t xml:space="preserve">... → error2 → error3</w:t>
      </w:r>
      <w:r>
        <w:t xml:space="preserve"> </w:t>
      </w:r>
      <w:r>
        <w:t xml:space="preserve">dominate the top-8 at both count-based horizons (Figure 4).</w:t>
      </w:r>
    </w:p>
    <w:p>
      <w:pPr>
        <w:pStyle w:val="BodyText"/>
      </w:pPr>
      <w:r>
        <w:t xml:space="preserve">On Alibaba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 the strongest ordered pattern is</w:t>
      </w:r>
      <w:r>
        <w:t xml:space="preserve"> </w:t>
      </w:r>
      <w:r>
        <w:rPr>
          <w:rStyle w:val="VerbatimChar"/>
        </w:rPr>
        <w:t xml:space="preserve">task_success:M → task_success:R → task_success:M → task_success:M</w:t>
      </w:r>
      <w:r>
        <w:t xml:space="preserve"> </w:t>
      </w:r>
      <w:r>
        <w:t xml:space="preserve">with sequence lift 2.43 versus itemset lift 0.94 for the same event</w:t>
      </w:r>
      <w:r>
        <w:t xml:space="preserve"> </w:t>
      </w:r>
      <w:r>
        <w:t xml:space="preserve">set (order gain +1.49). At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,</w:t>
      </w:r>
      <w:r>
        <w:t xml:space="preserve"> </w:t>
      </w:r>
      <w:r>
        <w:rPr>
          <w:rStyle w:val="VerbatimChar"/>
        </w:rPr>
        <w:t xml:space="preserve">task_success:M → task_success:M → task_success:M</w:t>
      </w:r>
      <w:r>
        <w:t xml:space="preserve"> </w:t>
      </w:r>
      <w:r>
        <w:t xml:space="preserve">reaches sequence</w:t>
      </w:r>
      <w:r>
        <w:t xml:space="preserve"> </w:t>
      </w:r>
      <w:r>
        <w:t xml:space="preserve">lift 3.06 vs itemset lift 1.37 (order gain +1.69): three consecutive</w:t>
      </w:r>
      <w:r>
        <w:t xml:space="preserve"> </w:t>
      </w:r>
      <w:r>
        <w:t xml:space="preserve">Map completions predict a subsequent failure much more strongly than</w:t>
      </w:r>
      <w:r>
        <w:t xml:space="preserve"> </w:t>
      </w:r>
      <w:r>
        <w:t xml:space="preserve">the mere presence of Map events would suggest.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4.</w:t>
            </w:r>
            <w:r>
              <w:t xml:space="preserve"> </w:t>
            </w:r>
            <w:r>
              <w:t xml:space="preserve">Itemset lift versus sequence lift for Azure patterns. Points above the diagonal are patterns whose ordered form carries more failure signal than their unordered co-occurrence, the effect the count-preserving null of §4.7 isolates.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4.</w:t>
      </w:r>
      <w:r>
        <w:t xml:space="preserve"> </w:t>
      </w:r>
      <w:r>
        <w:t xml:space="preserve">Itemset lift versus sequence lift for Azure patterns. Points above the diagonal are patterns whose ordered form carries more failure signal than their unordered co-occurrence, the effect the count-preserving null of §4.7 isolates.</w:t>
      </w:r>
    </w:p>
    <w:bookmarkEnd w:id="49"/>
    <w:bookmarkStart w:id="50" w:name="Xf0bc8f9e6234e85c4d7c3cf73da894f54bee1dd"/>
    <w:p>
      <w:pPr>
        <w:pStyle w:val="Heading3"/>
      </w:pPr>
      <w:r>
        <w:t xml:space="preserve">6.2 Predictive evaluation (four temporally-split traces)</w:t>
      </w:r>
    </w:p>
    <w:p>
      <w:pPr>
        <w:pStyle w:val="FirstParagraph"/>
      </w:pPr>
      <w:r>
        <w:t xml:space="preserve">Head-to-head on temporally-held-out test sets (Figure 5; the two wind</w:t>
      </w:r>
      <w:r>
        <w:t xml:space="preserve"> </w:t>
      </w:r>
      <w:r>
        <w:t xml:space="preserve">farms are evaluated via the discovery/inference signature protocol of</w:t>
      </w:r>
      <w:r>
        <w:t xml:space="preserve"> </w:t>
      </w:r>
      <w:r>
        <w:t xml:space="preserve">§6.4, not this temporal-split predictive table; Table 2):</w:t>
      </w:r>
    </w:p>
    <w:p>
      <w:pPr>
        <w:pStyle w:val="TableCaption"/>
      </w:pPr>
      <w:r>
        <w:rPr>
          <w:b/>
          <w:bCs/>
        </w:rPr>
        <w:t xml:space="preserve">Table 2.</w:t>
      </w:r>
      <w:r>
        <w:t xml:space="preserve"> </w:t>
      </w:r>
      <w:r>
        <w:t xml:space="preserve">Held-out AUROC / AUPRC by feature set on the four temporally-split traces.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2. Held-out AUROC / AUPRC by feature set on the four temporally-split traces."/>
      </w:tblPr>
      <w:tblGrid>
        <w:gridCol w:w="937"/>
        <w:gridCol w:w="937"/>
        <w:gridCol w:w="1354"/>
        <w:gridCol w:w="1563"/>
        <w:gridCol w:w="1667"/>
        <w:gridCol w:w="1458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event_count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itemsets_only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sequences_only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combined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0.97 / 0.91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/ 0.99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0.996 / 0.99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/ 0.56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0.66 / 0.56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 / 0.72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/ 0.53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0.70 / 0.58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0.69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0.75 / 0.44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0.81 / 0.63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0.67 / 0.34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/ 0.21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 / 0.57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0.59 / 0.50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0.68 / 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0.23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0.74 / 0.59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0.49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0.48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0.51 / 0.26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n/a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0.52 / 0.11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0.55 / 0.11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0.60 / 0.15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0.50 / 0.09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/ 0.14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 / 0.10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0.57 / 0.13</w:t>
            </w:r>
          </w:p>
        </w:tc>
      </w:tr>
    </w:tbl>
    <w:p>
      <w:pPr>
        <w:pStyle w:val="BodyText"/>
      </w:pPr>
      <w:r>
        <w:rPr>
          <w:i/>
          <w:iCs/>
        </w:rPr>
        <w:t xml:space="preserve">(AUROC / AUPRC on the temporally-held-out test set. A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sequences_only</w:t>
      </w:r>
      <w:r>
        <w:rPr>
          <w:i/>
          <w:iCs/>
        </w:rPr>
        <w:t xml:space="preserve"> </w:t>
      </w:r>
      <w:r>
        <w:rPr>
          <w:i/>
          <w:iCs/>
        </w:rPr>
        <w:t xml:space="preserve">cell reads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n/a</w:t>
      </w:r>
      <w:r>
        <w:rPr>
          <w:i/>
          <w:iCs/>
        </w:rPr>
        <w:t xml:space="preserve"> </w:t>
      </w:r>
      <w:r>
        <w:rPr>
          <w:i/>
          <w:iCs/>
        </w:rPr>
        <w:t xml:space="preserve">when no sequence survived the training-set shuffle</w:t>
      </w:r>
      <w:r>
        <w:rPr>
          <w:i/>
          <w:iCs/>
        </w:rPr>
        <w:t xml:space="preserve"> </w:t>
      </w:r>
      <w:r>
        <w:rPr>
          <w:i/>
          <w:iCs/>
        </w:rPr>
        <w:t xml:space="preserve">null at that configuration, so no sequence feature was available;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combined</w:t>
      </w:r>
      <w:r>
        <w:rPr>
          <w:i/>
          <w:iCs/>
        </w:rPr>
        <w:t xml:space="preserve"> </w:t>
      </w:r>
      <w:r>
        <w:rPr>
          <w:i/>
          <w:iCs/>
        </w:rPr>
        <w:t xml:space="preserve">then equals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itemsets_only</w:t>
      </w:r>
      <w:r>
        <w:rPr>
          <w:i/>
          <w:iCs/>
        </w:rPr>
        <w:t xml:space="preserve">. SCANIA uses per-vehicle</w:t>
      </w:r>
      <w:r>
        <w:rPr>
          <w:i/>
          <w:iCs/>
        </w:rPr>
        <w:t xml:space="preserve"> </w:t>
      </w:r>
      <w:r>
        <w:rPr>
          <w:i/>
          <w:iCs/>
        </w:rPr>
        <w:t xml:space="preserve">90th-percentile-delta binning; BGL uses episode-anchored per-rack</w:t>
      </w:r>
      <w:r>
        <w:rPr>
          <w:i/>
          <w:iCs/>
        </w:rPr>
        <w:t xml:space="preserve"> </w:t>
      </w:r>
      <w:r>
        <w:rPr>
          <w:i/>
          <w:iCs/>
        </w:rPr>
        <w:t xml:space="preserve">windows with alerts removed from the pre-alert stream. Both boundary</w:t>
      </w:r>
      <w:r>
        <w:rPr>
          <w:i/>
          <w:iCs/>
        </w:rPr>
        <w:t xml:space="preserve"> </w:t>
      </w:r>
      <w:r>
        <w:rPr>
          <w:i/>
          <w:iCs/>
        </w:rPr>
        <w:t xml:space="preserve">traces sit near chance for every feature set at every horizon.)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5.</w:t>
            </w:r>
            <w:r>
              <w:t xml:space="preserve"> </w:t>
            </w:r>
            <w:r>
              <w:t xml:space="preserve">Held-out predictive AUROC by feature set across the four temporally-split traces (Azure, Alibaba, BGL, SCANIA). The combined feature set leads on Azure and Alibaba; BGL and SCANIA sit at the no-signal boundary.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5.</w:t>
      </w:r>
      <w:r>
        <w:t xml:space="preserve"> </w:t>
      </w:r>
      <w:r>
        <w:t xml:space="preserve">Held-out predictive AUROC by feature set across the four temporally-split traces (Azure, Alibaba, BGL, SCANIA). The combined feature set leads on Azure and Alibaba; BGL and SCANIA sit at the no-signal boundary.</w:t>
      </w:r>
    </w:p>
    <w:bookmarkEnd w:id="50"/>
    <w:bookmarkStart w:id="51" w:name="order-effect-under-count-preserving-null"/>
    <w:p>
      <w:pPr>
        <w:pStyle w:val="Heading3"/>
      </w:pPr>
      <w:r>
        <w:t xml:space="preserve">6.3 Order effect under count-preserving null</w:t>
      </w:r>
    </w:p>
    <w:p>
      <w:pPr>
        <w:pStyle w:val="FirstParagraph"/>
      </w:pPr>
      <w:r>
        <w:t xml:space="preserve">The count-preserving comparator of §4.7 isolates the pure ordering</w:t>
      </w:r>
      <w:r>
        <w:t xml:space="preserve"> </w:t>
      </w:r>
      <w:r>
        <w:t xml:space="preserve">contribution as</w:t>
      </w:r>
      <w:r>
        <w:t xml:space="preserve"> </w:t>
      </w:r>
      <w:r>
        <w:rPr>
          <w:rStyle w:val="VerbatimChar"/>
        </w:rPr>
        <w:t xml:space="preserve">order effect = real_lift − mean(count-preserving-shuffle_lift)</w:t>
      </w:r>
      <w:r>
        <w:t xml:space="preserve">. Top-20 sequences per horizon (Table 3):</w:t>
      </w:r>
    </w:p>
    <w:p>
      <w:pPr>
        <w:pStyle w:val="TableCaption"/>
      </w:pPr>
      <w:r>
        <w:rPr>
          <w:b/>
          <w:bCs/>
        </w:rPr>
        <w:t xml:space="preserve">Table 3.</w:t>
      </w:r>
      <w:r>
        <w:t xml:space="preserve"> </w:t>
      </w:r>
      <w:r>
        <w:t xml:space="preserve">Order effect under the count-preserving null: real lift, shuffled-null lift, and their difference.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3. Order effect under the count-preserving null: real lift, shuffled-null lift, and their difference."/>
      </w:tblPr>
      <w:tblGrid>
        <w:gridCol w:w="990"/>
        <w:gridCol w:w="990"/>
        <w:gridCol w:w="1210"/>
        <w:gridCol w:w="3080"/>
        <w:gridCol w:w="165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real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count-preserving null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order effect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+0.52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1.92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+1.09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−0.02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1.71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+0.02 (null)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+0.24</w:t>
            </w:r>
          </w:p>
        </w:tc>
      </w:tr>
    </w:tbl>
    <w:p>
      <w:pPr>
        <w:pStyle w:val="BodyText"/>
      </w:pPr>
      <w:r>
        <w:t xml:space="preserve">Reading these against the naive</w:t>
      </w:r>
      <w:r>
        <w:t xml:space="preserve"> </w:t>
      </w:r>
      <w:r>
        <w:rPr>
          <w:rStyle w:val="VerbatimChar"/>
        </w:rPr>
        <w:t xml:space="preserve">order_gain</w:t>
      </w:r>
      <w:r>
        <w:t xml:space="preserve"> </w:t>
      </w:r>
      <w:r>
        <w:t xml:space="preserve">values (up to +1.69 on</w:t>
      </w:r>
      <w:r>
        <w:t xml:space="preserve"> </w:t>
      </w:r>
      <w:r>
        <w:t xml:space="preserve">Alibaba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), the count-preserving comparator shows that</w:t>
      </w:r>
      <w:r>
        <w:t xml:space="preserve"> </w:t>
      </w:r>
      <w:r>
        <w:t xml:space="preserve">essentially all of the reported Alibaba</w:t>
      </w:r>
      <w:r>
        <w:t xml:space="preserve"> </w:t>
      </w:r>
      <w:r>
        <w:t xml:space="preserve">“</w:t>
      </w:r>
      <w:r>
        <w:t xml:space="preserve">order gain</w:t>
      </w:r>
      <w:r>
        <w:t xml:space="preserve">”</w:t>
      </w:r>
      <w:r>
        <w:t xml:space="preserve"> </w:t>
      </w:r>
      <w:r>
        <w:t xml:space="preserve">was a</w:t>
      </w:r>
      <w:r>
        <w:t xml:space="preserve"> </w:t>
      </w:r>
      <w:r>
        <w:t xml:space="preserve">multiplicity effect: the same event multiset in any order carries</w:t>
      </w:r>
      <w:r>
        <w:t xml:space="preserve"> </w:t>
      </w:r>
      <w:r>
        <w:t xml:space="preserve">approximately the same lift as the specific ordered sequence. Azure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-terminating sequences retain a genuine ordering</w:t>
      </w:r>
      <w:r>
        <w:t xml:space="preserve"> </w:t>
      </w:r>
      <w:r>
        <w:t xml:space="preserve">effect of +0.5 to +1.1 lift units above the count-preserving null.</w:t>
      </w:r>
      <w:r>
        <w:t xml:space="preserve"> </w:t>
      </w:r>
      <w:r>
        <w:t xml:space="preserve">Order is a real signal on Azure and essentially not a signal on</w:t>
      </w:r>
      <w:r>
        <w:t xml:space="preserve"> </w:t>
      </w:r>
      <w:r>
        <w:t xml:space="preserve">Alibaba once multiplicity is controlled for.</w:t>
      </w:r>
    </w:p>
    <w:bookmarkEnd w:id="51"/>
    <w:bookmarkStart w:id="52" w:name="X4df7340d1533da6331c58c2d3ec043171e9226d"/>
    <w:p>
      <w:pPr>
        <w:pStyle w:val="Heading3"/>
      </w:pPr>
      <w:r>
        <w:t xml:space="preserve">6.4 Signature catalog: mined patterns, evidence, interpretation, use</w:t>
      </w:r>
    </w:p>
    <w:p>
      <w:pPr>
        <w:pStyle w:val="FirstParagraph"/>
      </w:pPr>
      <w:r>
        <w:t xml:space="preserve">The paper’s central deliverable is a catalog of failure-precursor</w:t>
      </w:r>
      <w:r>
        <w:t xml:space="preserve"> </w:t>
      </w:r>
      <w:r>
        <w:t xml:space="preserve">signatures. Each signature is a specific mined pattern for which we</w:t>
      </w:r>
      <w:r>
        <w:t xml:space="preserve"> </w:t>
      </w:r>
      <w:r>
        <w:t xml:space="preserve">present statistical evidence, a domain-specific interpretation, and</w:t>
      </w:r>
      <w:r>
        <w:t xml:space="preserve"> </w:t>
      </w:r>
      <w:r>
        <w:t xml:space="preserve">an intended deployment use. The catalog is built from all six traces’ mining output using</w:t>
      </w:r>
      <w:r>
        <w:t xml:space="preserve"> </w:t>
      </w:r>
      <w:r>
        <w:t xml:space="preserve">the safeguards of §4.5 (post-selection-valid inference on the</w:t>
      </w:r>
      <w:r>
        <w:t xml:space="preserve"> </w:t>
      </w:r>
      <w:r>
        <w:t xml:space="preserve">disjoint inference half), §4.6 (matched conditional logistic for the</w:t>
      </w:r>
      <w:r>
        <w:t xml:space="preserve"> </w:t>
      </w:r>
      <w:r>
        <w:t xml:space="preserve">right-censored SCANIA trace) and §4.7 (count-preserving comparator</w:t>
      </w:r>
      <w:r>
        <w:t xml:space="preserve"> </w:t>
      </w:r>
      <w:r>
        <w:t xml:space="preserve">for order effect). Every signature is a specific pattern grounded in</w:t>
      </w:r>
      <w:r>
        <w:t xml:space="preserve"> </w:t>
      </w:r>
      <w:r>
        <w:t xml:space="preserve">its trace, not a cross-trace generalisation. The remainder of §6</w:t>
      </w:r>
      <w:r>
        <w:t xml:space="preserve"> </w:t>
      </w:r>
      <w:r>
        <w:t xml:space="preserve">walks through the catalog by trace.</w:t>
      </w:r>
    </w:p>
    <w:p>
      <w:pPr>
        <w:pStyle w:val="BodyText"/>
      </w:pPr>
      <w:r>
        <w:rPr>
          <w:b/>
          <w:bCs/>
        </w:rPr>
        <w:t xml:space="preserve">Kelmarsh wind turbines.</w:t>
      </w:r>
      <w:r>
        <w:t xml:space="preserve"> </w:t>
      </w:r>
      <w:r>
        <w:t xml:space="preserve">Kelmarsh yields the strongest cascade</w:t>
      </w:r>
      <w:r>
        <w:t xml:space="preserve"> </w:t>
      </w:r>
      <w:r>
        <w:t xml:space="preserve">signatures in the catalog. All top signatures have zero control hits</w:t>
      </w:r>
      <w:r>
        <w:t xml:space="preserve"> </w:t>
      </w:r>
      <w:r>
        <w:t xml:space="preserve">on the inference half, and each fault code names a specific mechanical</w:t>
      </w:r>
      <w:r>
        <w:t xml:space="preserve"> </w:t>
      </w:r>
      <w:r>
        <w:t xml:space="preserve">or electrical precursor of the same-family Forced-outage event.</w:t>
      </w:r>
    </w:p>
    <w:p>
      <w:pPr>
        <w:pStyle w:val="BodyText"/>
      </w:pPr>
      <w:r>
        <w:t xml:space="preserve">Mining on the discovery half at 5% minimum support then scoring on the</w:t>
      </w:r>
      <w:r>
        <w:t xml:space="preserve"> </w:t>
      </w:r>
      <w:r>
        <w:t xml:space="preserve">inference half of the 2016-2017 fleet (233 fail / 699 ctrl windows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 same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), 30/35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itemsets and</w:t>
      </w:r>
      <w:r>
        <w:t xml:space="preserve"> </w:t>
      </w:r>
      <w:r>
        <w:t xml:space="preserve">113/136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itemsets pass BY q&lt;0.05 (Table 4).</w:t>
      </w:r>
    </w:p>
    <w:p>
      <w:pPr>
        <w:pStyle w:val="TableCaption"/>
      </w:pPr>
      <w:r>
        <w:rPr>
          <w:b/>
          <w:bCs/>
        </w:rPr>
        <w:t xml:space="preserve">Table 4.</w:t>
      </w:r>
      <w:r>
        <w:t xml:space="preserve"> </w:t>
      </w:r>
      <w:r>
        <w:t xml:space="preserve">Top Kelmarsh generator-fan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4. Top Kelmarsh generator-fan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(code:message)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terminal_failure:2550</w:t>
            </w:r>
            <w:r>
              <w:t xml:space="preserve"> </w:t>
            </w:r>
            <w:r>
              <w:t xml:space="preserve">(Overload gen fan 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system_warning:2550</w:t>
            </w:r>
            <w:r>
              <w:t xml:space="preserve"> </w:t>
            </w:r>
            <w:r>
              <w:t xml:space="preserve">(Overload gen fan 1, standalone warning)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4.9e-16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system_warning:2655</w:t>
            </w:r>
            <w:r>
              <w:t xml:space="preserve"> </w:t>
            </w:r>
            <w:r>
              <w:t xml:space="preserve">(Overload gen fan 3)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1.9e-14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terminal_failure:2550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1.9e-26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9.6e-25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system_warning:2655 + 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2.7e-23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terminal_failure:2650 + terminal_failure:2655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system_warning:2000 + terminal_failure:2550 + terminal_failure:2650</w:t>
            </w:r>
            <w:r>
              <w:t xml:space="preserve"> </w:t>
            </w:r>
            <w:r>
              <w:t xml:space="preserve">(long-fault-chain terminal group)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3.5e-12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Windows are strictly pre-anchor, so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 inside</w:t>
      </w:r>
      <w:r>
        <w:t xml:space="preserve"> </w:t>
      </w:r>
      <w:r>
        <w:t xml:space="preserve">a window is a</w:t>
      </w:r>
      <w:r>
        <w:t xml:space="preserve"> </w:t>
      </w:r>
      <w:r>
        <w:rPr>
          <w:i/>
          <w:iCs/>
        </w:rPr>
        <w:t xml:space="preserve">prior</w:t>
      </w:r>
      <w:r>
        <w:t xml:space="preserve"> </w:t>
      </w:r>
      <w:r>
        <w:t xml:space="preserve">forced outage, not the anchor being predicted.</w:t>
      </w:r>
      <w:r>
        <w:t xml:space="preserve"> </w:t>
      </w:r>
      <w:r>
        <w:t xml:space="preserve">The table therefore contains two distinct signature families, both at</w:t>
      </w:r>
      <w:r>
        <w:t xml:space="preserve"> </w:t>
      </w:r>
      <w:r>
        <w:t xml:space="preserve">lift 4.00 with zero control hits. The first is</w:t>
      </w:r>
      <w:r>
        <w:t xml:space="preserve"> </w:t>
      </w:r>
      <w:r>
        <w:rPr>
          <w:b/>
          <w:bCs/>
        </w:rPr>
        <w:t xml:space="preserve">repeat-outage</w:t>
      </w:r>
      <w:r>
        <w:rPr>
          <w:b/>
          <w:bCs/>
        </w:rPr>
        <w:t xml:space="preserve"> </w:t>
      </w:r>
      <w:r>
        <w:rPr>
          <w:b/>
          <w:bCs/>
        </w:rPr>
        <w:t xml:space="preserve">clustering</w:t>
      </w:r>
      <w:r>
        <w:t xml:space="preserve">: a recent same-code generator-fan outage</w:t>
      </w:r>
      <w:r>
        <w:t xml:space="preserve"> </w:t>
      </w:r>
      <w:r>
        <w:t xml:space="preserve">(</w:t>
      </w:r>
      <w:r>
        <w:rPr>
          <w:rStyle w:val="VerbatimChar"/>
        </w:rPr>
        <w:t xml:space="preserve">terminal_failure:2550</w:t>
      </w:r>
      <w:r>
        <w:t xml:space="preserve">,</w:t>
      </w:r>
      <w:r>
        <w:t xml:space="preserve"> </w:t>
      </w:r>
      <w:r>
        <w:rPr>
          <w:rStyle w:val="VerbatimChar"/>
        </w:rPr>
        <w:t xml:space="preserve">terminal_failure:2655</w:t>
      </w:r>
      <w:r>
        <w:t xml:space="preserve">) strongly predicts</w:t>
      </w:r>
      <w:r>
        <w:t xml:space="preserve"> </w:t>
      </w:r>
      <w:r>
        <w:t xml:space="preserve">the next, so these outages recur in bursts on the same turbine (45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cases, 0 controls for</w:t>
      </w:r>
      <w:r>
        <w:t xml:space="preserve"> </w:t>
      </w:r>
      <w:r>
        <w:rPr>
          <w:rStyle w:val="VerbatimChar"/>
        </w:rPr>
        <w:t xml:space="preserve">terminal_failure:2550</w:t>
      </w:r>
      <w:r>
        <w:t xml:space="preserve">). The second,</w:t>
      </w:r>
      <w:r>
        <w:t xml:space="preserve"> </w:t>
      </w:r>
      <w:r>
        <w:t xml:space="preserve">and the operationally decisive one, is</w:t>
      </w:r>
      <w:r>
        <w:t xml:space="preserve"> </w:t>
      </w:r>
      <w:r>
        <w:rPr>
          <w:b/>
          <w:bCs/>
        </w:rPr>
        <w:t xml:space="preserve">warning-to-outage</w:t>
      </w:r>
      <w:r>
        <w:rPr>
          <w:b/>
          <w:bCs/>
        </w:rPr>
        <w:t xml:space="preserve"> </w:t>
      </w:r>
      <w:r>
        <w:rPr>
          <w:b/>
          <w:bCs/>
        </w:rPr>
        <w:t xml:space="preserve">precursors</w:t>
      </w:r>
      <w:r>
        <w:t xml:space="preserve">: the pure generator-fan overload warning codes</w:t>
      </w:r>
      <w:r>
        <w:t xml:space="preserve"> </w:t>
      </w:r>
      <w:r>
        <w:rPr>
          <w:rStyle w:val="VerbatimChar"/>
        </w:rPr>
        <w:t xml:space="preserve">system_warning:2550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 </w:t>
      </w:r>
      <w:r>
        <w:t xml:space="preserve">precede the</w:t>
      </w:r>
      <w:r>
        <w:t xml:space="preserve"> </w:t>
      </w:r>
      <w:r>
        <w:t xml:space="preserve">same-family Forced outage before any outage has occurred (24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cases, 0 controls for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). This is the paper’s</w:t>
      </w:r>
      <w:r>
        <w:t xml:space="preserve"> </w:t>
      </w:r>
      <w:r>
        <w:t xml:space="preserve">driving hypothesis in its clearest form: a physical wear process</w:t>
      </w:r>
      <w:r>
        <w:t xml:space="preserve"> </w:t>
      </w:r>
      <w:r>
        <w:t xml:space="preserve">raises generator-fan overload warnings at an intermediate stage</w:t>
      </w:r>
      <w:r>
        <w:t xml:space="preserve"> </w:t>
      </w:r>
      <w:r>
        <w:t xml:space="preserve">before the same fault terminates the cascade as a Forced outage.</w:t>
      </w:r>
    </w:p>
    <w:p>
      <w:pPr>
        <w:pStyle w:val="BodyText"/>
      </w:pPr>
      <w:r>
        <w:t xml:space="preserve">Use: two rules with different triggers.</w:t>
      </w:r>
      <w:r>
        <w:t xml:space="preserve"> </w:t>
      </w:r>
      <w:r>
        <w:rPr>
          <w:b/>
          <w:bCs/>
        </w:rPr>
        <w:t xml:space="preserve">Early warning</w:t>
      </w:r>
      <w:r>
        <w:t xml:space="preserve">: schedule</w:t>
      </w:r>
      <w:r>
        <w:t xml:space="preserve"> </w:t>
      </w:r>
      <w:r>
        <w:t xml:space="preserve">generator cooling and bearing inspection the moment</w:t>
      </w:r>
      <w:r>
        <w:t xml:space="preserve"> </w:t>
      </w:r>
      <w:r>
        <w:rPr>
          <w:rStyle w:val="VerbatimChar"/>
        </w:rPr>
        <w:t xml:space="preserve">system_warning:2550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system_warning:2655</w:t>
      </w:r>
      <w:r>
        <w:t xml:space="preserve"> </w:t>
      </w:r>
      <w:r>
        <w:t xml:space="preserve">fires, before any outage.</w:t>
      </w:r>
      <w:r>
        <w:t xml:space="preserve"> </w:t>
      </w:r>
      <w:r>
        <w:rPr>
          <w:b/>
          <w:bCs/>
        </w:rPr>
        <w:t xml:space="preserve">Escalation</w:t>
      </w:r>
      <w:r>
        <w:t xml:space="preserve">:</w:t>
      </w:r>
      <w:r>
        <w:t xml:space="preserve"> </w:t>
      </w:r>
      <w:r>
        <w:t xml:space="preserve">after a generator-fan Forced outage, treat a second on the same</w:t>
      </w:r>
      <w:r>
        <w:t xml:space="preserve"> </w:t>
      </w:r>
      <w:r>
        <w:t xml:space="preserve">turbine as imminent (the repeat-outage family). Both rules have zero</w:t>
      </w:r>
      <w:r>
        <w:t xml:space="preserve"> </w:t>
      </w:r>
      <w:r>
        <w:t xml:space="preserve">false alarms over the 699 inference-half control 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;</w:t>
      </w:r>
      <w:r>
        <w:t xml:space="preserve"> </w:t>
      </w:r>
      <w:r>
        <w:t xml:space="preserve">§6.5 quantifies how much of the escalation signal the last-event</w:t>
      </w:r>
      <w:r>
        <w:t xml:space="preserve"> </w:t>
      </w:r>
      <w:r>
        <w:t xml:space="preserve">baseline already captures. Figure 6 shows one such episode.</w:t>
      </w:r>
    </w:p>
    <w:tbl>
      <w:tblPr>
        <w:tblStyle w:val="FigureTable"/>
        <w:tblW w:type="auto" w:w="0"/>
        <w:jc w:val="center"/>
        <w:tblLook w:firstRow="0" w:lastRow="0" w:firstColumn="0" w:lastColumn="0"/>
      </w:tblPr>
      <w:tblGrid>
        <w:gridCol w:w="7920"/>
      </w:tblGrid>
      <w:tr>
        <w:tc>
          <w:tcPr/>
          <w:p>
            <w:pPr>
              <w:pStyle w:val="Compact"/>
              <w:jc w:val="center"/>
            </w:pPr>
            <w:r>
              <w:rPr>
                <w:b/>
                <w:bCs/>
              </w:rPr>
              <w:t xml:space="preserve">Figure 6.</w:t>
            </w:r>
            <w:r>
              <w:t xml:space="preserve"> </w:t>
            </w:r>
            <w:r>
              <w:t xml:space="preserve">A real generator-fan overload cascade on Kelmarsh turbine T3. The co-occurring warning codes 2550, 2650, and 2655 (generator fans 1, 2, and 3) fire together twice in the hours before a same-family Forced outage (code 2650), alongside brake and frequency-converter alarms. This co-occurrence is the itemset signature the catalog records; the terminal marker at hour 0 is the outage being predicted.</w:t>
            </w:r>
          </w:p>
        </w:tc>
      </w:tr>
    </w:tbl>
    <w:p>
      <w:pPr>
        <w:pStyle w:val="ImageCaption"/>
      </w:pPr>
      <w:r>
        <w:rPr>
          <w:b/>
          <w:bCs/>
        </w:rPr>
        <w:t xml:space="preserve">Figure 6.</w:t>
      </w:r>
      <w:r>
        <w:t xml:space="preserve"> </w:t>
      </w:r>
      <w:r>
        <w:t xml:space="preserve">A real generator-fan overload cascade on Kelmarsh turbine T3. The co-occurring warning codes 2550, 2650, and 2655 (generator fans 1, 2, and 3) fire together twice in the hours before a same-family Forced outage (code 2650), alongside brake and frequency-converter alarms. This co-occurrence is the itemset signature the catalog records; the terminal marker at hour 0 is the outage being predicted.</w:t>
      </w:r>
    </w:p>
    <w:p>
      <w:pPr>
        <w:pStyle w:val="BodyText"/>
      </w:pPr>
      <w:r>
        <w:rPr>
          <w:b/>
          <w:bCs/>
        </w:rPr>
        <w:t xml:space="preserve">Penmanshiel wind turbines (independent replication).</w:t>
      </w:r>
      <w:r>
        <w:t xml:space="preserve"> </w:t>
      </w:r>
      <w:r>
        <w:t xml:space="preserve">Nine</w:t>
      </w:r>
      <w:r>
        <w:t xml:space="preserve"> </w:t>
      </w:r>
      <w:r>
        <w:t xml:space="preserve">Senvion MM82 turbines over 2016-06 to 2016-12. Fresh entity-disjoint</w:t>
      </w:r>
      <w:r>
        <w:t xml:space="preserve"> </w:t>
      </w:r>
      <w:r>
        <w:t xml:space="preserve">split: 448 fail / 1,344 ctrl windows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. Signatures replicate</w:t>
      </w:r>
      <w:r>
        <w:t xml:space="preserve"> </w:t>
      </w:r>
      <w:r>
        <w:t xml:space="preserve">Kelmarsh in shape (zero-control cascades at lift 4.00) with a</w:t>
      </w:r>
      <w:r>
        <w:t xml:space="preserve"> </w:t>
      </w:r>
      <w:r>
        <w:t xml:space="preserve">different code family driving the leaderboard (safety-system 9000/9210</w:t>
      </w:r>
      <w:r>
        <w:t xml:space="preserve"> </w:t>
      </w:r>
      <w:r>
        <w:t xml:space="preserve">codes and frequency-converter 3000 codes), consistent with the</w:t>
      </w:r>
      <w:r>
        <w:t xml:space="preserve"> </w:t>
      </w:r>
      <w:r>
        <w:t xml:space="preserve">Penmanshiel fleet’s known 2016 commissioning-phase safety-system</w:t>
      </w:r>
      <w:r>
        <w:t xml:space="preserve"> </w:t>
      </w:r>
      <w:r>
        <w:t xml:space="preserve">teething (Table 5).</w:t>
      </w:r>
    </w:p>
    <w:p>
      <w:pPr>
        <w:pStyle w:val="TableCaption"/>
      </w:pPr>
      <w:r>
        <w:rPr>
          <w:b/>
          <w:bCs/>
        </w:rPr>
        <w:t xml:space="preserve">Table 5.</w:t>
      </w:r>
      <w:r>
        <w:t xml:space="preserve"> </w:t>
      </w:r>
      <w:r>
        <w:t xml:space="preserve">Top Penmanshiel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5. Top Penmanshiel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system_warning:9000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system_info:0 + system_warning:9000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1.4e-43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 + system_warning:9000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1.5e-34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system_info:3543 + system_stop:3000 + terminal_failure:3000</w:t>
            </w:r>
            <w:r>
              <w:t xml:space="preserve"> </w:t>
            </w:r>
            <w:r>
              <w:t xml:space="preserve">(freq-converter chain)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2.2e-11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system_info:3543 + system_warning:5720 + terminal_failure:3000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2.2e-11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</w:t>
            </w:r>
            <w:r>
              <w:t xml:space="preserve"> </w:t>
            </w:r>
            <w:r>
              <w:t xml:space="preserve">(safety-9210 group)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system_stop:9210 + terminal_failure:9210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1.3e-98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</w:tbl>
    <w:p>
      <w:pPr>
        <w:pStyle w:val="BodyText"/>
      </w:pPr>
      <w:r>
        <w:t xml:space="preserve">Interpretation: as on Kelmarsh, rows carrying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 are prior-outage clustering, while the pure warning and</w:t>
      </w:r>
      <w:r>
        <w:t xml:space="preserve"> </w:t>
      </w:r>
      <w:r>
        <w:t xml:space="preserve">info-to-stop rows are the actionable precursors.</w:t>
      </w:r>
      <w:r>
        <w:t xml:space="preserve"> </w:t>
      </w:r>
      <w:r>
        <w:rPr>
          <w:b/>
          <w:bCs/>
        </w:rPr>
        <w:t xml:space="preserve">The pure warning</w:t>
      </w:r>
      <w:r>
        <w:rPr>
          <w:b/>
          <w:bCs/>
        </w:rPr>
        <w:t xml:space="preserve"> </w:t>
      </w:r>
      <w:r>
        <w:rPr>
          <w:b/>
          <w:bCs/>
        </w:rPr>
        <w:t xml:space="preserve">code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system_warning:9000</w:t>
      </w:r>
      <w:r>
        <w:rPr>
          <w:b/>
          <w:bCs/>
        </w:rPr>
        <w:t xml:space="preserve"> </w:t>
      </w:r>
      <w:r>
        <w:rPr>
          <w:b/>
          <w:bCs/>
        </w:rPr>
        <w:t xml:space="preserve">precedes the safety-system 9210 Forced</w:t>
      </w:r>
      <w:r>
        <w:rPr>
          <w:b/>
          <w:bCs/>
        </w:rPr>
        <w:t xml:space="preserve"> </w:t>
      </w:r>
      <w:r>
        <w:rPr>
          <w:b/>
          <w:bCs/>
        </w:rPr>
        <w:t xml:space="preserve">outage, and the safety-stop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system_stop:9210</w:t>
      </w:r>
      <w:r>
        <w:rPr>
          <w:b/>
          <w:bCs/>
        </w:rPr>
        <w:t xml:space="preserve"> </w:t>
      </w:r>
      <w:r>
        <w:rPr>
          <w:b/>
          <w:bCs/>
        </w:rPr>
        <w:t xml:space="preserve">reaches 150</w:t>
      </w:r>
      <w:r>
        <w:rPr>
          <w:b/>
          <w:bCs/>
        </w:rPr>
        <w:t xml:space="preserve"> </w:t>
      </w:r>
      <w:r>
        <w:rPr>
          <w:b/>
          <w:bCs/>
        </w:rPr>
        <w:t xml:space="preserve">inference-half forced-outage windows with zero hits across 1,344</w:t>
      </w:r>
      <w:r>
        <w:rPr>
          <w:b/>
          <w:bCs/>
        </w:rPr>
        <w:t xml:space="preserve"> </w:t>
      </w:r>
      <w:r>
        <w:rPr>
          <w:b/>
          <w:bCs/>
        </w:rPr>
        <w:t xml:space="preserve">matched controls</w:t>
      </w:r>
      <w:r>
        <w:t xml:space="preserve">. The frequency-converter chain</w:t>
      </w:r>
      <w:r>
        <w:t xml:space="preserve"> </w:t>
      </w:r>
      <w:r>
        <w:rPr>
          <w:rStyle w:val="VerbatimChar"/>
        </w:rPr>
        <w:t xml:space="preserve">system_info:3543 -&gt; system_stop:3000</w:t>
      </w:r>
      <w:r>
        <w:t xml:space="preserve"> </w:t>
      </w:r>
      <w:r>
        <w:t xml:space="preserve">is an independent second</w:t>
      </w:r>
      <w:r>
        <w:t xml:space="preserve"> </w:t>
      </w:r>
      <w:r>
        <w:t xml:space="preserve">precursor family with 19 zero-control replications. Combined with Kelmarsh, this is the</w:t>
      </w:r>
      <w:r>
        <w:t xml:space="preserve"> </w:t>
      </w:r>
      <w:r>
        <w:t xml:space="preserve">first cross-farm cascade replication in the paper: two different</w:t>
      </w:r>
      <w:r>
        <w:t xml:space="preserve"> </w:t>
      </w:r>
      <w:r>
        <w:t xml:space="preserve">turbine models on two different sites both produce lift-4.00 cascade</w:t>
      </w:r>
      <w:r>
        <w:t xml:space="preserve"> </w:t>
      </w:r>
      <w:r>
        <w:t xml:space="preserve">signatures under the same mining protocol, with vendor-shared alarm</w:t>
      </w:r>
      <w:r>
        <w:t xml:space="preserve"> </w:t>
      </w:r>
      <w:r>
        <w:t xml:space="preserve">codes indexing genuinely mechanical failure modes.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safety-9210 warning triggers immediate turbine curtailment,</w:t>
      </w:r>
      <w:r>
        <w:rPr>
          <w:b/>
          <w:bCs/>
        </w:rPr>
        <w:t xml:space="preserve"> </w:t>
      </w:r>
      <w:r>
        <w:rPr>
          <w:b/>
          <w:bCs/>
        </w:rPr>
        <w:t xml:space="preserve">regardless of grid conditions</w:t>
      </w:r>
      <w:r>
        <w:t xml:space="preserve">;</w:t>
      </w:r>
      <w:r>
        <w:t xml:space="preserve"> </w:t>
      </w:r>
      <w:r>
        <w:rPr>
          <w:b/>
          <w:bCs/>
        </w:rPr>
        <w:t xml:space="preserve">freq-converter 3543 informational</w:t>
      </w:r>
      <w:r>
        <w:rPr>
          <w:b/>
          <w:bCs/>
        </w:rPr>
        <w:t xml:space="preserve"> </w:t>
      </w:r>
      <w:r>
        <w:rPr>
          <w:b/>
          <w:bCs/>
        </w:rPr>
        <w:t xml:space="preserve">message triggers converter service order within 6h at Penmanshiel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Cluster-aware validation.</w:t>
      </w:r>
      <w:r>
        <w:t xml:space="preserve"> </w:t>
      </w:r>
      <w:r>
        <w:t xml:space="preserve">Each wind farm has only a handful of</w:t>
      </w:r>
      <w:r>
        <w:t xml:space="preserve"> </w:t>
      </w:r>
      <w:r>
        <w:t xml:space="preserve">turbines, so the hundreds of windows they generate are clustered and</w:t>
      </w:r>
      <w:r>
        <w:t xml:space="preserve"> </w:t>
      </w:r>
      <w:r>
        <w:t xml:space="preserve">the window-level hypergeometric q-values overstate the population-level</w:t>
      </w:r>
      <w:r>
        <w:t xml:space="preserve"> </w:t>
      </w:r>
      <w:r>
        <w:t xml:space="preserve">evidence. We therefore validate the precursor signatures (pure warning</w:t>
      </w:r>
      <w:r>
        <w:t xml:space="preserve"> </w:t>
      </w:r>
      <w:r>
        <w:t xml:space="preserve">and info-to-stop patterns, with prior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tokens</w:t>
      </w:r>
      <w:r>
        <w:t xml:space="preserve"> </w:t>
      </w:r>
      <w:r>
        <w:t xml:space="preserve">excluded) with two entity-respecting tests on the inference half. A</w:t>
      </w:r>
      <w:r>
        <w:t xml:space="preserve"> </w:t>
      </w:r>
      <w:r>
        <w:rPr>
          <w:b/>
          <w:bCs/>
        </w:rPr>
        <w:t xml:space="preserve">within-turbine label permutation</w:t>
      </w:r>
      <w:r>
        <w:t xml:space="preserve"> </w:t>
      </w:r>
      <w:r>
        <w:t xml:space="preserve">(2,000 permutations that shuffle</w:t>
      </w:r>
      <w:r>
        <w:t xml:space="preserve"> </w:t>
      </w:r>
      <w:r>
        <w:t xml:space="preserve">the failure/control label within each turbine, preserving its clustering</w:t>
      </w:r>
      <w:r>
        <w:t xml:space="preserve"> </w:t>
      </w:r>
      <w:r>
        <w:t xml:space="preserve">and case/control counts) leaves every one of the top 12 precursor</w:t>
      </w:r>
      <w:r>
        <w:t xml:space="preserve"> </w:t>
      </w:r>
      <w:r>
        <w:t xml:space="preserve">signatures significant on both farms after BY correction (permutation</w:t>
      </w:r>
      <w:r>
        <w:t xml:space="preserve"> </w:t>
      </w:r>
      <w:r>
        <w:t xml:space="preserve">q = 0.0016, the floor at 2,000 permutations). A</w:t>
      </w:r>
      <w:r>
        <w:t xml:space="preserve"> </w:t>
      </w:r>
      <w:r>
        <w:rPr>
          <w:b/>
          <w:bCs/>
        </w:rPr>
        <w:t xml:space="preserve">leave-one-turbine-out</w:t>
      </w:r>
      <w:r>
        <w:t xml:space="preserve"> </w:t>
      </w:r>
      <w:r>
        <w:t xml:space="preserve">check finds every one of those signatures still enriched in all held-out</w:t>
      </w:r>
      <w:r>
        <w:t xml:space="preserve"> </w:t>
      </w:r>
      <w:r>
        <w:t xml:space="preserve">folds (3/3 turbines on Kelmarsh, 5/5 on Penmanshiel). Cross-turbine</w:t>
      </w:r>
      <w:r>
        <w:t xml:space="preserve"> </w:t>
      </w:r>
      <w:r>
        <w:t xml:space="preserve">consistency, not a small window-level p-value, is the load-bearing</w:t>
      </w:r>
      <w:r>
        <w:t xml:space="preserve"> </w:t>
      </w:r>
      <w:r>
        <w:t xml:space="preserve">evidence here.</w:t>
      </w:r>
    </w:p>
    <w:p>
      <w:pPr>
        <w:pStyle w:val="BodyText"/>
      </w:pPr>
      <w:r>
        <w:rPr>
          <w:b/>
          <w:bCs/>
        </w:rPr>
        <w:t xml:space="preserve">Prospective alarm replay.</w:t>
      </w:r>
      <w:r>
        <w:t xml:space="preserve"> </w:t>
      </w:r>
      <w:r>
        <w:t xml:space="preserve">To measure deployment value directly</w:t>
      </w:r>
      <w:r>
        <w:t xml:space="preserve"> </w:t>
      </w:r>
      <w:r>
        <w:t xml:space="preserve">rather than infer it from an assumed base rate, we replay each turbine</w:t>
      </w:r>
      <w:r>
        <w:t xml:space="preserve"> </w:t>
      </w:r>
      <w:r>
        <w:t xml:space="preserve">chronologically. A precursor rule (the non-terminal codes whose firing</w:t>
      </w:r>
      <w:r>
        <w:t xml:space="preserve"> </w:t>
      </w:r>
      <w:r>
        <w:t xml:space="preserve">is followed by a forced outage within 24h at more than three times the</w:t>
      </w:r>
      <w:r>
        <w:t xml:space="preserve"> </w:t>
      </w:r>
      <w:r>
        <w:t xml:space="preserve">per-firing base rate) is learned only from the other turbines, then</w:t>
      </w:r>
      <w:r>
        <w:t xml:space="preserve"> </w:t>
      </w:r>
      <w:r>
        <w:t xml:space="preserve">applied to the held-out turbine’s real event stream with a 24h alarm</w:t>
      </w:r>
      <w:r>
        <w:t xml:space="preserve"> </w:t>
      </w:r>
      <w:r>
        <w:t xml:space="preserve">cooldown; an alarm is a true positive if a forced outage follows within</w:t>
      </w:r>
      <w:r>
        <w:t xml:space="preserve"> </w:t>
      </w:r>
      <w:r>
        <w:t xml:space="preserve">24h. The two farms occupy two operating points. On</w:t>
      </w:r>
      <w:r>
        <w:t xml:space="preserve"> </w:t>
      </w:r>
      <w:r>
        <w:rPr>
          <w:b/>
          <w:bCs/>
        </w:rPr>
        <w:t xml:space="preserve">Kelmarsh the rule</w:t>
      </w:r>
      <w:r>
        <w:rPr>
          <w:b/>
          <w:bCs/>
        </w:rPr>
        <w:t xml:space="preserve"> </w:t>
      </w:r>
      <w:r>
        <w:rPr>
          <w:b/>
          <w:bCs/>
        </w:rPr>
        <w:t xml:space="preserve">detects 457 of 482 forced outages (recall 0.95) at a median lead of</w:t>
      </w:r>
      <w:r>
        <w:rPr>
          <w:b/>
          <w:bCs/>
        </w:rPr>
        <w:t xml:space="preserve"> </w:t>
      </w:r>
      <w:r>
        <w:rPr>
          <w:b/>
          <w:bCs/>
        </w:rPr>
        <w:t xml:space="preserve">3.3 hours</w:t>
      </w:r>
      <w:r>
        <w:t xml:space="preserve"> </w:t>
      </w:r>
      <w:r>
        <w:t xml:space="preserve">(68% of detections at least 1h early, 43% at least 6h),</w:t>
      </w:r>
      <w:r>
        <w:t xml:space="preserve"> </w:t>
      </w:r>
      <w:r>
        <w:t xml:space="preserve">at precision 0.20 and 2.7 false alarms per turbine-month. On</w:t>
      </w:r>
      <w:r>
        <w:t xml:space="preserve"> </w:t>
      </w:r>
      <w:r>
        <w:rPr>
          <w:b/>
          <w:bCs/>
        </w:rPr>
        <w:t xml:space="preserve">Penmanshiel it runs at precision 0.78 and 0.31 false alarms per</w:t>
      </w:r>
      <w:r>
        <w:rPr>
          <w:b/>
          <w:bCs/>
        </w:rPr>
        <w:t xml:space="preserve"> </w:t>
      </w:r>
      <w:r>
        <w:rPr>
          <w:b/>
          <w:bCs/>
        </w:rPr>
        <w:t xml:space="preserve">turbine-month</w:t>
      </w:r>
      <w:r>
        <w:t xml:space="preserve">, detecting half the outages (recall 0.50) at a shorter</w:t>
      </w:r>
      <w:r>
        <w:t xml:space="preserve"> </w:t>
      </w:r>
      <w:r>
        <w:t xml:space="preserve">median lead of 5.7 minutes. This is a measured prospective result: the</w:t>
      </w:r>
      <w:r>
        <w:t xml:space="preserve"> </w:t>
      </w:r>
      <w:r>
        <w:t xml:space="preserve">Kelmarsh generator-fan cascade gives hours of actionable warning at a</w:t>
      </w:r>
      <w:r>
        <w:t xml:space="preserve"> </w:t>
      </w:r>
      <w:r>
        <w:t xml:space="preserve">tolerable alarm burden, while the Penmanshiel safety-system cascade is</w:t>
      </w:r>
      <w:r>
        <w:t xml:space="preserve"> </w:t>
      </w:r>
      <w:r>
        <w:t xml:space="preserve">precise but fires close to the outage.</w:t>
      </w:r>
    </w:p>
    <w:bookmarkEnd w:id="52"/>
    <w:bookmarkStart w:id="53" w:name="Xae0c354666545c52f18ecbdee1c0773e2af72f4"/>
    <w:p>
      <w:pPr>
        <w:pStyle w:val="Heading3"/>
      </w:pPr>
      <w:r>
        <w:t xml:space="preserve">6.5 Baseline comparison and closed-signature deduplication</w:t>
      </w:r>
    </w:p>
    <w:p>
      <w:pPr>
        <w:pStyle w:val="FirstParagraph"/>
      </w:pPr>
      <w:r>
        <w:t xml:space="preserve">The lift-4.00 zero-control rows above are benchmarked against three</w:t>
      </w:r>
      <w:r>
        <w:t xml:space="preserve"> </w:t>
      </w:r>
      <w:r>
        <w:t xml:space="preserve">baselines, each evaluated on the same entity-disjoint inference half: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most-recent-event indicator</w:t>
      </w:r>
      <w:r>
        <w:t xml:space="preserve">: raise an alarm whenever the</w:t>
      </w:r>
      <w:r>
        <w:t xml:space="preserve"> </w:t>
      </w:r>
      <w:r>
        <w:t xml:space="preserve">last event on the entity is one of the top-5 fail-anchoring</w:t>
      </w:r>
      <w:r>
        <w:t xml:space="preserve"> </w:t>
      </w:r>
      <w:r>
        <w:t xml:space="preserve">event types on the discovery half.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mined-itemset rule</w:t>
      </w:r>
      <w:r>
        <w:t xml:space="preserve"> </w:t>
      </w:r>
      <w:r>
        <w:t xml:space="preserve">(the paper’s method): raise an alarm</w:t>
      </w:r>
      <w:r>
        <w:t xml:space="preserve"> </w:t>
      </w:r>
      <w:r>
        <w:t xml:space="preserve">whenever the window contains any BY-significant discovery-half</w:t>
      </w:r>
      <w:r>
        <w:t xml:space="preserve"> </w:t>
      </w:r>
      <w:r>
        <w:t xml:space="preserve">itemset, excluding same-time terminal markers.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event-count threshold</w:t>
      </w:r>
      <w:r>
        <w:t xml:space="preserve">: raise an alarm whenever the window’s</w:t>
      </w:r>
      <w:r>
        <w:t xml:space="preserve"> </w:t>
      </w:r>
      <w:r>
        <w:t xml:space="preserve">event count exceeds the median count of discovery-half failure</w:t>
      </w:r>
      <w:r>
        <w:t xml:space="preserve"> </w:t>
      </w:r>
      <w:r>
        <w:t xml:space="preserve">windows.</w:t>
      </w:r>
    </w:p>
    <w:p>
      <w:pPr>
        <w:pStyle w:val="TableCaption"/>
      </w:pPr>
      <w:r>
        <w:rPr>
          <w:b/>
          <w:bCs/>
        </w:rPr>
        <w:t xml:space="preserve">Table 6.</w:t>
      </w:r>
      <w:r>
        <w:t xml:space="preserve"> </w:t>
      </w:r>
      <w:r>
        <w:t xml:space="preserve">Baseline comparison on the wind farms: the mined-itemset rule against most-recent-event and event-count baselines.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6. Baseline comparison on the wind farms: the mined-itemset rule against most-recent-event and event-count baselines."/>
      </w:tblPr>
      <w:tblGrid>
        <w:gridCol w:w="1536"/>
        <w:gridCol w:w="1063"/>
        <w:gridCol w:w="2837"/>
        <w:gridCol w:w="827"/>
        <w:gridCol w:w="827"/>
        <w:gridCol w:w="82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predictor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prec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rec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0.677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0.549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0.729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0.665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0.367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(a) most-recent event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(b) mined itemset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0.481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0.967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(c) event count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0.000</w:t>
            </w:r>
          </w:p>
        </w:tc>
      </w:tr>
    </w:tbl>
    <w:p>
      <w:pPr>
        <w:pStyle w:val="BodyText"/>
      </w:pPr>
      <w:r>
        <w:t xml:space="preserve">On both wind farms and both count-based horizons, the mined-itemset</w:t>
      </w:r>
      <w:r>
        <w:t xml:space="preserve"> </w:t>
      </w:r>
      <w:r>
        <w:t xml:space="preserve">rule strictly dominates both baselines in F1. On Kelmarsh the</w:t>
      </w:r>
      <w:r>
        <w:t xml:space="preserve"> </w:t>
      </w:r>
      <w:r>
        <w:t xml:space="preserve">advantage is a factor of ~2 over the strongest baseline (last-event</w:t>
      </w:r>
      <w:r>
        <w:t xml:space="preserve"> </w:t>
      </w:r>
      <w:r>
        <w:t xml:space="preserve">indicator); on Penmanshiel it is smaller (~1.3×) because the last-</w:t>
      </w:r>
      <w:r>
        <w:t xml:space="preserve"> </w:t>
      </w:r>
      <w:r>
        <w:t xml:space="preserve">event baseline already captures a substantial fraction of the</w:t>
      </w:r>
      <w:r>
        <w:t xml:space="preserve"> </w:t>
      </w:r>
      <w:r>
        <w:t xml:space="preserve">safety-9000/9210 chain’s terminal event. The comparison establishes</w:t>
      </w:r>
      <w:r>
        <w:t xml:space="preserve"> </w:t>
      </w:r>
      <w:r>
        <w:t xml:space="preserve">that a mined signature carries information the strongest pattern-free</w:t>
      </w:r>
      <w:r>
        <w:t xml:space="preserve"> </w:t>
      </w:r>
      <w:r>
        <w:t xml:space="preserve">rule does not.</w:t>
      </w:r>
    </w:p>
    <w:p>
      <w:pPr>
        <w:pStyle w:val="BodyText"/>
      </w:pPr>
      <w:r>
        <w:rPr>
          <w:b/>
          <w:bCs/>
        </w:rPr>
        <w:t xml:space="preserve">Closed itemsets and redundancy.</w:t>
      </w:r>
      <w:r>
        <w:t xml:space="preserve"> </w:t>
      </w:r>
      <w:r>
        <w:t xml:space="preserve">The Kelmarsh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mining run</w:t>
      </w:r>
      <w:r>
        <w:t xml:space="preserve"> </w:t>
      </w:r>
      <w:r>
        <w:t xml:space="preserve">returns 136 itemsets, many of them sub- or supersets of the same</w:t>
      </w:r>
      <w:r>
        <w:t xml:space="preserve"> </w:t>
      </w:r>
      <w:r>
        <w:t xml:space="preserve">underlying cascade. The LCM closed-itemset filter (support-strict</w:t>
      </w:r>
      <w:r>
        <w:t xml:space="preserve"> </w:t>
      </w:r>
      <w:r>
        <w:t xml:space="preserve">maximality) reduces this to the closed subset used for the deployable</w:t>
      </w:r>
      <w:r>
        <w:t xml:space="preserve"> </w:t>
      </w:r>
      <w:r>
        <w:t xml:space="preserve">catalog rows above; the signature table cites only patterns that are</w:t>
      </w:r>
      <w:r>
        <w:t xml:space="preserve"> </w:t>
      </w:r>
      <w:r>
        <w:t xml:space="preserve">also closed, so no finding is a redundant super-copy of another. The</w:t>
      </w:r>
      <w:r>
        <w:t xml:space="preserve"> </w:t>
      </w:r>
      <w:r>
        <w:t xml:space="preserve">operative count is the number of BY-significant closed itemsets on</w:t>
      </w:r>
      <w:r>
        <w:t xml:space="preserve"> </w:t>
      </w:r>
      <w:r>
        <w:t xml:space="preserve">the inference half, not the raw miner output.</w:t>
      </w:r>
    </w:p>
    <w:bookmarkEnd w:id="53"/>
    <w:bookmarkStart w:id="55" w:name="X440c656fb7d773359d66b076a99a88b700cb867"/>
    <w:p>
      <w:pPr>
        <w:pStyle w:val="Heading3"/>
      </w:pPr>
      <w:r>
        <w:t xml:space="preserve">6.6 Case-control ratio and posterior at the operational base rate</w:t>
      </w:r>
    </w:p>
    <w:p>
      <w:pPr>
        <w:pStyle w:val="FirstParagraph"/>
      </w:pPr>
      <w:r>
        <w:t xml:space="preserve">Every discovery/inference signature table is scored on a</w:t>
      </w:r>
      <w:r>
        <w:t xml:space="preserve"> </w:t>
      </w:r>
      <w:r>
        <w:t xml:space="preserve">matched-control sample built at case:control = 1:3, so the pipeline’s</w:t>
      </w:r>
      <w:r>
        <w:t xml:space="preserve"> </w:t>
      </w:r>
      <w:r>
        <w:t xml:space="preserve">sample base rate is P(fail) = 0.25 by construction, and the precision</w:t>
      </w:r>
      <w:r>
        <w:t xml:space="preserve"> </w:t>
      </w:r>
      <w:r>
        <w:t xml:space="preserve">numbers of Table 6 cannot be read directly as the operational posterior</w:t>
      </w:r>
      <w:r>
        <w:t xml:space="preserve"> </w:t>
      </w:r>
      <w:r>
        <w:t xml:space="preserve">in a deployment where forced outages are much rarer. To turn the</w:t>
      </w:r>
      <w:r>
        <w:t xml:space="preserve"> </w:t>
      </w:r>
      <w:r>
        <w:t xml:space="preserve">inference-half precision into an interpretable operational number,</w:t>
      </w:r>
      <w:r>
        <w:t xml:space="preserve"> </w:t>
      </w:r>
      <w:r>
        <w:t xml:space="preserve">we invert the empirical sensitivity/specificity through Bayes at a</w:t>
      </w:r>
      <w:r>
        <w:t xml:space="preserve"> </w:t>
      </w:r>
      <w:r>
        <w:t xml:space="preserve">realistic operational base rate of P(fail) = 0.01 (roughly 1</w:t>
      </w:r>
      <w:r>
        <w:t xml:space="preserve"> </w:t>
      </w:r>
      <w:r>
        <w:t xml:space="preserve">forced-outage window per 100 arbitrary-time windows on a real wind</w:t>
      </w:r>
      <w:r>
        <w:t xml:space="preserve"> </w:t>
      </w:r>
      <w:r>
        <w:t xml:space="preserve">farm), giving the scenario PPV each rule delivers under an assumed 1% deployment prevalence (Table 7):</w:t>
      </w:r>
    </w:p>
    <w:p>
      <w:pPr>
        <w:pStyle w:val="TableCaption"/>
      </w:pPr>
      <w:r>
        <w:rPr>
          <w:b/>
          <w:bCs/>
        </w:rPr>
        <w:t xml:space="preserve">Table 7.</w:t>
      </w:r>
      <w:r>
        <w:t xml:space="preserve"> </w:t>
      </w:r>
      <w:r>
        <w:t xml:space="preserve">Calibrated positive predictive value at the sample and operational base rates.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7. Calibrated positive predictive value at the sample and operational base rates."/>
      </w:tblPr>
      <w:tblGrid>
        <w:gridCol w:w="1131"/>
        <w:gridCol w:w="783"/>
        <w:gridCol w:w="1827"/>
        <w:gridCol w:w="1827"/>
        <w:gridCol w:w="2349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rule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 at sample (0.25)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PPV at operational (0.01)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0.204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Kelmarsh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0.807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0.113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Penmanshiel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mined itemset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0.320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0.014</w:t>
            </w:r>
          </w:p>
        </w:tc>
      </w:tr>
    </w:tbl>
    <w:p>
      <w:pPr>
        <w:pStyle w:val="BodyText"/>
      </w:pPr>
      <w:r>
        <w:t xml:space="preserve">Reading:</w:t>
      </w:r>
      <w:r>
        <w:t xml:space="preserve"> </w:t>
      </w:r>
      <w:r>
        <w:rPr>
          <w:b/>
          <w:bCs/>
        </w:rPr>
        <w:t xml:space="preserve">at Kelmarsh, one in five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last5</w:t>
      </w:r>
      <w:r>
        <w:rPr>
          <w:b/>
          <w:bCs/>
        </w:rPr>
        <w:t xml:space="preserve"> </w:t>
      </w:r>
      <w:r>
        <w:rPr>
          <w:b/>
          <w:bCs/>
        </w:rPr>
        <w:t xml:space="preserve">alarms fired by the</w:t>
      </w:r>
      <w:r>
        <w:rPr>
          <w:b/>
          <w:bCs/>
        </w:rPr>
        <w:t xml:space="preserve"> </w:t>
      </w:r>
      <w:r>
        <w:rPr>
          <w:b/>
          <w:bCs/>
        </w:rPr>
        <w:t xml:space="preserve">mined-itemset rule corresponds to a real forced outage in the next</w:t>
      </w:r>
      <w:r>
        <w:rPr>
          <w:b/>
          <w:bCs/>
        </w:rPr>
        <w:t xml:space="preserve"> </w:t>
      </w:r>
      <w:r>
        <w:rPr>
          <w:b/>
          <w:bCs/>
        </w:rPr>
        <w:t xml:space="preserve">five events</w:t>
      </w:r>
      <w:r>
        <w:t xml:space="preserve"> </w:t>
      </w:r>
      <w:r>
        <w:t xml:space="preserve">at an operational P(fail) = 0.01 base rate, a 20× lift</w:t>
      </w:r>
      <w:r>
        <w:t xml:space="preserve"> </w:t>
      </w:r>
      <w:r>
        <w:t xml:space="preserve">over blind sampling. Penmanshiel’s operational PPV is much smaller</w:t>
      </w:r>
      <w:r>
        <w:t xml:space="preserve"> </w:t>
      </w:r>
      <w:r>
        <w:t xml:space="preserve">(~1.5%, a ~1.5× lift): the safety-9000/9210 cascade fires often but</w:t>
      </w:r>
      <w:r>
        <w:t xml:space="preserve"> </w:t>
      </w:r>
      <w:r>
        <w:t xml:space="preserve">is not as specific as the Kelmarsh generator-fan chain. The</w:t>
      </w:r>
      <w:r>
        <w:t xml:space="preserve"> </w:t>
      </w:r>
      <w:r>
        <w:t xml:space="preserve">deployment decision is dataset-specific; neither the sample precision</w:t>
      </w:r>
      <w:r>
        <w:t xml:space="preserve"> </w:t>
      </w:r>
      <w:r>
        <w:t xml:space="preserve">of 0.89 nor the operational PPV of 0.20 suffices alone.</w:t>
      </w:r>
    </w:p>
    <w:bookmarkStart w:id="54" w:name="X5f409ab5bc0cacb368394f2fe592924467a43a9"/>
    <w:p>
      <w:pPr>
        <w:pStyle w:val="Heading4"/>
      </w:pPr>
      <w:r>
        <w:t xml:space="preserve">6.6.1 Signature catalog: cloud, HPC, and automotive traces</w:t>
      </w:r>
    </w:p>
    <w:p>
      <w:pPr>
        <w:pStyle w:val="FirstParagraph"/>
      </w:pPr>
      <w:r>
        <w:t xml:space="preserve">The catalog of §6.4 resumes with the four traces beyond the two wind</w:t>
      </w:r>
      <w:r>
        <w:t xml:space="preserve"> </w:t>
      </w:r>
      <w:r>
        <w:t xml:space="preserve">farms. Each entry carries the same evidence structure: mined patterns,</w:t>
      </w:r>
      <w:r>
        <w:t xml:space="preserve"> </w:t>
      </w:r>
      <w:r>
        <w:t xml:space="preserve">inference-half lift and BY q, and the intended deployment rule.</w:t>
      </w:r>
    </w:p>
    <w:p>
      <w:pPr>
        <w:pStyle w:val="BodyText"/>
      </w:pPr>
      <w:r>
        <w:rPr>
          <w:b/>
          <w:bCs/>
        </w:rPr>
        <w:t xml:space="preserve">Azure PdM</w:t>
      </w:r>
      <w:r>
        <w:t xml:space="preserve"> </w:t>
      </w:r>
      <w:r>
        <w:t xml:space="preserve">(Table 8).</w:t>
      </w:r>
    </w:p>
    <w:p>
      <w:pPr>
        <w:pStyle w:val="TableCaption"/>
      </w:pPr>
      <w:r>
        <w:rPr>
          <w:b/>
          <w:bCs/>
        </w:rPr>
        <w:t xml:space="preserve">Table 8.</w:t>
      </w:r>
      <w:r>
        <w:t xml:space="preserve"> </w:t>
      </w:r>
      <w:r>
        <w:t xml:space="preserve">Top Azure PdM signatures on the inference half.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8. Top Azure PdM signatures on the inference half."/>
      </w:tblPr>
      <w:tblGrid>
        <w:gridCol w:w="1080"/>
        <w:gridCol w:w="1080"/>
        <w:gridCol w:w="1440"/>
        <w:gridCol w:w="1440"/>
        <w:gridCol w:w="1440"/>
        <w:gridCol w:w="14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{software_error:error2, software_error:error3}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4e-90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{software_error:error3, software_error:error5}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{software_error:error2, software_error:error5}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8e-9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{error2, error3, error4}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2e-18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{error2, error3, error5}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2e-6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</w:t>
            </w:r>
          </w:p>
        </w:tc>
      </w:tr>
    </w:tbl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on the synthetic Azure PdM generator, any pair of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{error2, error3, error5}</w:t>
      </w:r>
      <w:r>
        <w:rPr>
          <w:b/>
          <w:bCs/>
        </w:rPr>
        <w:t xml:space="preserve"> </w:t>
      </w:r>
      <w:r>
        <w:rPr>
          <w:b/>
          <w:bCs/>
        </w:rPr>
        <w:t xml:space="preserve">co-occurring within a 24h window is</w:t>
      </w:r>
      <w:r>
        <w:rPr>
          <w:b/>
          <w:bCs/>
        </w:rPr>
        <w:t xml:space="preserve"> </w:t>
      </w:r>
      <w:r>
        <w:rPr>
          <w:b/>
          <w:bCs/>
        </w:rPr>
        <w:t xml:space="preserve">strongly enriched in failure windows</w:t>
      </w:r>
      <w:r>
        <w:t xml:space="preserve">. The pattern</w:t>
      </w:r>
      <w:r>
        <w:t xml:space="preserve"> </w:t>
      </w:r>
      <w:r>
        <w:rPr>
          <w:rStyle w:val="VerbatimChar"/>
        </w:rPr>
        <w:t xml:space="preserve">{error2, error3}</w:t>
      </w:r>
      <w:r>
        <w:t xml:space="preserve"> </w:t>
      </w:r>
      <w:r>
        <w:t xml:space="preserve">has zero occurrences in the 1,113 control windows on the 24h inference</w:t>
      </w:r>
      <w:r>
        <w:t xml:space="preserve"> </w:t>
      </w:r>
      <w:r>
        <w:t xml:space="preserve">half, which makes it a high-specificity candidate rule on this</w:t>
      </w:r>
      <w:r>
        <w:t xml:space="preserve"> </w:t>
      </w:r>
      <w:r>
        <w:t xml:space="preserve">inference sample and motivates prospective replay. Ordering carries additional</w:t>
      </w:r>
      <w:r>
        <w:t xml:space="preserve"> </w:t>
      </w:r>
      <w:r>
        <w:t xml:space="preserve">signal (§6.3, count-preserving effect +0.52 to +1.09), so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 </w:t>
      </w:r>
      <w:r>
        <w:t xml:space="preserve">in that specific direction is a stronger alarm</w:t>
      </w:r>
      <w:r>
        <w:t xml:space="preserve"> </w:t>
      </w:r>
      <w:r>
        <w:t xml:space="preserve">than the reverse.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alarm rule</w:t>
      </w:r>
      <w:r>
        <w:t xml:space="preserve">. Raise a component-replacement work order whenever</w:t>
      </w:r>
      <w:r>
        <w:t xml:space="preserve"> </w:t>
      </w:r>
      <w:r>
        <w:t xml:space="preserve">a machine’s log shows</w:t>
      </w:r>
      <w:r>
        <w:t xml:space="preserve"> </w:t>
      </w:r>
      <w:r>
        <w:rPr>
          <w:rStyle w:val="VerbatimChar"/>
        </w:rPr>
        <w:t xml:space="preserve">error2 AND error3</w:t>
      </w:r>
      <w:r>
        <w:t xml:space="preserve"> </w:t>
      </w:r>
      <w:r>
        <w:t xml:space="preserve">within any rolling 24h</w:t>
      </w:r>
      <w:r>
        <w:t xml:space="preserve"> </w:t>
      </w:r>
      <w:r>
        <w:t xml:space="preserve">window; escalate faster if the direction is</w:t>
      </w:r>
      <w:r>
        <w:t xml:space="preserve"> </w:t>
      </w:r>
      <w:r>
        <w:rPr>
          <w:rStyle w:val="VerbatimChar"/>
        </w:rPr>
        <w:t xml:space="preserve">error2 → error3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Alibaba cluster-trace-v2018</w:t>
      </w:r>
      <w:r>
        <w:t xml:space="preserve"> </w:t>
      </w:r>
      <w:r>
        <w:t xml:space="preserve">(Table 9).</w:t>
      </w:r>
    </w:p>
    <w:p>
      <w:pPr>
        <w:pStyle w:val="TableCaption"/>
      </w:pPr>
      <w:r>
        <w:rPr>
          <w:b/>
          <w:bCs/>
        </w:rPr>
        <w:t xml:space="preserve">Table 9.</w:t>
      </w:r>
      <w:r>
        <w:t xml:space="preserve"> </w:t>
      </w:r>
      <w:r>
        <w:t xml:space="preserve">Top Alibaba cluster-trace signatures on the inference half.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le 9. Top Alibaba cluster-trace signatures on the inference half.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inf-half lift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BY q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n_ctrl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{task_success:R, task_waiting:R}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1e-262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{task_success:M, task_waiting:R}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{task_waiting:R}</w:t>
            </w:r>
            <w:r>
              <w:t xml:space="preserve"> </w:t>
            </w:r>
            <w:r>
              <w:t xml:space="preserve">alone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4.01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≈0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</w:tr>
    </w:tbl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once a Reduce task enters Waiting state, job</w:t>
      </w:r>
      <w:r>
        <w:rPr>
          <w:b/>
          <w:bCs/>
        </w:rPr>
        <w:t xml:space="preserve"> </w:t>
      </w:r>
      <w:r>
        <w:rPr>
          <w:b/>
          <w:bCs/>
        </w:rPr>
        <w:t xml:space="preserve">failure risk jumps to near-certain</w:t>
      </w:r>
      <w:r>
        <w:t xml:space="preserve">. Longer patterns add no signal</w:t>
      </w:r>
      <w:r>
        <w:t xml:space="preserve"> </w:t>
      </w:r>
      <w:r>
        <w:t xml:space="preserve">beyond the presence of</w:t>
      </w:r>
      <w:r>
        <w:t xml:space="preserve"> </w:t>
      </w:r>
      <w:r>
        <w:rPr>
          <w:rStyle w:val="VerbatimChar"/>
        </w:rPr>
        <w:t xml:space="preserve">task_waiting:R</w:t>
      </w:r>
      <w:r>
        <w:t xml:space="preserve">. The count-preserving order</w:t>
      </w:r>
      <w:r>
        <w:t xml:space="preserve"> </w:t>
      </w:r>
      <w:r>
        <w:t xml:space="preserve">comparator (§6.3) shows the Alibaba ordering effect is essentially</w:t>
      </w:r>
      <w:r>
        <w:t xml:space="preserve"> </w:t>
      </w:r>
      <w:r>
        <w:t xml:space="preserve">zero after multiplicity control, so the single-marker interpretation</w:t>
      </w:r>
      <w:r>
        <w:t xml:space="preserve"> </w:t>
      </w:r>
      <w:r>
        <w:t xml:space="preserve">is correct.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real-time job triage</w:t>
      </w:r>
      <w:r>
        <w:t xml:space="preserve">. Any job with a Reduce task entering</w:t>
      </w:r>
      <w:r>
        <w:t xml:space="preserve"> </w:t>
      </w:r>
      <w:r>
        <w:t xml:space="preserve">Waiting state is flagged; the scheduler either preemptively</w:t>
      </w:r>
      <w:r>
        <w:t xml:space="preserve"> </w:t>
      </w:r>
      <w:r>
        <w:t xml:space="preserve">reschedules the Reduce onto a more reliable machine or increases its</w:t>
      </w:r>
      <w:r>
        <w:t xml:space="preserve"> </w:t>
      </w:r>
      <w:r>
        <w:t xml:space="preserve">retry budget.</w:t>
      </w:r>
    </w:p>
    <w:p>
      <w:pPr>
        <w:pStyle w:val="BodyText"/>
      </w:pPr>
      <w:r>
        <w:rPr>
          <w:b/>
          <w:bCs/>
        </w:rPr>
        <w:t xml:space="preserve">SCANIA Component X (matched conditional logistic).</w:t>
      </w:r>
      <w:r>
        <w:t xml:space="preserve"> </w:t>
      </w:r>
      <w:r>
        <w:t xml:space="preserve">Patterns are</w:t>
      </w:r>
      <w:r>
        <w:t xml:space="preserve"> </w:t>
      </w:r>
      <w:r>
        <w:t xml:space="preserve">selected on a discovery half and estimated on a disjoint inference</w:t>
      </w:r>
      <w:r>
        <w:t xml:space="preserve"> </w:t>
      </w:r>
      <w:r>
        <w:t xml:space="preserve">half (§6.10); the top five inference-half hazard ratios are listed</w:t>
      </w:r>
      <w:r>
        <w:t xml:space="preserve"> </w:t>
      </w:r>
      <w:r>
        <w:t xml:space="preserve">with full confidence intervals in Table 12. The headline signature</w:t>
      </w:r>
      <w:r>
        <w:t xml:space="preserve"> </w:t>
      </w:r>
      <w:r>
        <w:rPr>
          <w:rStyle w:val="VerbatimChar"/>
        </w:rPr>
        <w:t xml:space="preserve">counter_surprise:397_{10, 22}</w:t>
      </w:r>
      <w:r>
        <w:t xml:space="preserve"> </w:t>
      </w:r>
      <w:r>
        <w:t xml:space="preserve">has matched HR 1.60 (95% CI</w:t>
      </w:r>
      <w:r>
        <w:t xml:space="preserve"> </w:t>
      </w:r>
      <w:r>
        <w:t xml:space="preserve">[1.35, 1.91]).</w:t>
      </w:r>
    </w:p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sustained anomalies concentrated in the histogram-</w:t>
      </w:r>
      <w:r>
        <w:rPr>
          <w:b/>
          <w:bCs/>
        </w:rPr>
        <w:t xml:space="preserve"> </w:t>
      </w:r>
      <w:r>
        <w:rPr>
          <w:b/>
          <w:bCs/>
        </w:rPr>
        <w:t xml:space="preserve">397 bin range 27-35 double the near-term hazard of Component X</w:t>
      </w:r>
      <w:r>
        <w:rPr>
          <w:b/>
          <w:bCs/>
        </w:rPr>
        <w:t xml:space="preserve"> </w:t>
      </w:r>
      <w:r>
        <w:rPr>
          <w:b/>
          <w:bCs/>
        </w:rPr>
        <w:t xml:space="preserve">repair</w:t>
      </w:r>
      <w:r>
        <w:t xml:space="preserve">. The signal is a cumulative-usage-profile marker at the</w:t>
      </w:r>
      <w:r>
        <w:t xml:space="preserve"> </w:t>
      </w:r>
      <w:r>
        <w:t xml:space="preserve">truck level rather than a temporal precursor in the last-K events;</w:t>
      </w:r>
      <w:r>
        <w:t xml:space="preserve"> </w:t>
      </w:r>
      <w:r>
        <w:t xml:space="preserve">the temporally-held-out AUROC (§6.2) is 0.60 for this reason.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fleet triage</w:t>
      </w:r>
      <w:r>
        <w:t xml:space="preserve">. Rank trucks by the count of significant</w:t>
      </w:r>
      <w:r>
        <w:t xml:space="preserve"> </w:t>
      </w:r>
      <w:r>
        <w:t xml:space="preserve">histogram-397 patterns present in the last-20-readout window;</w:t>
      </w:r>
      <w:r>
        <w:t xml:space="preserve"> </w:t>
      </w:r>
      <w:r>
        <w:t xml:space="preserve">prioritise workshop inspection for the top decile.</w:t>
      </w:r>
    </w:p>
    <w:p>
      <w:pPr>
        <w:pStyle w:val="BodyText"/>
      </w:pPr>
      <w:r>
        <w:rPr>
          <w:b/>
          <w:bCs/>
        </w:rPr>
        <w:t xml:space="preserve">BGL (LLNL Blue Gene/L syslogs).</w:t>
      </w:r>
    </w:p>
    <w:p>
      <w:pPr>
        <w:pStyle w:val="BodyText"/>
      </w:pPr>
      <w:r>
        <w:t xml:space="preserve">The only pattern that survives the post-selection-valid BY q &lt; 0.05</w:t>
      </w:r>
      <w:r>
        <w:t xml:space="preserve"> </w:t>
      </w:r>
      <w:r>
        <w:t xml:space="preserve">test on any horizon is the fatal-error marker</w:t>
      </w:r>
      <w:r>
        <w:t xml:space="preserve"> </w:t>
      </w:r>
      <w:r>
        <w:rPr>
          <w:rStyle w:val="VerbatimChar"/>
        </w:rPr>
        <w:t xml:space="preserve">system_error:RAS:FATAL</w:t>
      </w:r>
      <w:r>
        <w:t xml:space="preserve">,</w:t>
      </w:r>
      <w:r>
        <w:t xml:space="preserve"> </w:t>
      </w:r>
      <w:r>
        <w:t xml:space="preserve">and only at inference-half lift 1.16 (680 of 3,602 failure windows vs</w:t>
      </w:r>
      <w:r>
        <w:t xml:space="preserve"> </w:t>
      </w:r>
      <w:r>
        <w:t xml:space="preserve">1,677 of 10,830 controls). No pattern reaches the catalog’s</w:t>
      </w:r>
      <w:r>
        <w:t xml:space="preserve"> </w:t>
      </w:r>
      <w:r>
        <w:t xml:space="preserve">decision-rule strength, and the surviving marker is a severity token</w:t>
      </w:r>
      <w:r>
        <w:t xml:space="preserve"> </w:t>
      </w:r>
      <w:r>
        <w:t xml:space="preserve">of the cascade itself, not an upstream non-alert precursor.</w:t>
      </w:r>
    </w:p>
    <w:p>
      <w:pPr>
        <w:pStyle w:val="BodyText"/>
      </w:pPr>
      <w:r>
        <w:t xml:space="preserve">Interpretation:</w:t>
      </w:r>
      <w:r>
        <w:t xml:space="preserve"> </w:t>
      </w:r>
      <w:r>
        <w:rPr>
          <w:b/>
          <w:bCs/>
        </w:rPr>
        <w:t xml:space="preserve">alert cascades on BGL are self-triggering</w:t>
      </w:r>
      <w:r>
        <w:t xml:space="preserve">. The</w:t>
      </w:r>
      <w:r>
        <w:t xml:space="preserve"> </w:t>
      </w:r>
      <w:r>
        <w:t xml:space="preserve">non-alert stream (</w:t>
      </w:r>
      <w:r>
        <w:rPr>
          <w:rStyle w:val="VerbatimChar"/>
        </w:rPr>
        <w:t xml:space="preserve">system_error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system_info</w:t>
      </w:r>
      <w:r>
        <w:t xml:space="preserve">)</w:t>
      </w:r>
      <w:r>
        <w:t xml:space="preserve"> </w:t>
      </w:r>
      <w:r>
        <w:t xml:space="preserve">carries no deployable predictive information about the first alert of</w:t>
      </w:r>
      <w:r>
        <w:t xml:space="preserve"> </w:t>
      </w:r>
      <w:r>
        <w:t xml:space="preserve">the next cascade. This is a different question from the one deep-learning log</w:t>
      </w:r>
      <w:r>
        <w:t xml:space="preserve"> </w:t>
      </w:r>
      <w:r>
        <w:t xml:space="preserve">anomaly detectors answer on BGL (DeepLog, LogBERT, and related methods</w:t>
      </w:r>
      <w:r>
        <w:t xml:space="preserve"> </w:t>
      </w:r>
      <w:r>
        <w:t xml:space="preserve">flag anomalous alert lines themselves); here the task is whether the</w:t>
      </w:r>
      <w:r>
        <w:t xml:space="preserve"> </w:t>
      </w:r>
      <w:r>
        <w:t xml:space="preserve">non-alert stream predicts the first alert of the next episode, and on</w:t>
      </w:r>
      <w:r>
        <w:t xml:space="preserve"> </w:t>
      </w:r>
      <w:r>
        <w:t xml:space="preserve">BGL it does not.</w:t>
      </w:r>
    </w:p>
    <w:p>
      <w:pPr>
        <w:pStyle w:val="BodyText"/>
      </w:pPr>
      <w:r>
        <w:t xml:space="preserve">Use:</w:t>
      </w:r>
      <w:r>
        <w:t xml:space="preserve"> </w:t>
      </w:r>
      <w:r>
        <w:rPr>
          <w:b/>
          <w:bCs/>
        </w:rPr>
        <w:t xml:space="preserve">negative recommendation</w:t>
      </w:r>
      <w:r>
        <w:t xml:space="preserve">. do not deploy this pipeline on</w:t>
      </w:r>
      <w:r>
        <w:t xml:space="preserve"> </w:t>
      </w:r>
      <w:r>
        <w:t xml:space="preserve">HPC-syslog data as an alert-cascade early-warning system. A better</w:t>
      </w:r>
      <w:r>
        <w:t xml:space="preserve"> </w:t>
      </w:r>
      <w:r>
        <w:t xml:space="preserve">use of pattern mining on this trace is post-hoc cascade taxonomy</w:t>
      </w:r>
      <w:r>
        <w:t xml:space="preserve"> </w:t>
      </w:r>
      <w:r>
        <w:t xml:space="preserve">(which alert codes cluster together within an episode) rather than</w:t>
      </w:r>
      <w:r>
        <w:t xml:space="preserve"> </w:t>
      </w:r>
      <w:r>
        <w:t xml:space="preserve">prediction.</w:t>
      </w:r>
    </w:p>
    <w:p>
      <w:pPr>
        <w:pStyle w:val="BodyText"/>
      </w:pPr>
      <w:r>
        <w:t xml:space="preserve">Sections 6.7 through 6.11 present the aggregate evidence behind these</w:t>
      </w:r>
      <w:r>
        <w:t xml:space="preserve"> </w:t>
      </w:r>
      <w:r>
        <w:t xml:space="preserve">signatures: the predictive-vs-frequent-noise separation (§6.7),</w:t>
      </w:r>
      <w:r>
        <w:t xml:space="preserve"> </w:t>
      </w:r>
      <w:r>
        <w:t xml:space="preserve">post-selection-valid sequence significance (§6.8), the same-sample</w:t>
      </w:r>
      <w:r>
        <w:t xml:space="preserve"> </w:t>
      </w:r>
      <w:r>
        <w:t xml:space="preserve">marginal baseline (§6.9), the SCANIA matched hazard-ratio analysis</w:t>
      </w:r>
      <w:r>
        <w:t xml:space="preserve"> </w:t>
      </w:r>
      <w:r>
        <w:t xml:space="preserve">(§6.10), and lead time on true positives (§6.11).</w:t>
      </w:r>
    </w:p>
    <w:bookmarkEnd w:id="54"/>
    <w:bookmarkEnd w:id="55"/>
    <w:bookmarkStart w:id="56" w:name="X44aeb5833a19b6d32b8998867e975190f65e5f8"/>
    <w:p>
      <w:pPr>
        <w:pStyle w:val="Heading3"/>
      </w:pPr>
      <w:r>
        <w:t xml:space="preserve">6.7 Predictive vs frequent-noise separation across traces</w:t>
      </w:r>
    </w:p>
    <w:p>
      <w:pPr>
        <w:pStyle w:val="FirstParagraph"/>
      </w:pPr>
      <w:r>
        <w:t xml:space="preserve">The paper’s central object is the fraction of mined frequent patterns</w:t>
      </w:r>
      <w:r>
        <w:t xml:space="preserve"> </w:t>
      </w:r>
      <w:r>
        <w:t xml:space="preserve">that pass the per-pattern statistical significance test on an</w:t>
      </w:r>
      <w:r>
        <w:t xml:space="preserve"> </w:t>
      </w:r>
      <w:r>
        <w:t xml:space="preserve">inference sample disjoint from the discovery sample used for mining.</w:t>
      </w:r>
      <w:r>
        <w:t xml:space="preserve"> </w:t>
      </w:r>
      <w:r>
        <w:t xml:space="preserve">Frequency alone is a weak proxy for predictiveness; the post-</w:t>
      </w:r>
      <w:r>
        <w:t xml:space="preserve"> </w:t>
      </w:r>
      <w:r>
        <w:t xml:space="preserve">selection-valid test tells us which mined patterns carry elevated</w:t>
      </w:r>
      <w:r>
        <w:t xml:space="preserve"> </w:t>
      </w:r>
      <w:r>
        <w:t xml:space="preserve">failure signal against matched controls under an inference regime</w:t>
      </w:r>
      <w:r>
        <w:t xml:space="preserve"> </w:t>
      </w:r>
      <w:r>
        <w:t xml:space="preserve">not contaminated by the label-dependent candidate selection.</w:t>
      </w:r>
    </w:p>
    <w:p>
      <w:pPr>
        <w:pStyle w:val="BodyText"/>
      </w:pPr>
      <w:r>
        <w:t xml:space="preserve">Every trace is split 50/50 entity-disjoint into a discovery half (for</w:t>
      </w:r>
      <w:r>
        <w:t xml:space="preserve"> </w:t>
      </w:r>
      <w:r>
        <w:t xml:space="preserve">FP-Growth candidate selection) and an inference half (for exact</w:t>
      </w:r>
      <w:r>
        <w:t xml:space="preserve"> </w:t>
      </w:r>
      <w:r>
        <w:t xml:space="preserve">hypergeometric p-values and BH / BY correction). Table 10 covers the</w:t>
      </w:r>
      <w:r>
        <w:t xml:space="preserve"> </w:t>
      </w:r>
      <w:r>
        <w:t xml:space="preserve">four non-wind traces; the two wind farms carry the same analysis with</w:t>
      </w:r>
      <w:r>
        <w:t xml:space="preserve"> </w:t>
      </w:r>
      <w:r>
        <w:t xml:space="preserve">the catalog in §6.4 (Kelmarsh 30/35 and Penmanshiel 27/30</w:t>
      </w:r>
      <w:r>
        <w:t xml:space="preserve"> </w:t>
      </w:r>
      <w:r>
        <w:t xml:space="preserve">BY-significant itemsets 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).</w:t>
      </w:r>
    </w:p>
    <w:p>
      <w:pPr>
        <w:pStyle w:val="TableCaption"/>
      </w:pPr>
      <w:r>
        <w:rPr>
          <w:b/>
          <w:bCs/>
        </w:rPr>
        <w:t xml:space="preserve">Table 10.</w:t>
      </w:r>
      <w:r>
        <w:t xml:space="preserve"> </w:t>
      </w:r>
      <w:r>
        <w:t xml:space="preserve">Post-selection-valid itemset significance by trace and horizon on the discovery/inference split.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0. Post-selection-valid itemset significance by trace and horizon on the discovery/inference split."/>
      </w:tblPr>
      <w:tblGrid>
        <w:gridCol w:w="828"/>
        <w:gridCol w:w="828"/>
        <w:gridCol w:w="1289"/>
        <w:gridCol w:w="2210"/>
        <w:gridCol w:w="1381"/>
        <w:gridCol w:w="1381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 entities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patterns mined on disc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BH q&lt;0.05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BY q&lt;0.05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52 (66%)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 (58%)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379 (46%)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241 (30%)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(55%)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 jobs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(45%)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 (33%)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597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 (7%)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11,775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37,797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(0%)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0 (0%)</w:t>
            </w:r>
          </w:p>
        </w:tc>
      </w:tr>
    </w:tbl>
    <w:p>
      <w:pPr>
        <w:pStyle w:val="BodyText"/>
      </w:pPr>
      <w:r>
        <w:t xml:space="preserve">Post-selection-valid inference has two visible consequences. First, the Azure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itemset fraction drops from 66% (naive) to 30% (BY-corrected</w:t>
      </w:r>
      <w:r>
        <w:t xml:space="preserve"> </w:t>
      </w:r>
      <w:r>
        <w:t xml:space="preserve">on inference half); the extra patterns were selection artefacts. Second,</w:t>
      </w:r>
      <w:r>
        <w:t xml:space="preserve"> </w:t>
      </w:r>
      <w:r>
        <w:t xml:space="preserve">the SCANIA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fraction drops from 6.0% (naive) to 0% (post-</w:t>
      </w:r>
      <w:r>
        <w:t xml:space="preserve"> </w:t>
      </w:r>
      <w:r>
        <w:t xml:space="preserve">selection valid): the 37,797-pattern discovery-half mining run at</w:t>
      </w:r>
      <w:r>
        <w:t xml:space="preserve"> </w:t>
      </w:r>
      <w:r>
        <w:t xml:space="preserve">minimum support 0.05 does not survive an honest inference test. Both direction and</w:t>
      </w:r>
      <w:r>
        <w:t xml:space="preserve"> </w:t>
      </w:r>
      <w:r>
        <w:t xml:space="preserve">magnitude of these shifts match the pre-specified concern about</w:t>
      </w:r>
      <w:r>
        <w:t xml:space="preserve"> </w:t>
      </w:r>
      <w:r>
        <w:t xml:space="preserve">mining-and-testing on the same sample.</w:t>
      </w:r>
    </w:p>
    <w:p>
      <w:pPr>
        <w:pStyle w:val="BodyText"/>
      </w:pPr>
      <w:r>
        <w:t xml:space="preserve">A permuted-label stress test confirms that the split, and not merely</w:t>
      </w:r>
      <w:r>
        <w:t xml:space="preserve"> </w:t>
      </w:r>
      <w:r>
        <w:t xml:space="preserve">the FDR correction, is what controls error. On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, the</w:t>
      </w:r>
      <w:r>
        <w:t xml:space="preserve"> </w:t>
      </w:r>
      <w:r>
        <w:t xml:space="preserve">same 79-candidate set validated three ways yields a similar number of</w:t>
      </w:r>
      <w:r>
        <w:t xml:space="preserve"> </w:t>
      </w:r>
      <w:r>
        <w:t xml:space="preserve">discoveries on the real labels (naive same-sample BH 55; our</w:t>
      </w:r>
      <w:r>
        <w:t xml:space="preserve"> </w:t>
      </w:r>
      <w:r>
        <w:t xml:space="preserve">discovery/inference split 52; Westfall-Young minP FWER 52), but under</w:t>
      </w:r>
      <w:r>
        <w:t xml:space="preserve"> </w:t>
      </w:r>
      <w:r>
        <w:t xml:space="preserve">20 label permutations that destroy all signal the naive same-sample</w:t>
      </w:r>
      <w:r>
        <w:t xml:space="preserve"> </w:t>
      </w:r>
      <w:r>
        <w:t xml:space="preserve">BH still reports false discoveries (mean 0.3, up to 6 in a single</w:t>
      </w:r>
      <w:r>
        <w:t xml:space="preserve"> </w:t>
      </w:r>
      <w:r>
        <w:t xml:space="preserve">permutation) whereas the discovery/inference split reports</w:t>
      </w:r>
      <w:r>
        <w:t xml:space="preserve"> </w:t>
      </w:r>
      <w:r>
        <w:rPr>
          <w:b/>
          <w:bCs/>
        </w:rPr>
        <w:t xml:space="preserve">zero</w:t>
      </w:r>
      <w:r>
        <w:t xml:space="preserve"> </w:t>
      </w:r>
      <w:r>
        <w:t xml:space="preserve">(mean 0, maximum 0), matching the family-wise-error-controlled</w:t>
      </w:r>
      <w:r>
        <w:t xml:space="preserve"> </w:t>
      </w:r>
      <w:r>
        <w:t xml:space="preserve">Westfall-Young procedure. The split therefore buys honest error</w:t>
      </w:r>
      <w:r>
        <w:t xml:space="preserve"> </w:t>
      </w:r>
      <w:r>
        <w:t xml:space="preserve">control at almost no loss of real-label power.</w:t>
      </w:r>
    </w:p>
    <w:p>
      <w:pPr>
        <w:pStyle w:val="BodyText"/>
      </w:pPr>
      <w:r>
        <w:t xml:space="preserve">The Azure and Alibaba results persist in weaker but still substantive</w:t>
      </w:r>
      <w:r>
        <w:t xml:space="preserve"> </w:t>
      </w:r>
      <w:r>
        <w:t xml:space="preserve">form (46-100% at rich horizons); SCANIA under post-selection-valid</w:t>
      </w:r>
      <w:r>
        <w:t xml:space="preserve"> </w:t>
      </w:r>
      <w:r>
        <w:t xml:space="preserve">inference no longer supports an aggregate</w:t>
      </w:r>
      <w:r>
        <w:t xml:space="preserve"> </w:t>
      </w:r>
      <w:r>
        <w:t xml:space="preserve">“</w:t>
      </w:r>
      <w:r>
        <w:t xml:space="preserve">some fraction is</w:t>
      </w:r>
      <w:r>
        <w:t xml:space="preserve"> </w:t>
      </w:r>
      <w:r>
        <w:t xml:space="preserve">predictive</w:t>
      </w:r>
      <w:r>
        <w:t xml:space="preserve">”</w:t>
      </w:r>
      <w:r>
        <w:t xml:space="preserve"> </w:t>
      </w:r>
      <w:r>
        <w:t xml:space="preserve">claim on this mining threshold and requires the matched</w:t>
      </w:r>
      <w:r>
        <w:t xml:space="preserve"> </w:t>
      </w:r>
      <w:r>
        <w:t xml:space="preserve">conditional-logistic analysis in §6.10 instead. On Azure and Alibaba</w:t>
      </w:r>
      <w:r>
        <w:t xml:space="preserve"> </w:t>
      </w:r>
      <w:r>
        <w:t xml:space="preserve">the majority of frequent patterns are also predictive; on BGL and</w:t>
      </w:r>
      <w:r>
        <w:t xml:space="preserve"> </w:t>
      </w:r>
      <w:r>
        <w:t xml:space="preserve">SCANIA the majority are frequent-but-noise, and the paper’s concrete</w:t>
      </w:r>
      <w:r>
        <w:t xml:space="preserve"> </w:t>
      </w:r>
      <w:r>
        <w:t xml:space="preserve">predictive-pattern list is short.</w:t>
      </w:r>
    </w:p>
    <w:bookmarkEnd w:id="56"/>
    <w:bookmarkStart w:id="57" w:name="Xa182019db5c06219c287e242249f191e21aa0df"/>
    <w:p>
      <w:pPr>
        <w:pStyle w:val="Heading3"/>
      </w:pPr>
      <w:r>
        <w:t xml:space="preserve">6.8 Post-selection-valid sequence significance and closed-sequence compression</w:t>
      </w:r>
    </w:p>
    <w:p>
      <w:pPr>
        <w:pStyle w:val="FirstParagraph"/>
      </w:pPr>
      <w:r>
        <w:t xml:space="preserve">We extend the discovery/inference split to sequences: PrefixSpan runs</w:t>
      </w:r>
      <w:r>
        <w:t xml:space="preserve"> </w:t>
      </w:r>
      <w:r>
        <w:t xml:space="preserve">on the 50% discovery half, and each mined sequence is scored on the</w:t>
      </w:r>
      <w:r>
        <w:t xml:space="preserve"> </w:t>
      </w:r>
      <w:r>
        <w:t xml:space="preserve">50% inference half via an exact hypergeometric test on windows that</w:t>
      </w:r>
      <w:r>
        <w:t xml:space="preserve"> </w:t>
      </w:r>
      <w:r>
        <w:t xml:space="preserve">contain the sequence as an ordered subsequence, then corrected across</w:t>
      </w:r>
      <w:r>
        <w:t xml:space="preserve"> </w:t>
      </w:r>
      <w:r>
        <w:t xml:space="preserve">all sequences tested at each horizon (Table 11).</w:t>
      </w:r>
    </w:p>
    <w:p>
      <w:pPr>
        <w:pStyle w:val="TableCaption"/>
      </w:pPr>
      <w:r>
        <w:rPr>
          <w:b/>
          <w:bCs/>
        </w:rPr>
        <w:t xml:space="preserve">Table 11.</w:t>
      </w:r>
      <w:r>
        <w:t xml:space="preserve"> </w:t>
      </w:r>
      <w:r>
        <w:t xml:space="preserve">Post-selection-valid sequence significance by trace and horizon.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1. Post-selection-valid sequence significance by trace and horizon."/>
      </w:tblPr>
      <w:tblGrid>
        <w:gridCol w:w="727"/>
        <w:gridCol w:w="727"/>
        <w:gridCol w:w="1050"/>
        <w:gridCol w:w="969"/>
        <w:gridCol w:w="2020"/>
        <w:gridCol w:w="1212"/>
        <w:gridCol w:w="1212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disc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inf windows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sequences mined on disc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BH q&lt;0.05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sig BY q&lt;0.05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24h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(100%)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 (100%)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(73%)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51 (73%)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537 (77%)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461 (66%)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(56%)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(56%)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(38%)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32,474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 (48%)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49 (43%)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(50%)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(50%)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 (40%)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 (20%)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BGL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14,432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(3%)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 (3%)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 (14%)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(12%)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 (7%)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 (1%)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SCANIA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4,544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6,262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 (0.2%)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 (0.05%)</w:t>
            </w:r>
          </w:p>
        </w:tc>
      </w:tr>
    </w:tbl>
    <w:p>
      <w:pPr>
        <w:pStyle w:val="BodyText"/>
      </w:pPr>
      <w:r>
        <w:t xml:space="preserve">The sequence result mirrors the itemset finding under the same split:</w:t>
      </w:r>
      <w:r>
        <w:t xml:space="preserve"> </w:t>
      </w:r>
      <w:r>
        <w:t xml:space="preserve">sequences carry a large post-selection-valid signal on Azure</w:t>
      </w:r>
      <w:r>
        <w:t xml:space="preserve"> </w:t>
      </w:r>
      <w:r>
        <w:t xml:space="preserve">(77% BH-significant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 66% BY) and a moderate one on Alibaba</w:t>
      </w:r>
      <w:r>
        <w:t xml:space="preserve"> </w:t>
      </w:r>
      <w:r>
        <w:t xml:space="preserve">(48% BH at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). On BGL and SCANIA the significant fraction</w:t>
      </w:r>
      <w:r>
        <w:t xml:space="preserve"> </w:t>
      </w:r>
      <w:r>
        <w:t xml:space="preserve">collapses as longer horizons expand the candidate space faster than</w:t>
      </w:r>
      <w:r>
        <w:t xml:space="preserve"> </w:t>
      </w:r>
      <w:r>
        <w:t xml:space="preserve">the signal grows. On SCANIA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the same 6,262-sequence mining</w:t>
      </w:r>
      <w:r>
        <w:t xml:space="preserve"> </w:t>
      </w:r>
      <w:r>
        <w:t xml:space="preserve">run reduces to 3 BY-significant sequences, a strong</w:t>
      </w:r>
      <w:r>
        <w:t xml:space="preserve"> </w:t>
      </w:r>
      <w:r>
        <w:t xml:space="preserve">post-selection-inflation warning that mirrors the itemset case.</w:t>
      </w:r>
    </w:p>
    <w:p>
      <w:pPr>
        <w:pStyle w:val="BodyText"/>
      </w:pPr>
      <w:r>
        <w:t xml:space="preserve">To measure the redundancy in the raw PrefixSpan output we also run</w:t>
      </w:r>
      <w:r>
        <w:t xml:space="preserve"> </w:t>
      </w:r>
      <w:r>
        <w:t xml:space="preserve">CloSpan</w:t>
      </w:r>
      <w:r>
        <w:t xml:space="preserve"> </w:t>
      </w:r>
      <w:r>
        <w:t xml:space="preserve">[</w:t>
      </w:r>
      <w:hyperlink w:anchor="ref-yan2003clospan">
        <w:r>
          <w:rPr>
            <w:rStyle w:val="Hyperlink"/>
          </w:rPr>
          <w:t xml:space="preserve">52</w:t>
        </w:r>
      </w:hyperlink>
      <w:r>
        <w:t xml:space="preserve">]</w:t>
      </w:r>
      <w:r>
        <w:t xml:space="preserve">, as implemented in SPMF</w:t>
      </w:r>
      <w:r>
        <w:t xml:space="preserve"> </w:t>
      </w:r>
      <w:r>
        <w:t xml:space="preserve">[</w:t>
      </w:r>
      <w:hyperlink w:anchor="ref-fournier2016spmf">
        <w:r>
          <w:rPr>
            <w:rStyle w:val="Hyperlink"/>
          </w:rPr>
          <w:t xml:space="preserve">9</w:t>
        </w:r>
      </w:hyperlink>
      <w:r>
        <w:t xml:space="preserve">]</w:t>
      </w:r>
      <w:r>
        <w:t xml:space="preserve">,</w:t>
      </w:r>
      <w:r>
        <w:t xml:space="preserve"> </w:t>
      </w:r>
      <w:r>
        <w:t xml:space="preserve">at the same 5% minimum support: a closed sequential pattern is one</w:t>
      </w:r>
      <w:r>
        <w:t xml:space="preserve"> </w:t>
      </w:r>
      <w:r>
        <w:t xml:space="preserve">whose support is strictly larger than any of its super-sequences. On Azure and SCANIA, PrefixSpan output</w:t>
      </w:r>
      <w:r>
        <w:t xml:space="preserve"> </w:t>
      </w:r>
      <w:r>
        <w:t xml:space="preserve">is already tight (1:1 compression); on BGL and Alibaba, closed</w:t>
      </w:r>
      <w:r>
        <w:t xml:space="preserve"> </w:t>
      </w:r>
      <w:r>
        <w:t xml:space="preserve">sequences compress the raw list by up to a factor of two</w:t>
      </w:r>
      <w:r>
        <w:t xml:space="preserve"> </w:t>
      </w:r>
      <w:r>
        <w:t xml:space="preserve">(BGL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10/20,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26/39,</w:t>
      </w:r>
      <w:r>
        <w:t xml:space="preserve"> </w:t>
      </w:r>
      <w:r>
        <w:rPr>
          <w:rStyle w:val="VerbatimChar"/>
        </w:rPr>
        <w:t xml:space="preserve">last20</w:t>
      </w:r>
      <w:r>
        <w:t xml:space="preserve"> </w:t>
      </w:r>
      <w:r>
        <w:t xml:space="preserve">138/150; Alibaba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15/16). Closed sequences are the input the deployment-facing signature</w:t>
      </w:r>
      <w:r>
        <w:t xml:space="preserve"> </w:t>
      </w:r>
      <w:r>
        <w:t xml:space="preserve">catalog uses.</w:t>
      </w:r>
    </w:p>
    <w:bookmarkEnd w:id="57"/>
    <w:bookmarkStart w:id="58" w:name="X39b99ab144b8766ac518ecf770687bbc49b8129"/>
    <w:p>
      <w:pPr>
        <w:pStyle w:val="Heading3"/>
      </w:pPr>
      <w:r>
        <w:t xml:space="preserve">6.9 Formal significance (same-sample marginal counts)</w:t>
      </w:r>
    </w:p>
    <w:p>
      <w:pPr>
        <w:pStyle w:val="FirstParagraph"/>
      </w:pPr>
      <w:r>
        <w:t xml:space="preserve">The same-sample BH counts (mining and testing on the full training</w:t>
      </w:r>
      <w:r>
        <w:t xml:space="preserve"> </w:t>
      </w:r>
      <w:r>
        <w:t xml:space="preserve">sample) quantify the post-selection inflation that the §4.5</w:t>
      </w:r>
      <w:r>
        <w:t xml:space="preserve"> </w:t>
      </w:r>
      <w:r>
        <w:t xml:space="preserve">discovery/inference design removes: they are the naive marginal-p</w:t>
      </w:r>
      <w:r>
        <w:t xml:space="preserve"> </w:t>
      </w:r>
      <w:r>
        <w:t xml:space="preserve">baseline, and the gap between them and the post-selection-valid</w:t>
      </w:r>
      <w:r>
        <w:t xml:space="preserve"> </w:t>
      </w:r>
      <w:r>
        <w:t xml:space="preserve">counts in §6.7 and §6.8 is the size of the selection artefact. At</w:t>
      </w:r>
      <w:r>
        <w:t xml:space="preserve"> </w:t>
      </w:r>
      <w:r>
        <w:t xml:space="preserve">BH q &lt; 0.05: every Azure 24h</w:t>
      </w:r>
      <w:r>
        <w:t xml:space="preserve"> </w:t>
      </w:r>
      <w:r>
        <w:t xml:space="preserve">itemset (6/6) and every Azure 24h sequence (7/7) is significant;</w:t>
      </w:r>
      <w:r>
        <w:t xml:space="preserve"> </w:t>
      </w:r>
      <w:r>
        <w:t xml:space="preserve">53/77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itemsets and 55/67 Azure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sequences;</w:t>
      </w:r>
      <w:r>
        <w:t xml:space="preserve"> </w:t>
      </w:r>
      <w:r>
        <w:t xml:space="preserve">562/657 Azure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sequences. Both 1h and 6h Azure horizons</w:t>
      </w:r>
      <w:r>
        <w:t xml:space="preserve"> </w:t>
      </w:r>
      <w:r>
        <w:t xml:space="preserve">flag zero patterns as expected (0/3 sequences at 1h, 0/5 at 6h). On</w:t>
      </w:r>
      <w:r>
        <w:t xml:space="preserve"> </w:t>
      </w:r>
      <w:r>
        <w:t xml:space="preserve">Alibaba: 6/10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itemsets, 9/16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sequences, 59/109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 </w:t>
      </w:r>
      <w:r>
        <w:t xml:space="preserve">sequences.</w:t>
      </w:r>
    </w:p>
    <w:bookmarkEnd w:id="58"/>
    <w:bookmarkStart w:id="59" w:name="X9089ac7c4740497ca2f8946257a25d0f4921163"/>
    <w:p>
      <w:pPr>
        <w:pStyle w:val="Heading3"/>
      </w:pPr>
      <w:r>
        <w:t xml:space="preserve">6.10 SCANIA risk-set matched patterns (Component X)</w:t>
      </w:r>
    </w:p>
    <w:p>
      <w:pPr>
        <w:pStyle w:val="FirstParagraph"/>
      </w:pPr>
      <w:r>
        <w:t xml:space="preserve">Applying the risk-set matched-sampling extension from §4.4 to SCANIA</w:t>
      </w:r>
      <w:r>
        <w:t xml:space="preserve"> </w:t>
      </w:r>
      <w:r>
        <w:t xml:space="preserve">Component X (2,272 cases x 3 controls each drawn from the risk set at</w:t>
      </w:r>
      <w:r>
        <w:t xml:space="preserve"> </w:t>
      </w:r>
      <w:r>
        <w:t xml:space="preserve">each case’s failure lifetime), FP-Growth at minimum support 0.05 mines</w:t>
      </w:r>
      <w:r>
        <w:t xml:space="preserve"> </w:t>
      </w:r>
      <w:r>
        <w:t xml:space="preserve">42,453 candidate itemsets from the</w:t>
      </w:r>
      <w:r>
        <w:t xml:space="preserve"> 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event stream.</w:t>
      </w:r>
    </w:p>
    <w:p>
      <w:pPr>
        <w:pStyle w:val="BodyText"/>
      </w:pPr>
      <w:r>
        <w:t xml:space="preserve">To avoid selecting the tested family with the outcome, we use a</w:t>
      </w:r>
      <w:r>
        <w:t xml:space="preserve"> </w:t>
      </w:r>
      <w:r>
        <w:t xml:space="preserve">strict two-stage design that matches the paper’s own post-selection</w:t>
      </w:r>
      <w:r>
        <w:t xml:space="preserve"> </w:t>
      </w:r>
      <w:r>
        <w:t xml:space="preserve">discipline: the 2,272 matched sets are split 50/50 into a discovery</w:t>
      </w:r>
      <w:r>
        <w:t xml:space="preserve"> </w:t>
      </w:r>
      <w:r>
        <w:t xml:space="preserve">and an inference half; the top-200 patterns are ranked by</w:t>
      </w:r>
      <w:r>
        <w:t xml:space="preserve"> </w:t>
      </w:r>
      <w:r>
        <w:rPr>
          <w:b/>
          <w:bCs/>
        </w:rPr>
        <w:t xml:space="preserve">discovery-half case-hit count only</w:t>
      </w:r>
      <w:r>
        <w:t xml:space="preserve">, and those 200 fixed patterns</w:t>
      </w:r>
      <w:r>
        <w:t xml:space="preserve"> </w:t>
      </w:r>
      <w:r>
        <w:t xml:space="preserve">are then estimated on the</w:t>
      </w:r>
      <w:r>
        <w:t xml:space="preserve"> </w:t>
      </w:r>
      <w:r>
        <w:rPr>
          <w:b/>
          <w:bCs/>
        </w:rPr>
        <w:t xml:space="preserve">inference half</w:t>
      </w:r>
      <w:r>
        <w:t xml:space="preserve"> </w:t>
      </w:r>
      <w:r>
        <w:t xml:space="preserve">via conditional logistic</w:t>
      </w:r>
      <w:r>
        <w:t xml:space="preserve"> </w:t>
      </w:r>
      <w:r>
        <w:t xml:space="preserve">regression stratified by matched set (§4.6), fitted with</w:t>
      </w:r>
      <w:r>
        <w:t xml:space="preserve"> </w:t>
      </w:r>
      <w:r>
        <w:rPr>
          <w:rStyle w:val="VerbatimChar"/>
        </w:rPr>
        <w:t xml:space="preserve">statsmodels.ConditionalLogit</w:t>
      </w:r>
      <w:r>
        <w:t xml:space="preserve">. On the inference half,</w:t>
      </w:r>
      <w:r>
        <w:t xml:space="preserve"> </w:t>
      </w:r>
      <w:r>
        <w:rPr>
          <w:b/>
          <w:bCs/>
        </w:rPr>
        <w:t xml:space="preserve">93 of 200</w:t>
      </w:r>
      <w:r>
        <w:rPr>
          <w:b/>
          <w:bCs/>
        </w:rPr>
        <w:t xml:space="preserve"> </w:t>
      </w:r>
      <w:r>
        <w:rPr>
          <w:b/>
          <w:bCs/>
        </w:rPr>
        <w:t xml:space="preserve">pass the joint criterion HR CI excludes 1 AND BH q &lt; 0.05, and 74</w:t>
      </w:r>
      <w:r>
        <w:rPr>
          <w:b/>
          <w:bCs/>
        </w:rPr>
        <w:t xml:space="preserve"> </w:t>
      </w:r>
      <w:r>
        <w:rPr>
          <w:b/>
          <w:bCs/>
        </w:rPr>
        <w:t xml:space="preserve">(37%) survive the stricter Benjamini-Yekutieli arbitrary-dependence</w:t>
      </w:r>
      <w:r>
        <w:rPr>
          <w:b/>
          <w:bCs/>
        </w:rPr>
        <w:t xml:space="preserve"> </w:t>
      </w:r>
      <w:r>
        <w:rPr>
          <w:b/>
          <w:bCs/>
        </w:rPr>
        <w:t xml:space="preserve">FDR at q &lt; 0.05</w:t>
      </w:r>
      <w:r>
        <w:t xml:space="preserve">; all p-values are</w:t>
      </w:r>
      <w:r>
        <w:t xml:space="preserve"> </w:t>
      </w:r>
      <w:r>
        <w:rPr>
          <w:rStyle w:val="VerbatimChar"/>
        </w:rPr>
        <w:t xml:space="preserve">ConditionalLogit</w:t>
      </w:r>
      <w:r>
        <w:t xml:space="preserve"> </w:t>
      </w:r>
      <w:r>
        <w:t xml:space="preserve">Wald p-values,</w:t>
      </w:r>
      <w:r>
        <w:t xml:space="preserve"> </w:t>
      </w:r>
      <w:r>
        <w:t xml:space="preserve">corrected across the 200 preselected patterns.</w:t>
      </w:r>
    </w:p>
    <w:p>
      <w:pPr>
        <w:pStyle w:val="BodyText"/>
      </w:pPr>
      <w:r>
        <w:t xml:space="preserve">Top 5 predictive Component X signatures on the inference half</w:t>
      </w:r>
      <w:r>
        <w:t xml:space="preserve"> </w:t>
      </w:r>
      <w:r>
        <w:t xml:space="preserve">(matched HR, 95% CI, p):</w:t>
      </w:r>
    </w:p>
    <w:p>
      <w:pPr>
        <w:pStyle w:val="TableCaption"/>
      </w:pPr>
      <w:r>
        <w:rPr>
          <w:b/>
          <w:bCs/>
        </w:rPr>
        <w:t xml:space="preserve">Table 12.</w:t>
      </w:r>
      <w:r>
        <w:t xml:space="preserve"> </w:t>
      </w:r>
      <w:r>
        <w:t xml:space="preserve">Top five SCANIA Component X signatures by matched hazard ratio, selected on the discovery half and estimated on the disjoint inference half with 95% confidence intervals.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2. Top five SCANIA Component X signatures by matched hazard ratio, selected on the discovery half and estimated on the disjoint inference half with 95% confidence intervals."/>
      </w:tblPr>
      <w:tblGrid>
        <w:gridCol w:w="950"/>
        <w:gridCol w:w="2692"/>
        <w:gridCol w:w="1584"/>
        <w:gridCol w:w="1267"/>
        <w:gridCol w:w="1425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HR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p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1.60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[1.35, 1.91]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22}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1.58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[1.32, 1.90]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4.7e-07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counter_surprise:397_{27, 28,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[1.33, 1.85]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6.9e-08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counter_surprise:397_{27,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[1.30, 1.84]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8.9e-07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counter_surprise:397_{29, 34, 35}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1.54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[1.34, 1.76]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5.0e-10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487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counter_surprise:397_{29}</w:t>
            </w:r>
          </w:p>
        </w:tc>
      </w:tr>
    </w:tbl>
    <w:p>
      <w:pPr>
        <w:pStyle w:val="BodyText"/>
      </w:pPr>
      <w:r>
        <w:t xml:space="preserve">Two effects push the honest estimates below the naive ones. The</w:t>
      </w:r>
      <w:r>
        <w:t xml:space="preserve"> </w:t>
      </w:r>
      <w:r>
        <w:rPr>
          <w:b/>
          <w:bCs/>
        </w:rPr>
        <w:t xml:space="preserve">pooled 2×2 analysis (Table 13) inflates the effect</w:t>
      </w:r>
      <w:r>
        <w:t xml:space="preserve"> </w:t>
      </w:r>
      <w:r>
        <w:t xml:space="preserve">(top pooled</w:t>
      </w:r>
      <w:r>
        <w:t xml:space="preserve"> </w:t>
      </w:r>
      <w:r>
        <w:t xml:space="preserve">MH-OR 2.72 [2.10, 3.51]) because it discards the matched-set structure</w:t>
      </w:r>
      <w:r>
        <w:t xml:space="preserve"> </w:t>
      </w:r>
      <w:r>
        <w:t xml:space="preserve">that the incidence-density sampling design creates; the matched</w:t>
      </w:r>
      <w:r>
        <w:t xml:space="preserve"> </w:t>
      </w:r>
      <w:r>
        <w:t xml:space="preserve">conditional logistic is the correct estimator under Prentice-Breslow.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discovery/inference split removes the post-selection inflation</w:t>
      </w:r>
      <w:r>
        <w:t xml:space="preserve"> </w:t>
      </w:r>
      <w:r>
        <w:t xml:space="preserve">that ranking the top-200 by case-hits on the test sample would</w:t>
      </w:r>
      <w:r>
        <w:t xml:space="preserve"> </w:t>
      </w:r>
      <w:r>
        <w:t xml:space="preserve">otherwise introduce: the same top-200-by-hits procedure evaluated</w:t>
      </w:r>
      <w:r>
        <w:t xml:space="preserve"> </w:t>
      </w:r>
      <w:r>
        <w:t xml:space="preserve">in-sample reports 108 BY-significant patterns and a top HR near 1.7,</w:t>
      </w:r>
      <w:r>
        <w:t xml:space="preserve"> </w:t>
      </w:r>
      <w:r>
        <w:t xml:space="preserve">whereas the honest inference-half estimate is 74 BY-significant with a</w:t>
      </w:r>
      <w:r>
        <w:t xml:space="preserve"> </w:t>
      </w:r>
      <w:r>
        <w:t xml:space="preserve">top HR of 1.60 [1.35, 1.91]. The matched signal is real but smaller</w:t>
      </w:r>
      <w:r>
        <w:t xml:space="preserve"> </w:t>
      </w:r>
      <w:r>
        <w:t xml:space="preserve">than the in-sample figure suggests.</w:t>
      </w:r>
    </w:p>
    <w:p>
      <w:pPr>
        <w:pStyle w:val="BodyText"/>
      </w:pPr>
      <w:r>
        <w:t xml:space="preserve">Top hazard ratios are concentrated in histogram-397 bin combinations.</w:t>
      </w:r>
      <w:r>
        <w:t xml:space="preserve"> </w:t>
      </w:r>
      <w:r>
        <w:t xml:space="preserve">Grouping matched-significant patterns by their dominant histogram</w:t>
      </w:r>
      <w:r>
        <w:t xml:space="preserve"> </w:t>
      </w:r>
      <w:r>
        <w:t xml:space="preserve">feature:</w:t>
      </w:r>
      <w:r>
        <w:t xml:space="preserve"> </w:t>
      </w:r>
      <w:r>
        <w:rPr>
          <w:b/>
          <w:bCs/>
        </w:rPr>
        <w:t xml:space="preserve">feature 397 supplies the majority of significant patterns;</w:t>
      </w:r>
      <w:r>
        <w:rPr>
          <w:b/>
          <w:bCs/>
        </w:rPr>
        <w:t xml:space="preserve"> </w:t>
      </w:r>
      <w:r>
        <w:rPr>
          <w:b/>
          <w:bCs/>
        </w:rPr>
        <w:t xml:space="preserve">features 158 and 167 contribute a smaller number of independent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signatures</w:t>
      </w:r>
      <w:r>
        <w:t xml:space="preserve">. The</w:t>
      </w:r>
      <w:r>
        <w:t xml:space="preserve"> </w:t>
      </w:r>
      <w:r>
        <w:t xml:space="preserve">“</w:t>
      </w:r>
      <w:r>
        <w:t xml:space="preserve">N distinct predictive patterns</w:t>
      </w:r>
      <w:r>
        <w:t xml:space="preserve">”</w:t>
      </w:r>
      <w:r>
        <w:t xml:space="preserve"> </w:t>
      </w:r>
      <w:r>
        <w:t xml:space="preserve">reading of the</w:t>
      </w:r>
      <w:r>
        <w:t xml:space="preserve"> </w:t>
      </w:r>
      <w:r>
        <w:t xml:space="preserve">matched output must therefore be interpreted with awareness of this</w:t>
      </w:r>
      <w:r>
        <w:t xml:space="preserve"> </w:t>
      </w:r>
      <w:r>
        <w:t xml:space="preserve">underlying feature-set concentration.</w:t>
      </w:r>
    </w:p>
    <w:p>
      <w:pPr>
        <w:pStyle w:val="BodyText"/>
      </w:pPr>
      <w:r>
        <w:t xml:space="preserve">Top 5 predictive Component X signatures (MH-OR, 95% CI):</w:t>
      </w:r>
    </w:p>
    <w:p>
      <w:pPr>
        <w:pStyle w:val="TableCaption"/>
      </w:pPr>
      <w:r>
        <w:rPr>
          <w:b/>
          <w:bCs/>
        </w:rPr>
        <w:t xml:space="preserve">Table 13.</w:t>
      </w:r>
      <w:r>
        <w:t xml:space="preserve"> </w:t>
      </w:r>
      <w:r>
        <w:t xml:space="preserve">Pooled 2x2 odds ratios for the same SCANIA signatures, superseded by the matched estimates in Table 12.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3. Pooled 2x2 odds ratios for the same SCANIA signatures, superseded by the matched estimates in Table 12."/>
      </w:tblPr>
      <w:tblGrid>
        <w:gridCol w:w="894"/>
        <w:gridCol w:w="1021"/>
        <w:gridCol w:w="894"/>
        <w:gridCol w:w="1405"/>
        <w:gridCol w:w="3704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t xml:space="preserve">MH-OR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95% CI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n_case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n_control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pattern (event_subtype_seq)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2.72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[2.10, 3.51]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130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27, 28, 29}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2.65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[2.07, 3.39]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counter_surprise:{158_3, 397_28}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2.63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[2.05, 3.38]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27, 29, 34}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2.44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[1.98, 3.01]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212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counter_surprise:397_{10, 28, 29, 34}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2.37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[1.94, 2.89]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counter_surprise:{158_9, 309_0}</w:t>
            </w:r>
          </w:p>
        </w:tc>
      </w:tr>
    </w:tbl>
    <w:p>
      <w:pPr>
        <w:pStyle w:val="BodyText"/>
      </w:pPr>
      <w:r>
        <w:t xml:space="preserve">The</w:t>
      </w:r>
      <w:r>
        <w:t xml:space="preserve"> </w:t>
      </w:r>
      <w:r>
        <w:rPr>
          <w:rStyle w:val="VerbatimChar"/>
        </w:rPr>
        <w:t xml:space="preserve">158_9 + 309_0</w:t>
      </w:r>
      <w:r>
        <w:t xml:space="preserve"> </w:t>
      </w:r>
      <w:r>
        <w:t xml:space="preserve">cross-feature signature is an example of a</w:t>
      </w:r>
      <w:r>
        <w:t xml:space="preserve"> </w:t>
      </w:r>
      <w:r>
        <w:t xml:space="preserve">two-feature interaction that pattern mining surfaces without needing</w:t>
      </w:r>
      <w:r>
        <w:t xml:space="preserve"> </w:t>
      </w:r>
      <w:r>
        <w:t xml:space="preserve">a black-box classifier.</w:t>
      </w:r>
      <w:r>
        <w:t xml:space="preserve"> </w:t>
      </w:r>
      <w:r>
        <w:t xml:space="preserve">Despite these interpretable hazard-ratio-scored patterns, none of</w:t>
      </w:r>
      <w:r>
        <w:t xml:space="preserve"> </w:t>
      </w:r>
      <w:r>
        <w:t xml:space="preserve">them lift a temporally-held-out logistic regression beyond AUROC</w:t>
      </w:r>
      <w:r>
        <w:t xml:space="preserve"> </w:t>
      </w:r>
      <w:r>
        <w:t xml:space="preserve">0.60 (per §6.2): the patterns are per-truck static discriminators,</w:t>
      </w:r>
      <w:r>
        <w:t xml:space="preserve"> </w:t>
      </w:r>
      <w:r>
        <w:t xml:space="preserve">not temporal precursors that a next-K-event alarm can act on. The</w:t>
      </w:r>
      <w:r>
        <w:t xml:space="preserve"> </w:t>
      </w:r>
      <w:r>
        <w:t xml:space="preserve">distinction is important operationally: hazard-ratio-scored patterns</w:t>
      </w:r>
      <w:r>
        <w:t xml:space="preserve"> </w:t>
      </w:r>
      <w:r>
        <w:t xml:space="preserve">support cohort-level fleet triage (which trucks warrant closer</w:t>
      </w:r>
      <w:r>
        <w:t xml:space="preserve"> </w:t>
      </w:r>
      <w:r>
        <w:t xml:space="preserve">inspection), not next-event alerting.</w:t>
      </w:r>
    </w:p>
    <w:bookmarkEnd w:id="59"/>
    <w:bookmarkStart w:id="60" w:name="lead-time-on-true-positives"/>
    <w:p>
      <w:pPr>
        <w:pStyle w:val="Heading3"/>
      </w:pPr>
      <w:r>
        <w:t xml:space="preserve">6.11 Lead time on true positives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Alibaba</w:t>
      </w:r>
      <w:r>
        <w:t xml:space="preserve"> </w:t>
      </w:r>
      <w:r>
        <w:t xml:space="preserve">(operational lead time): median 0 s across horizons,</w:t>
      </w:r>
      <w:r>
        <w:t xml:space="preserve"> </w:t>
      </w:r>
      <w:r>
        <w:t xml:space="preserve">IQR 0-2 min. Task boundaries are the practical alarm resolution;</w:t>
      </w:r>
      <w:r>
        <w:t xml:space="preserve"> </w:t>
      </w:r>
      <w:r>
        <w:t xml:space="preserve">the AUROC 0.74-0.81 signal is real but must be acted on within the</w:t>
      </w:r>
      <w:r>
        <w:t xml:space="preserve"> </w:t>
      </w:r>
      <w:r>
        <w:t xml:space="preserve">next-task interval.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Azure</w:t>
      </w:r>
      <w:r>
        <w:t xml:space="preserve"> </w:t>
      </w:r>
      <w:r>
        <w:t xml:space="preserve">(structural lead time set by the generator): median lead</w:t>
      </w:r>
      <w:r>
        <w:t xml:space="preserve"> </w:t>
      </w:r>
      <w:r>
        <w:t xml:space="preserve">time is exactly 24.0 hours at every horizon. The synthetic</w:t>
      </w:r>
      <w:r>
        <w:t xml:space="preserve"> </w:t>
      </w:r>
      <w:r>
        <w:t xml:space="preserve">generator places pre-failure errors on a ~24h clock relative to</w:t>
      </w:r>
      <w:r>
        <w:t xml:space="preserve"> </w:t>
      </w:r>
      <w:r>
        <w:t xml:space="preserve">the failure timestamp, so any correctly-triggered alarm inherits</w:t>
      </w:r>
      <w:r>
        <w:t xml:space="preserve"> </w:t>
      </w:r>
      <w:r>
        <w:t xml:space="preserve">that clock. This describes the dataset’s construction, not the</w:t>
      </w:r>
      <w:r>
        <w:t xml:space="preserve"> </w:t>
      </w:r>
      <w:r>
        <w:t xml:space="preserve">model’s early-warning capacity.</w:t>
      </w:r>
    </w:p>
    <w:p>
      <w:pPr>
        <w:pStyle w:val="FirstParagraph"/>
      </w:pPr>
      <w:r>
        <w:t xml:space="preserve">Lead-time detail is released in the repository under</w:t>
      </w:r>
      <w:r>
        <w:t xml:space="preserve"> </w:t>
      </w:r>
      <w:r>
        <w:rPr>
          <w:rStyle w:val="VerbatimChar"/>
        </w:rPr>
        <w:t xml:space="preserve">results/tables/</w:t>
      </w:r>
      <w:r>
        <w:t xml:space="preserve"> </w:t>
      </w:r>
      <w:r>
        <w:t xml:space="preserve">(</w:t>
      </w:r>
      <w:r>
        <w:rPr>
          <w:rStyle w:val="VerbatimChar"/>
        </w:rPr>
        <w:t xml:space="preserve">azure_leadtime.md</w:t>
      </w:r>
      <w:r>
        <w:t xml:space="preserve">,</w:t>
      </w:r>
      <w:r>
        <w:t xml:space="preserve"> </w:t>
      </w:r>
      <w:r>
        <w:rPr>
          <w:rStyle w:val="VerbatimChar"/>
        </w:rPr>
        <w:t xml:space="preserve">alibaba_leadtime.md</w:t>
      </w:r>
      <w:r>
        <w:t xml:space="preserve">).</w:t>
      </w:r>
    </w:p>
    <w:bookmarkEnd w:id="60"/>
    <w:bookmarkEnd w:id="61"/>
    <w:bookmarkStart w:id="65" w:name="discussion"/>
    <w:p>
      <w:pPr>
        <w:pStyle w:val="Heading2"/>
      </w:pPr>
      <w:r>
        <w:t xml:space="preserve">7 Discussion</w:t>
      </w:r>
    </w:p>
    <w:bookmarkStart w:id="62" w:name="X1fff9881fd829d9c26a57a6e774b5a2b4f11174"/>
    <w:p>
      <w:pPr>
        <w:pStyle w:val="Heading3"/>
      </w:pPr>
      <w:r>
        <w:t xml:space="preserve">7.1 Is the predictor in the entire sequence or in a subpart?</w:t>
      </w:r>
    </w:p>
    <w:p>
      <w:pPr>
        <w:pStyle w:val="FirstParagraph"/>
      </w:pPr>
      <w:r>
        <w:t xml:space="preserve">Given a mined sequence S with lift L(S), we ask: does any proper</w:t>
      </w:r>
      <w:r>
        <w:t xml:space="preserve"> </w:t>
      </w:r>
      <w:r>
        <w:t xml:space="preserve">subsequence S’ ⊂ S in the mined set already reach lift(S)? If so, the</w:t>
      </w:r>
      <w:r>
        <w:t xml:space="preserve"> </w:t>
      </w:r>
      <w:r>
        <w:t xml:space="preserve">predictor lives in the subpart and S is redundant; if no proper</w:t>
      </w:r>
      <w:r>
        <w:t xml:space="preserve"> </w:t>
      </w:r>
      <w:r>
        <w:t xml:space="preserve">subsequence matches, the FULL ordered sequence is the minimal</w:t>
      </w:r>
      <w:r>
        <w:t xml:space="preserve"> </w:t>
      </w:r>
      <w:r>
        <w:t xml:space="preserve">predictor. Formally, S is</w:t>
      </w:r>
      <w:r>
        <w:t xml:space="preserve"> </w:t>
      </w:r>
      <w:r>
        <w:t xml:space="preserve">“</w:t>
      </w:r>
      <w:r>
        <w:t xml:space="preserve">full-sequence-dominant</w:t>
      </w:r>
      <w:r>
        <w:t xml:space="preserve">”</w:t>
      </w:r>
      <w:r>
        <w:t xml:space="preserve"> </w:t>
      </w:r>
      <w:r>
        <w:t xml:space="preserve">iff</w:t>
      </w:r>
      <w:r>
        <w:t xml:space="preserve"> </w:t>
      </w:r>
      <w:r>
        <w:t xml:space="preserve">lift(S) &gt; lift(S’) + 0.05 for every proper subsequence S’ the miner</w:t>
      </w:r>
      <w:r>
        <w:t xml:space="preserve"> </w:t>
      </w:r>
      <w:r>
        <w:t xml:space="preserve">also produced.</w:t>
      </w:r>
    </w:p>
    <w:p>
      <w:pPr>
        <w:pStyle w:val="BodyText"/>
      </w:pPr>
      <w:r>
        <w:t xml:space="preserve">Top-200 sequences per horizon (Table 14):</w:t>
      </w:r>
    </w:p>
    <w:p>
      <w:pPr>
        <w:pStyle w:val="TableCaption"/>
      </w:pPr>
      <w:r>
        <w:rPr>
          <w:b/>
          <w:bCs/>
        </w:rPr>
        <w:t xml:space="preserve">Table 14.</w:t>
      </w:r>
      <w:r>
        <w:t xml:space="preserve"> </w:t>
      </w:r>
      <w:r>
        <w:t xml:space="preserve">Full-sequence-dominant versus subpart-dominant predictive sequences by trace.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Caption w:val="Table 14. Full-sequence-dominant versus subpart-dominant predictive sequences by trace."/>
      </w:tblPr>
      <w:tblGrid>
        <w:gridCol w:w="1018"/>
        <w:gridCol w:w="1018"/>
        <w:gridCol w:w="2149"/>
        <w:gridCol w:w="2036"/>
        <w:gridCol w:w="1697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trace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horizon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full-sequence-dominant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subpart dominant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fraction full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79%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Azure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96%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Alibaba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last10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30%</w:t>
            </w:r>
          </w:p>
        </w:tc>
      </w:tr>
    </w:tbl>
    <w:p>
      <w:pPr>
        <w:pStyle w:val="BodyText"/>
      </w:pPr>
      <w:r>
        <w:t xml:space="preserve">The finding is trace-dependent: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Azure PdM: predictor IS in the entire sequence.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last10</w:t>
      </w:r>
      <w:r>
        <w:t xml:space="preserve">, 96% of</w:t>
      </w:r>
      <w:r>
        <w:t xml:space="preserve"> </w:t>
      </w:r>
      <w:r>
        <w:t xml:space="preserve">top-200 predictive sequences are full-sequence-dominant, meaning no proper</w:t>
      </w:r>
      <w:r>
        <w:t xml:space="preserve"> </w:t>
      </w:r>
      <w:r>
        <w:t xml:space="preserve">subsequence they contain reaches their lift. Concretely,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reaches lift 3.73; the best proper subseq</w:t>
      </w:r>
      <w:r>
        <w:t xml:space="preserve"> </w:t>
      </w:r>
      <w:r>
        <w:rPr>
          <w:rStyle w:val="VerbatimChar"/>
        </w:rPr>
        <w:t xml:space="preserve">software_error:error2 → software_error:error3</w:t>
      </w:r>
      <w:r>
        <w:t xml:space="preserve"> </w:t>
      </w:r>
      <w:r>
        <w:t xml:space="preserve">has lift 2.55 (delta</w:t>
      </w:r>
      <w:r>
        <w:t xml:space="preserve"> </w:t>
      </w:r>
      <w:r>
        <w:t xml:space="preserve">+1.18). The full ordered chain adds real signal beyond any of its</w:t>
      </w:r>
      <w:r>
        <w:t xml:space="preserve"> </w:t>
      </w:r>
      <w:r>
        <w:t xml:space="preserve">parts. Operationally, an alarm should be keyed on the full ordered</w:t>
      </w:r>
      <w:r>
        <w:t xml:space="preserve"> </w:t>
      </w:r>
      <w:r>
        <w:t xml:space="preserve">sequence, not on any two-event fragment of it.</w:t>
      </w:r>
    </w:p>
    <w:p>
      <w:pPr>
        <w:pStyle w:val="Compact"/>
        <w:numPr>
          <w:ilvl w:val="0"/>
          <w:numId w:val="1006"/>
        </w:numPr>
      </w:pPr>
      <w:r>
        <w:rPr>
          <w:b/>
          <w:bCs/>
        </w:rPr>
        <w:t xml:space="preserve">Alibaba v2018: predictor lives in a shorter subpart.</w:t>
      </w:r>
      <w:r>
        <w:t xml:space="preserve"> </w:t>
      </w:r>
      <w:r>
        <w:t xml:space="preserve">Only 17-30%</w:t>
      </w:r>
      <w:r>
        <w:t xml:space="preserve"> </w:t>
      </w:r>
      <w:r>
        <w:t xml:space="preserve">of top sequences are full-sequence-dominant. Most are dominated by a short</w:t>
      </w:r>
      <w:r>
        <w:t xml:space="preserve"> </w:t>
      </w:r>
      <w:r>
        <w:t xml:space="preserve">leading subsequence, often just</w:t>
      </w:r>
      <w:r>
        <w:t xml:space="preserve"> </w:t>
      </w:r>
      <w:r>
        <w:rPr>
          <w:rStyle w:val="VerbatimChar"/>
        </w:rPr>
        <w:t xml:space="preserve">task_waiting:R</w:t>
      </w:r>
      <w:r>
        <w:t xml:space="preserve"> </w:t>
      </w:r>
      <w:r>
        <w:t xml:space="preserve">alone (lift ~3.98).</w:t>
      </w:r>
      <w:r>
        <w:t xml:space="preserve"> </w:t>
      </w:r>
      <w:r>
        <w:t xml:space="preserve">Once a Waiting task appears in a job, the failure risk is set;</w:t>
      </w:r>
      <w:r>
        <w:t xml:space="preserve"> </w:t>
      </w:r>
      <w:r>
        <w:t xml:space="preserve">adding subsequent Success events to the pattern does not lift it</w:t>
      </w:r>
      <w:r>
        <w:t xml:space="preserve"> </w:t>
      </w:r>
      <w:r>
        <w:t xml:space="preserve">further. Operationally, the useful alarm is short.</w:t>
      </w:r>
    </w:p>
    <w:p>
      <w:pPr>
        <w:pStyle w:val="FirstParagraph"/>
      </w:pPr>
      <w:r>
        <w:t xml:space="preserve">These two traces separate order from multiplicity (§6.3). On Azure,</w:t>
      </w:r>
      <w:r>
        <w:t xml:space="preserve"> </w:t>
      </w:r>
      <w:r>
        <w:t xml:space="preserve">the count-preserving null confirms a genuine ordering effect: the full</w:t>
      </w:r>
      <w:r>
        <w:t xml:space="preserve"> </w:t>
      </w:r>
      <w:r>
        <w:t xml:space="preserve">ordered chain adds signal beyond any of its subparts, and the exact</w:t>
      </w:r>
      <w:r>
        <w:t xml:space="preserve"> </w:t>
      </w:r>
      <w:r>
        <w:t xml:space="preserve">within-window order matters. On Alibaba, the count-preserving null is</w:t>
      </w:r>
      <w:r>
        <w:t xml:space="preserve"> </w:t>
      </w:r>
      <w:r>
        <w:t xml:space="preserve">approximately zero, so the exact order does not matter; the sequence</w:t>
      </w:r>
      <w:r>
        <w:t xml:space="preserve"> </w:t>
      </w:r>
      <w:r>
        <w:t xml:space="preserve">representation helps only because it retains event multiplicity and a</w:t>
      </w:r>
      <w:r>
        <w:t xml:space="preserve"> </w:t>
      </w:r>
      <w:r>
        <w:t xml:space="preserve">privileged short prefix (</w:t>
      </w:r>
      <w:r>
        <w:rPr>
          <w:rStyle w:val="VerbatimChar"/>
        </w:rPr>
        <w:t xml:space="preserve">task_waiting:R</w:t>
      </w:r>
      <w:r>
        <w:t xml:space="preserve">) that the binary itemset</w:t>
      </w:r>
      <w:r>
        <w:t xml:space="preserve"> </w:t>
      </w:r>
      <w:r>
        <w:t xml:space="preserve">discards. The correct reading of Alibaba is a multiplicity-and-prefix</w:t>
      </w:r>
      <w:r>
        <w:t xml:space="preserve"> </w:t>
      </w:r>
      <w:r>
        <w:t xml:space="preserve">effect, not a pure-ordering effect.</w:t>
      </w:r>
    </w:p>
    <w:bookmarkEnd w:id="62"/>
    <w:bookmarkStart w:id="63" w:name="X75d9a394a307a62bf087024a3c4b370afb7d957"/>
    <w:p>
      <w:pPr>
        <w:pStyle w:val="Heading3"/>
      </w:pPr>
      <w:r>
        <w:t xml:space="preserve">7.2 What each mined signature means operationally</w:t>
      </w:r>
    </w:p>
    <w:p>
      <w:pPr>
        <w:pStyle w:val="FirstParagraph"/>
      </w:pPr>
      <w:r>
        <w:t xml:space="preserve">On Azure PdM,</w:t>
      </w:r>
      <w:r>
        <w:t xml:space="preserve"> </w:t>
      </w:r>
      <w:r>
        <w:rPr>
          <w:rStyle w:val="VerbatimChar"/>
        </w:rPr>
        <w:t xml:space="preserve">maintenance:comp4 → software_error:error2 → software_error:error3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 </w:t>
      </w:r>
      <w:r>
        <w:t xml:space="preserve">reaches sequence lift 3.73 vs</w:t>
      </w:r>
      <w:r>
        <w:t xml:space="preserve"> </w:t>
      </w:r>
      <w:r>
        <w:t xml:space="preserve">itemset lift 2.22 for the same items. The order-specific reading is</w:t>
      </w:r>
      <w:r>
        <w:t xml:space="preserve"> </w:t>
      </w:r>
      <w:r>
        <w:t xml:space="preserve">that error2 and error3 are not interchangeable noise: a machine</w:t>
      </w:r>
      <w:r>
        <w:t xml:space="preserve"> </w:t>
      </w:r>
      <w:r>
        <w:t xml:space="preserve">reporting error2 first and then error3 is materially more likely to</w:t>
      </w:r>
      <w:r>
        <w:t xml:space="preserve"> </w:t>
      </w:r>
      <w:r>
        <w:t xml:space="preserve">reach a</w:t>
      </w:r>
      <w:r>
        <w:t xml:space="preserve"> </w:t>
      </w:r>
      <w:r>
        <w:rPr>
          <w:rStyle w:val="VerbatimChar"/>
        </w:rPr>
        <w:t xml:space="preserve">terminal_failure</w:t>
      </w:r>
      <w:r>
        <w:t xml:space="preserve"> </w:t>
      </w:r>
      <w:r>
        <w:t xml:space="preserve">than</w:t>
      </w:r>
      <w:r>
        <w:t xml:space="preserve"> </w:t>
      </w:r>
      <w:r>
        <w:t xml:space="preserve">one that reports them in the other order. In practical monitoring,</w:t>
      </w:r>
      <w:r>
        <w:t xml:space="preserve"> </w:t>
      </w:r>
      <w:r>
        <w:t xml:space="preserve">an alarm keyed on the pair-in-order is preferable to the same alarm</w:t>
      </w:r>
      <w:r>
        <w:t xml:space="preserve"> </w:t>
      </w:r>
      <w:r>
        <w:t xml:space="preserve">keyed on the pair-as-set.</w:t>
      </w:r>
    </w:p>
    <w:p>
      <w:pPr>
        <w:pStyle w:val="BodyText"/>
      </w:pPr>
      <w:r>
        <w:t xml:space="preserve">On Alibaba,</w:t>
      </w:r>
      <w:r>
        <w:t xml:space="preserve"> </w:t>
      </w:r>
      <w:r>
        <w:rPr>
          <w:rStyle w:val="VerbatimChar"/>
        </w:rPr>
        <w:t xml:space="preserve">task_success:M → task_success:M → task_success:M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last3</w:t>
      </w:r>
      <w:r>
        <w:t xml:space="preserve"> </w:t>
      </w:r>
      <w:r>
        <w:t xml:space="preserve">reaches sequence lift 3.06 vs itemset lift 1.37 for the same</w:t>
      </w:r>
      <w:r>
        <w:t xml:space="preserve"> </w:t>
      </w:r>
      <w:r>
        <w:t xml:space="preserve">items. Three consecutive Map completions predict a subsequent Failed</w:t>
      </w:r>
      <w:r>
        <w:t xml:space="preserve"> </w:t>
      </w:r>
      <w:r>
        <w:t xml:space="preserve">task more strongly than</w:t>
      </w:r>
      <w:r>
        <w:t xml:space="preserve"> </w:t>
      </w:r>
      <w:r>
        <w:t xml:space="preserve">“</w:t>
      </w:r>
      <w:r>
        <w:t xml:space="preserve">the job contains Map completions</w:t>
      </w:r>
      <w:r>
        <w:t xml:space="preserve">”</w:t>
      </w:r>
      <w:r>
        <w:t xml:space="preserve"> </w:t>
      </w:r>
      <w:r>
        <w:t xml:space="preserve">alone.</w:t>
      </w:r>
      <w:r>
        <w:t xml:space="preserve"> </w:t>
      </w:r>
      <w:r>
        <w:t xml:space="preserve">The operational reading is that the position of the failure inside</w:t>
      </w:r>
      <w:r>
        <w:t xml:space="preserve"> </w:t>
      </w:r>
      <w:r>
        <w:t xml:space="preserve">the DAG matters: jobs that make it through a Map-heavy prefix are</w:t>
      </w:r>
      <w:r>
        <w:t xml:space="preserve"> </w:t>
      </w:r>
      <w:r>
        <w:t xml:space="preserve">the jobs whose downstream Reduce or Join phases can fail, whereas</w:t>
      </w:r>
      <w:r>
        <w:t xml:space="preserve"> </w:t>
      </w:r>
      <w:r>
        <w:t xml:space="preserve">jobs that fail early do so in a different distribution of task types.</w:t>
      </w:r>
    </w:p>
    <w:bookmarkEnd w:id="63"/>
    <w:bookmarkStart w:id="64" w:name="six-contrasting-case-studies"/>
    <w:p>
      <w:pPr>
        <w:pStyle w:val="Heading3"/>
      </w:pPr>
      <w:r>
        <w:t xml:space="preserve">7.3 Six contrasting case studies</w:t>
      </w:r>
    </w:p>
    <w:p>
      <w:pPr>
        <w:pStyle w:val="FirstParagraph"/>
      </w:pPr>
      <w:r>
        <w:t xml:space="preserve">Six heterogeneous traces inform when pattern mining recovers</w:t>
      </w:r>
      <w:r>
        <w:t xml:space="preserve"> </w:t>
      </w:r>
      <w:r>
        <w:t xml:space="preserve">meaningful predictive structure and when it does not. They differ</w:t>
      </w:r>
      <w:r>
        <w:t xml:space="preserve"> </w:t>
      </w:r>
      <w:r>
        <w:t xml:space="preserve">along many axes (domain, event vocabulary, synthetic vs real, entity</w:t>
      </w:r>
      <w:r>
        <w:t xml:space="preserve"> </w:t>
      </w:r>
      <w:r>
        <w:t xml:space="preserve">definition, target construction, observation cadence, class</w:t>
      </w:r>
      <w:r>
        <w:t xml:space="preserve"> </w:t>
      </w:r>
      <w:r>
        <w:t xml:space="preserve">prevalence, control sampling), so we describe the pattern rather</w:t>
      </w:r>
      <w:r>
        <w:t xml:space="preserve"> </w:t>
      </w:r>
      <w:r>
        <w:t xml:space="preserve">than claim a causal rule. The strongest positive evidence is the</w:t>
      </w:r>
      <w:r>
        <w:t xml:space="preserve"> </w:t>
      </w:r>
      <w:r>
        <w:t xml:space="preserve">two-farm wind cascade: two independent Senvion fleets at different</w:t>
      </w:r>
      <w:r>
        <w:t xml:space="preserve"> </w:t>
      </w:r>
      <w:r>
        <w:t xml:space="preserve">sites produce the same lift-4.00 zero-control cascade signatures</w:t>
      </w:r>
      <w:r>
        <w:t xml:space="preserve"> </w:t>
      </w:r>
      <w:r>
        <w:t xml:space="preserve">under one protocol, which is the closest the survey comes to a</w:t>
      </w:r>
      <w:r>
        <w:t xml:space="preserve"> </w:t>
      </w:r>
      <w:r>
        <w:t xml:space="preserve">controlled replication.</w:t>
      </w:r>
    </w:p>
    <w:p>
      <w:pPr>
        <w:pStyle w:val="BodyText"/>
      </w:pPr>
      <w:r>
        <w:t xml:space="preserve">The case studies answer a natural follow-up question: the</w:t>
      </w:r>
      <w:r>
        <w:t xml:space="preserve"> </w:t>
      </w:r>
      <w:r>
        <w:t xml:space="preserve">combined-feature-set advantage does not transfer to every operational</w:t>
      </w:r>
      <w:r>
        <w:t xml:space="preserve"> </w:t>
      </w:r>
      <w:r>
        <w:t xml:space="preserve">event log.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works cleanest</w:t>
      </w:r>
      <w:r>
        <w:t xml:space="preserve"> </w:t>
      </w:r>
      <w:r>
        <w:t xml:space="preserve">(Kelmarsh, Penmanshiel wind</w:t>
      </w:r>
      <w:r>
        <w:t xml:space="preserve"> </w:t>
      </w:r>
      <w:r>
        <w:t xml:space="preserve">farms): a genuine physical cascade. Continuous mechanical wear</w:t>
      </w:r>
      <w:r>
        <w:t xml:space="preserve"> </w:t>
      </w:r>
      <w:r>
        <w:t xml:space="preserve">produces discrete vendor alarm codes at intermediate stages, and a</w:t>
      </w:r>
      <w:r>
        <w:t xml:space="preserve"> </w:t>
      </w:r>
      <w:r>
        <w:t xml:space="preserve">specific alarm terminates the cascade as a Forced outage. The</w:t>
      </w:r>
      <w:r>
        <w:t xml:space="preserve"> </w:t>
      </w:r>
      <w:r>
        <w:t xml:space="preserve">precursor codes (generator-fan overload 2550/2650/2655 on Kelmarsh;</w:t>
      </w:r>
      <w:r>
        <w:t xml:space="preserve"> </w:t>
      </w:r>
      <w:r>
        <w:t xml:space="preserve">safety-system 9000/9210 and frequency-converter 3000 on Penmanshiel)</w:t>
      </w:r>
      <w:r>
        <w:t xml:space="preserve"> </w:t>
      </w:r>
      <w:r>
        <w:t xml:space="preserve">fire in inference-half failure windows and never in matched controls</w:t>
      </w:r>
      <w:r>
        <w:t xml:space="preserve"> </w:t>
      </w:r>
      <w:r>
        <w:t xml:space="preserve">at</w:t>
      </w:r>
      <w:r>
        <w:t xml:space="preserve"> </w:t>
      </w:r>
      <w:r>
        <w:rPr>
          <w:rStyle w:val="VerbatimChar"/>
        </w:rPr>
        <w:t xml:space="preserve">last5</w:t>
      </w:r>
      <w:r>
        <w:t xml:space="preserve">/</w:t>
      </w:r>
      <w:r>
        <w:rPr>
          <w:rStyle w:val="VerbatimChar"/>
        </w:rPr>
        <w:t xml:space="preserve">last10</w:t>
      </w:r>
      <w:r>
        <w:t xml:space="preserve">, and the mined-itemset rule strictly dominates</w:t>
      </w:r>
      <w:r>
        <w:t xml:space="preserve"> </w:t>
      </w:r>
      <w:r>
        <w:t xml:space="preserve">a most-recent-event baseline (§6.5). The two farms cross-validate</w:t>
      </w:r>
      <w:r>
        <w:t xml:space="preserve"> </w:t>
      </w:r>
      <w:r>
        <w:t xml:space="preserve">each other: different rotor sizes (MM92 vs MM82), different sites,</w:t>
      </w:r>
      <w:r>
        <w:t xml:space="preserve"> </w:t>
      </w:r>
      <w:r>
        <w:t xml:space="preserve">same protocol, same lift-4.00 cascade shape.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works</w:t>
      </w:r>
      <w:r>
        <w:t xml:space="preserve"> </w:t>
      </w:r>
      <w:r>
        <w:t xml:space="preserve">(Azure PdM, Alibaba v2018): rich native</w:t>
      </w:r>
      <w:r>
        <w:t xml:space="preserve"> </w:t>
      </w:r>
      <w:r>
        <w:t xml:space="preserve">discrete event vocabularies (5 error codes × 4 component types on</w:t>
      </w:r>
      <w:r>
        <w:t xml:space="preserve"> </w:t>
      </w:r>
      <w:r>
        <w:t xml:space="preserve">Azure; 4 task statuses × 6 task roles on Alibaba). Failure-window</w:t>
      </w:r>
      <w:r>
        <w:t xml:space="preserve"> </w:t>
      </w:r>
      <w:r>
        <w:t xml:space="preserve">content differs discriminably from control-window content, and</w:t>
      </w:r>
      <w:r>
        <w:t xml:space="preserve"> </w:t>
      </w:r>
      <w:r>
        <w:t xml:space="preserve">order carries information beyond the itemset.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Where the method does not work</w:t>
      </w:r>
      <w:r>
        <w:t xml:space="preserve"> </w:t>
      </w:r>
      <w:r>
        <w:t xml:space="preserve">(BGL, SCANIA Component X): the</w:t>
      </w:r>
      <w:r>
        <w:t xml:space="preserve"> </w:t>
      </w:r>
      <w:r>
        <w:t xml:space="preserve">target class is self-triggering (BGL alerts follow other alerts, and</w:t>
      </w:r>
      <w:r>
        <w:t xml:space="preserve"> </w:t>
      </w:r>
      <w:r>
        <w:t xml:space="preserve">non-alert log lines carry no discriminable precursor signal), or the</w:t>
      </w:r>
      <w:r>
        <w:t xml:space="preserve"> </w:t>
      </w:r>
      <w:r>
        <w:t xml:space="preserve">discrete event stream must be derived from continuous counters</w:t>
      </w:r>
      <w:r>
        <w:t xml:space="preserve"> </w:t>
      </w:r>
      <w:r>
        <w:t xml:space="preserve">(SCANIA requires binning per-vehicle deltas, and a defensible</w:t>
      </w:r>
      <w:r>
        <w:t xml:space="preserve"> </w:t>
      </w:r>
      <w:r>
        <w:t xml:space="preserve">90th-percentile surprise binning produces only marginal AUROC).</w:t>
      </w:r>
    </w:p>
    <w:p>
      <w:pPr>
        <w:pStyle w:val="FirstParagraph"/>
      </w:pPr>
      <w:r>
        <w:t xml:space="preserve">Concretely: on BGL the best combined AUROC across horizons is 0.51</w:t>
      </w:r>
      <w:r>
        <w:t xml:space="preserve"> </w:t>
      </w:r>
      <w:r>
        <w:t xml:space="preserve">(chance) even when INFO-level messages and component granularity are</w:t>
      </w:r>
      <w:r>
        <w:t xml:space="preserve"> </w:t>
      </w:r>
      <w:r>
        <w:t xml:space="preserve">included in the non-alert stream; on SCANIA the best combined AUROC</w:t>
      </w:r>
      <w:r>
        <w:t xml:space="preserve"> </w:t>
      </w:r>
      <w:r>
        <w:t xml:space="preserve">across horizons is 0.60, unchanged when the fleet-wide 90th-percentile</w:t>
      </w:r>
      <w:r>
        <w:t xml:space="preserve"> </w:t>
      </w:r>
      <w:r>
        <w:t xml:space="preserve">delta binning is replaced by per-vehicle-normalised 90th-percentile</w:t>
      </w:r>
      <w:r>
        <w:t xml:space="preserve"> </w:t>
      </w:r>
      <w:r>
        <w:t xml:space="preserve">binning.</w:t>
      </w:r>
    </w:p>
    <w:p>
      <w:pPr>
        <w:pStyle w:val="BodyText"/>
      </w:pPr>
      <w:r>
        <w:t xml:space="preserve">To determine whether the SCANIA gap is representation-loss (tokens</w:t>
      </w:r>
      <w:r>
        <w:t xml:space="preserve"> </w:t>
      </w:r>
      <w:r>
        <w:t xml:space="preserve">destroy signal that is actually in the trace) or signal-absence (no</w:t>
      </w:r>
      <w:r>
        <w:t xml:space="preserve"> </w:t>
      </w:r>
      <w:r>
        <w:t xml:space="preserve">representation could recover 0.75), we run a diagnostic ceiling test:</w:t>
      </w:r>
      <w:r>
        <w:t xml:space="preserve"> </w:t>
      </w:r>
      <w:r>
        <w:t xml:space="preserve">LightGBM on a compact set of histogram-aware distributional</w:t>
      </w:r>
      <w:r>
        <w:t xml:space="preserve"> </w:t>
      </w:r>
      <w:r>
        <w:t xml:space="preserve">descriptors (Wasserstein-1 distance to a per-vehicle baseline,</w:t>
      </w:r>
      <w:r>
        <w:t xml:space="preserve"> </w:t>
      </w:r>
      <w:r>
        <w:t xml:space="preserve">signed centroid shift, entropy shift, tail-mass shift, and each</w:t>
      </w:r>
      <w:r>
        <w:t xml:space="preserve"> </w:t>
      </w:r>
      <w:r>
        <w:t xml:space="preserve">descriptor’s slope over the last 20 readouts) computed on the same</w:t>
      </w:r>
      <w:r>
        <w:t xml:space="preserve"> </w:t>
      </w:r>
      <w:r>
        <w:t xml:space="preserve">temporal split. The ceiling model reaches AUROC 0.60 / AUPRC 0.04,</w:t>
      </w:r>
      <w:r>
        <w:t xml:space="preserve"> </w:t>
      </w:r>
      <w:r>
        <w:t xml:space="preserve">essentially identical to the pattern-mining pipeline. Logistic</w:t>
      </w:r>
      <w:r>
        <w:t xml:space="preserve"> </w:t>
      </w:r>
      <w:r>
        <w:t xml:space="preserve">regression on the same 113 structured features reaches 0.58 / 0.05.</w:t>
      </w:r>
      <w:r>
        <w:t xml:space="preserve"> </w:t>
      </w:r>
      <w:r>
        <w:t xml:space="preserve">The GBM-versus-LR gap is 0.02 AUROC, so classifier capacity is not</w:t>
      </w:r>
      <w:r>
        <w:t xml:space="preserve"> </w:t>
      </w:r>
      <w:r>
        <w:t xml:space="preserve">the constraint either. The gap between SCANIA (~0.60) and the</w:t>
      </w:r>
      <w:r>
        <w:t xml:space="preserve"> </w:t>
      </w:r>
      <w:r>
        <w:t xml:space="preserve">Azure / Alibaba positive traces (~0.80-1.00) reflects a limit of the</w:t>
      </w:r>
      <w:r>
        <w:t xml:space="preserve"> </w:t>
      </w:r>
      <w:r>
        <w:t xml:space="preserve">readout cadence and feature vocabulary, not of the pattern-mining pipeline</w:t>
      </w:r>
      <w:r>
        <w:t xml:space="preserve"> </w:t>
      </w:r>
      <w:r>
        <w:t xml:space="preserve">against a richer alternative representation.</w:t>
      </w:r>
    </w:p>
    <w:p>
      <w:pPr>
        <w:pStyle w:val="BodyText"/>
      </w:pPr>
      <w:r>
        <w:rPr>
          <w:b/>
          <w:bCs/>
        </w:rPr>
        <w:t xml:space="preserve">Positive control on same-manufacturer data.</w:t>
      </w:r>
      <w:r>
        <w:t xml:space="preserve"> </w:t>
      </w:r>
      <w:r>
        <w:t xml:space="preserve">To rule out the</w:t>
      </w:r>
      <w:r>
        <w:t xml:space="preserve"> </w:t>
      </w:r>
      <w:r>
        <w:t xml:space="preserve">alternative explanation that SCANIA-family telemetry itself lacks</w:t>
      </w:r>
      <w:r>
        <w:t xml:space="preserve"> </w:t>
      </w:r>
      <w:r>
        <w:t xml:space="preserve">predictive signal, we apply the same LightGBM ceiling test to</w:t>
      </w:r>
      <w:r>
        <w:t xml:space="preserve"> </w:t>
      </w:r>
      <w:r>
        <w:t xml:space="preserve">SCANIA APS Failure at Scania Trucks</w:t>
      </w:r>
      <w:r>
        <w:t xml:space="preserve"> </w:t>
      </w:r>
      <w:r>
        <w:t xml:space="preserve">[</w:t>
      </w:r>
      <w:hyperlink w:anchor="ref-costa2016ida">
        <w:r>
          <w:rPr>
            <w:rStyle w:val="Hyperlink"/>
          </w:rPr>
          <w:t xml:space="preserve">39</w:t>
        </w:r>
      </w:hyperlink>
      <w:r>
        <w:t xml:space="preserve">]</w:t>
      </w:r>
      <w:r>
        <w:t xml:space="preserve"> </w:t>
      </w:r>
      <w:r>
        <w:t xml:space="preserve">(UCI 421, IDA</w:t>
      </w:r>
      <w:r>
        <w:t xml:space="preserve"> </w:t>
      </w:r>
      <w:r>
        <w:t xml:space="preserve">2016 industrial challenge). APS Failure uses the same anonymised</w:t>
      </w:r>
      <w:r>
        <w:t xml:space="preserve"> </w:t>
      </w:r>
      <w:r>
        <w:t xml:space="preserve">histogram-encoded schema as Component X (7 histogram groups of 10</w:t>
      </w:r>
      <w:r>
        <w:t xml:space="preserve"> </w:t>
      </w:r>
      <w:r>
        <w:t xml:space="preserve">bins each + 100 single counters = 170 feature columns) but delivers</w:t>
      </w:r>
      <w:r>
        <w:t xml:space="preserve"> </w:t>
      </w:r>
      <w:r>
        <w:t xml:space="preserve">one per-truck cross-sectional readout instead of a longitudinal</w:t>
      </w:r>
      <w:r>
        <w:t xml:space="preserve"> </w:t>
      </w:r>
      <w:r>
        <w:t xml:space="preserve">readout stream, with a binary APS-system-failure label at a 1.67%</w:t>
      </w:r>
      <w:r>
        <w:t xml:space="preserve"> </w:t>
      </w:r>
      <w:r>
        <w:t xml:space="preserve">positive rate. On the same LightGBM configuration our Component X</w:t>
      </w:r>
      <w:r>
        <w:t xml:space="preserve"> </w:t>
      </w:r>
      <w:r>
        <w:t xml:space="preserve">ceiling used, APS Failure reaches AUROC 0.994 / AUPRC 0.934 on the</w:t>
      </w:r>
      <w:r>
        <w:t xml:space="preserve"> </w:t>
      </w:r>
      <w:r>
        <w:t xml:space="preserve">canonical held-out test split (16,000 trucks, 375 positives); LR</w:t>
      </w:r>
      <w:r>
        <w:t xml:space="preserve"> </w:t>
      </w:r>
      <w:r>
        <w:t xml:space="preserve">alone reaches 0.979 / 0.800. Same manufacturer, same anonymisation</w:t>
      </w:r>
      <w:r>
        <w:t xml:space="preserve"> </w:t>
      </w:r>
      <w:r>
        <w:t xml:space="preserve">schema, different readout format, near-perfect predictability. This</w:t>
      </w:r>
      <w:r>
        <w:t xml:space="preserve"> </w:t>
      </w:r>
      <w:r>
        <w:t xml:space="preserve">excludes</w:t>
      </w:r>
      <w:r>
        <w:t xml:space="preserve"> </w:t>
      </w:r>
      <w:r>
        <w:t xml:space="preserve">“</w:t>
      </w:r>
      <w:r>
        <w:t xml:space="preserve">SCANIA-family data is inherently weak</w:t>
      </w:r>
      <w:r>
        <w:t xml:space="preserve">”</w:t>
      </w:r>
      <w:r>
        <w:t xml:space="preserve"> </w:t>
      </w:r>
      <w:r>
        <w:t xml:space="preserve">as an explanation</w:t>
      </w:r>
      <w:r>
        <w:t xml:space="preserve"> </w:t>
      </w:r>
      <w:r>
        <w:t xml:space="preserve">for the Component X boundary.</w:t>
      </w:r>
    </w:p>
    <w:p>
      <w:pPr>
        <w:pStyle w:val="BodyText"/>
      </w:pPr>
      <w:r>
        <w:rPr>
          <w:b/>
          <w:bCs/>
        </w:rPr>
        <w:t xml:space="preserve">Root-cause diagnosis under a fair prospective landmark.</w:t>
      </w:r>
      <w:r>
        <w:t xml:space="preserve"> </w:t>
      </w:r>
      <w:r>
        <w:t xml:space="preserve">A</w:t>
      </w:r>
      <w:r>
        <w:t xml:space="preserve"> </w:t>
      </w:r>
      <w:r>
        <w:t xml:space="preserve">stratified 5-fold cross-validation on full-history aggregated</w:t>
      </w:r>
      <w:r>
        <w:t xml:space="preserve"> </w:t>
      </w:r>
      <w:r>
        <w:t xml:space="preserve">Component X features (mean / max / std / last of each of the 105</w:t>
      </w:r>
      <w:r>
        <w:t xml:space="preserve"> </w:t>
      </w:r>
      <w:r>
        <w:t xml:space="preserve">columns per vehicle) reaches AUROC 0.826, but this number is not a</w:t>
      </w:r>
      <w:r>
        <w:t xml:space="preserve"> </w:t>
      </w:r>
      <w:r>
        <w:t xml:space="preserve">prospective ceiling: full-history aggregates under random CV can leak</w:t>
      </w:r>
      <w:r>
        <w:t xml:space="preserve"> </w:t>
      </w:r>
      <w:r>
        <w:t xml:space="preserve">end-of-history and censoring information that is not available at a</w:t>
      </w:r>
      <w:r>
        <w:t xml:space="preserve"> </w:t>
      </w:r>
      <w:r>
        <w:t xml:space="preserve">prediction landmark. The fair test is a</w:t>
      </w:r>
      <w:r>
        <w:t xml:space="preserve"> </w:t>
      </w:r>
      <w:r>
        <w:rPr>
          <w:b/>
          <w:bCs/>
        </w:rPr>
        <w:t xml:space="preserve">landmarked, entity-disjoint</w:t>
      </w:r>
      <w:r>
        <w:rPr>
          <w:b/>
          <w:bCs/>
        </w:rPr>
        <w:t xml:space="preserve"> </w:t>
      </w:r>
      <w:r>
        <w:rPr>
          <w:b/>
          <w:bCs/>
        </w:rPr>
        <w:t xml:space="preserve">evaluation</w:t>
      </w:r>
      <w:r>
        <w:t xml:space="preserve"> </w:t>
      </w:r>
      <w:r>
        <w:t xml:space="preserve">in which every feature is computed strictly from the</w:t>
      </w:r>
      <w:r>
        <w:t xml:space="preserve"> </w:t>
      </w:r>
      <w:r>
        <w:t xml:space="preserve">pre-anchor risk-set window and trained and tested on disjoint vehicle</w:t>
      </w:r>
      <w:r>
        <w:t xml:space="preserve"> </w:t>
      </w:r>
      <w:r>
        <w:t xml:space="preserve">sets. Under that test no representation clears 0.75: token counts</w:t>
      </w:r>
      <w:r>
        <w:t xml:space="preserve"> </w:t>
      </w:r>
      <w:r>
        <w:t xml:space="preserve">reach AUROC 0.62, LightGBM on token counts 0.60, simple counts 0.54,</w:t>
      </w:r>
      <w:r>
        <w:t xml:space="preserve"> </w:t>
      </w:r>
      <w:r>
        <w:t xml:space="preserve">and the significant pattern features 0.51. Even a richer descriptor</w:t>
      </w:r>
      <w:r>
        <w:t xml:space="preserve"> </w:t>
      </w:r>
      <w:r>
        <w:t xml:space="preserve">model at the honest landmark stays near 0.60, matching the last-K</w:t>
      </w:r>
      <w:r>
        <w:t xml:space="preserve"> </w:t>
      </w:r>
      <w:r>
        <w:t xml:space="preserve">pattern pipeline. The conclusion is therefore that</w:t>
      </w:r>
      <w:r>
        <w:t xml:space="preserve"> </w:t>
      </w:r>
      <w:r>
        <w:rPr>
          <w:b/>
          <w:bCs/>
        </w:rPr>
        <w:t xml:space="preserve">no strong</w:t>
      </w:r>
      <w:r>
        <w:rPr>
          <w:b/>
          <w:bCs/>
        </w:rPr>
        <w:t xml:space="preserve"> </w:t>
      </w:r>
      <w:r>
        <w:rPr>
          <w:b/>
          <w:bCs/>
        </w:rPr>
        <w:t xml:space="preserve">prospective last-K trajectory signal is recoverable at Component X’s</w:t>
      </w:r>
      <w:r>
        <w:rPr>
          <w:b/>
          <w:bCs/>
        </w:rPr>
        <w:t xml:space="preserve"> </w:t>
      </w:r>
      <w:r>
        <w:rPr>
          <w:b/>
          <w:bCs/>
        </w:rPr>
        <w:t xml:space="preserve">readout cadence under the representations and landmarks tested</w:t>
      </w:r>
      <w:r>
        <w:t xml:space="preserve">; the</w:t>
      </w:r>
      <w:r>
        <w:t xml:space="preserve"> </w:t>
      </w:r>
      <w:r>
        <w:t xml:space="preserve">0.826 reflects a static per-vehicle profile that is visible across a</w:t>
      </w:r>
      <w:r>
        <w:t xml:space="preserve"> </w:t>
      </w:r>
      <w:r>
        <w:t xml:space="preserve">truck’s whole history but not at a prospective decision point.</w:t>
      </w:r>
    </w:p>
    <w:p>
      <w:pPr>
        <w:pStyle w:val="BodyText"/>
      </w:pPr>
      <w:r>
        <w:t xml:space="preserve">This gives a sharper three-way regime-of-validity: (i) four positive</w:t>
      </w:r>
      <w:r>
        <w:t xml:space="preserve"> </w:t>
      </w:r>
      <w:r>
        <w:t xml:space="preserve">traces (Kelmarsh, Penmanshiel, Azure PdM, Alibaba v2018), where target</w:t>
      </w:r>
      <w:r>
        <w:t xml:space="preserve"> </w:t>
      </w:r>
      <w:r>
        <w:t xml:space="preserve">failure is preceded by a discriminable ordered event trajectory,</w:t>
      </w:r>
      <w:r>
        <w:t xml:space="preserve"> </w:t>
      </w:r>
      <w:r>
        <w:t xml:space="preserve">with the two wind farms the cleanest physical-cascade instances;</w:t>
      </w:r>
      <w:r>
        <w:t xml:space="preserve"> </w:t>
      </w:r>
      <w:r>
        <w:t xml:space="preserve">(ii) BGL, where the target class is self-triggering with no</w:t>
      </w:r>
      <w:r>
        <w:t xml:space="preserve"> </w:t>
      </w:r>
      <w:r>
        <w:t xml:space="preserve">discriminable non-alert precursor; (iii) Component X, where the</w:t>
      </w:r>
      <w:r>
        <w:t xml:space="preserve"> </w:t>
      </w:r>
      <w:r>
        <w:t xml:space="preserve">target has strong per-truck signal in aggregate features but no</w:t>
      </w:r>
      <w:r>
        <w:t xml:space="preserve"> </w:t>
      </w:r>
      <w:r>
        <w:t xml:space="preserve">last-K-events trajectory signal, so pattern mining on windows attains</w:t>
      </w:r>
      <w:r>
        <w:t xml:space="preserve"> </w:t>
      </w:r>
      <w:r>
        <w:t xml:space="preserve">the temporal-split ceiling but not the transductive per-vehicle</w:t>
      </w:r>
      <w:r>
        <w:t xml:space="preserve"> </w:t>
      </w:r>
      <w:r>
        <w:t xml:space="preserve">ceiling. The APS positive control confirms that (iii) is a</w:t>
      </w:r>
      <w:r>
        <w:t xml:space="preserve"> </w:t>
      </w:r>
      <w:r>
        <w:t xml:space="preserve">target-shape distinction, not a manufacturer or schema deficiency.</w:t>
      </w:r>
    </w:p>
    <w:p>
      <w:pPr>
        <w:pStyle w:val="BodyText"/>
      </w:pPr>
      <w:r>
        <w:t xml:space="preserve">The method’s regime of validity is therefore</w:t>
      </w:r>
      <w:r>
        <w:t xml:space="preserve"> </w:t>
      </w:r>
      <w:r>
        <w:t xml:space="preserve">“</w:t>
      </w:r>
      <w:r>
        <w:t xml:space="preserve">trace has a rich</w:t>
      </w:r>
      <w:r>
        <w:t xml:space="preserve"> </w:t>
      </w:r>
      <w:r>
        <w:t xml:space="preserve">native discrete event vocabulary AND failure class is not</w:t>
      </w:r>
      <w:r>
        <w:t xml:space="preserve"> </w:t>
      </w:r>
      <w:r>
        <w:t xml:space="preserve">self-triggering AND readout-cadence signal capacity exceeds the</w:t>
      </w:r>
      <w:r>
        <w:t xml:space="preserve"> </w:t>
      </w:r>
      <w:r>
        <w:t xml:space="preserve">target AUROC bar</w:t>
      </w:r>
      <w:r>
        <w:t xml:space="preserve">”</w:t>
      </w:r>
      <w:r>
        <w:t xml:space="preserve">. BGL fails the second condition; SCANIA fails the</w:t>
      </w:r>
      <w:r>
        <w:t xml:space="preserve"> </w:t>
      </w:r>
      <w:r>
        <w:t xml:space="preserve">third; the two wind farms, Azure PdM, and Alibaba v2018 satisfy all</w:t>
      </w:r>
      <w:r>
        <w:t xml:space="preserve"> </w:t>
      </w:r>
      <w:r>
        <w:t xml:space="preserve">three. The wind farms are the strongest members of the positive</w:t>
      </w:r>
      <w:r>
        <w:t xml:space="preserve"> </w:t>
      </w:r>
      <w:r>
        <w:t xml:space="preserve">group because the cascade is literally physical: a mechanical wear</w:t>
      </w:r>
      <w:r>
        <w:t xml:space="preserve"> </w:t>
      </w:r>
      <w:r>
        <w:t xml:space="preserve">process generates the intermediate alarm codes that the mining</w:t>
      </w:r>
      <w:r>
        <w:t xml:space="preserve"> </w:t>
      </w:r>
      <w:r>
        <w:t xml:space="preserve">recovers.</w:t>
      </w:r>
    </w:p>
    <w:p>
      <w:pPr>
        <w:pStyle w:val="BodyText"/>
      </w:pPr>
      <w:r>
        <w:t xml:space="preserve">The two lead-time regimes in §6.11 speak to deployment. Azure inherits</w:t>
      </w:r>
      <w:r>
        <w:t xml:space="preserve"> </w:t>
      </w:r>
      <w:r>
        <w:t xml:space="preserve">a structural 24h clock from the synthetic generator and should not</w:t>
      </w:r>
      <w:r>
        <w:t xml:space="preserve"> </w:t>
      </w:r>
      <w:r>
        <w:t xml:space="preserve">be read as a real-world warning interval; Alibaba’s median 0-second</w:t>
      </w:r>
      <w:r>
        <w:t xml:space="preserve"> </w:t>
      </w:r>
      <w:r>
        <w:t xml:space="preserve">lead time is the honest one, and a per-job classifier there must be</w:t>
      </w:r>
      <w:r>
        <w:t xml:space="preserve"> </w:t>
      </w:r>
      <w:r>
        <w:t xml:space="preserve">paired with sub-second scheduling infrastructure to act on the signal</w:t>
      </w:r>
      <w:r>
        <w:t xml:space="preserve"> </w:t>
      </w:r>
      <w:r>
        <w:t xml:space="preserve">at all.</w:t>
      </w:r>
    </w:p>
    <w:bookmarkEnd w:id="64"/>
    <w:bookmarkEnd w:id="65"/>
    <w:bookmarkStart w:id="66" w:name="limitations"/>
    <w:p>
      <w:pPr>
        <w:pStyle w:val="Heading2"/>
      </w:pPr>
      <w:r>
        <w:t xml:space="preserve">8 Limitations</w:t>
      </w:r>
    </w:p>
    <w:p>
      <w:pPr>
        <w:pStyle w:val="Compact"/>
        <w:numPr>
          <w:ilvl w:val="0"/>
          <w:numId w:val="1008"/>
        </w:numPr>
      </w:pPr>
      <w:r>
        <w:t xml:space="preserve">Alibaba results are per-job, computed on</w:t>
      </w:r>
      <w:r>
        <w:t xml:space="preserve"> </w:t>
      </w:r>
      <w:r>
        <w:rPr>
          <w:rStyle w:val="VerbatimChar"/>
        </w:rPr>
        <w:t xml:space="preserve">batch_task</w:t>
      </w:r>
      <w:r>
        <w:t xml:space="preserve"> </w:t>
      </w:r>
      <w:r>
        <w:t xml:space="preserve">alone; the</w:t>
      </w:r>
      <w:r>
        <w:t xml:space="preserve"> </w:t>
      </w:r>
      <w:r>
        <w:rPr>
          <w:rStyle w:val="VerbatimChar"/>
        </w:rPr>
        <w:t xml:space="preserve">batch_instance</w:t>
      </w:r>
      <w:r>
        <w:t xml:space="preserve"> </w:t>
      </w:r>
      <w:r>
        <w:t xml:space="preserve">table (21 GB compressed) that would enable</w:t>
      </w:r>
      <w:r>
        <w:t xml:space="preserve"> </w:t>
      </w:r>
      <w:r>
        <w:t xml:space="preserve">per-machine failure trajectories on the same trace is left to</w:t>
      </w:r>
      <w:r>
        <w:t xml:space="preserve"> </w:t>
      </w:r>
      <w:r>
        <w:t xml:space="preserve">future work.</w:t>
      </w:r>
    </w:p>
    <w:p>
      <w:pPr>
        <w:pStyle w:val="Compact"/>
        <w:numPr>
          <w:ilvl w:val="0"/>
          <w:numId w:val="1008"/>
        </w:numPr>
      </w:pPr>
      <w:r>
        <w:t xml:space="preserve">Alibaba sequence patterns are numerically fewer than Azure ones</w:t>
      </w:r>
      <w:r>
        <w:t xml:space="preserve"> </w:t>
      </w:r>
      <w:r>
        <w:t xml:space="preserve">(2 to 3 per horizon surviving the within-window shuffle null,</w:t>
      </w:r>
      <w:r>
        <w:t xml:space="preserve"> </w:t>
      </w:r>
      <w:r>
        <w:t xml:space="preserve">versus 6 to 62 on Azure). A wider minimum support sweep and top-K</w:t>
      </w:r>
      <w:r>
        <w:t xml:space="preserve"> </w:t>
      </w:r>
      <w:r>
        <w:t xml:space="preserve">sequence mining would sharpen the Alibaba sequence-mining slice</w:t>
      </w:r>
      <w:r>
        <w:t xml:space="preserve"> </w:t>
      </w:r>
      <w:r>
        <w:t xml:space="preserve">specifically.</w:t>
      </w:r>
    </w:p>
    <w:p>
      <w:pPr>
        <w:pStyle w:val="Compact"/>
        <w:numPr>
          <w:ilvl w:val="0"/>
          <w:numId w:val="1008"/>
        </w:numPr>
      </w:pPr>
      <w:r>
        <w:t xml:space="preserve">The minimum support sensitivity sweep covers itemset support;</w:t>
      </w:r>
      <w:r>
        <w:t xml:space="preserve"> </w:t>
      </w:r>
      <w:r>
        <w:t xml:space="preserve">regularization strength and cross-machine / cross-job</w:t>
      </w:r>
      <w:r>
        <w:t xml:space="preserve"> </w:t>
      </w:r>
      <w:r>
        <w:t xml:space="preserve">leave-one-out are the next robustness questions.</w:t>
      </w:r>
    </w:p>
    <w:p>
      <w:pPr>
        <w:pStyle w:val="Compact"/>
        <w:numPr>
          <w:ilvl w:val="0"/>
          <w:numId w:val="1008"/>
        </w:numPr>
      </w:pPr>
      <w:r>
        <w:t xml:space="preserve">Azure lead times are set by the synthetic data generator and</w:t>
      </w:r>
      <w:r>
        <w:t xml:space="preserve"> </w:t>
      </w:r>
      <w:r>
        <w:t xml:space="preserve">describe dataset construction rather than real-world warning</w:t>
      </w:r>
      <w:r>
        <w:t xml:space="preserve"> </w:t>
      </w:r>
      <w:r>
        <w:t xml:space="preserve">intervals. Alibaba lead times are the operationally-honest number</w:t>
      </w:r>
      <w:r>
        <w:t xml:space="preserve"> </w:t>
      </w:r>
      <w:r>
        <w:t xml:space="preserve">from a real trace.</w:t>
      </w:r>
    </w:p>
    <w:p>
      <w:pPr>
        <w:pStyle w:val="Compact"/>
        <w:numPr>
          <w:ilvl w:val="0"/>
          <w:numId w:val="1008"/>
        </w:numPr>
      </w:pPr>
      <w:r>
        <w:t xml:space="preserve">SCANIA binning uses per-vehicle 90th-percentile deltas; a stronger</w:t>
      </w:r>
      <w:r>
        <w:t xml:space="preserve"> </w:t>
      </w:r>
      <w:r>
        <w:t xml:space="preserve">alternative representation (Wasserstein-1 distance to vehicle</w:t>
      </w:r>
      <w:r>
        <w:t xml:space="preserve"> </w:t>
      </w:r>
      <w:r>
        <w:t xml:space="preserve">baseline, centroid shift, entropy and tail-mass changes per</w:t>
      </w:r>
      <w:r>
        <w:t xml:space="preserve"> </w:t>
      </w:r>
      <w:r>
        <w:t xml:space="preserve">histogram feature) was also tested via a LightGBM ceiling</w:t>
      </w:r>
      <w:r>
        <w:t xml:space="preserve"> </w:t>
      </w:r>
      <w:r>
        <w:t xml:space="preserve">diagnostic and reached the same AUROC 0.60. The signal at this</w:t>
      </w:r>
      <w:r>
        <w:t xml:space="preserve"> </w:t>
      </w:r>
      <w:r>
        <w:t xml:space="preserve">readout cadence is insufficient to reach the 0.75 bar under any</w:t>
      </w:r>
      <w:r>
        <w:t xml:space="preserve"> </w:t>
      </w:r>
      <w:r>
        <w:t xml:space="preserve">representation we tested; scoping SCANIA as a boundary case</w:t>
      </w:r>
      <w:r>
        <w:t xml:space="preserve"> </w:t>
      </w:r>
      <w:r>
        <w:t xml:space="preserve">reflects that finding.</w:t>
      </w:r>
    </w:p>
    <w:p>
      <w:pPr>
        <w:pStyle w:val="FirstParagraph"/>
      </w:pPr>
      <w:r>
        <w:t xml:space="preserve">Scope of the statistical guarantees. The discovery/inference split is</w:t>
      </w:r>
      <w:r>
        <w:t xml:space="preserve"> </w:t>
      </w:r>
      <w:r>
        <w:t xml:space="preserve">a single seeded partition; the reported fractions are point estimates</w:t>
      </w:r>
      <w:r>
        <w:t xml:space="preserve"> </w:t>
      </w:r>
      <w:r>
        <w:t xml:space="preserve">under that partition, and the fixed seed policy is stated in §9. FDR</w:t>
      </w:r>
      <w:r>
        <w:t xml:space="preserve"> </w:t>
      </w:r>
      <w:r>
        <w:t xml:space="preserve">is controlled within each (horizon, pattern-class) family, so a</w:t>
      </w:r>
      <w:r>
        <w:t xml:space="preserve"> </w:t>
      </w:r>
      <w:r>
        <w:t xml:space="preserve">reader comparing significant fractions across horizons is reading</w:t>
      </w:r>
      <w:r>
        <w:t xml:space="preserve"> </w:t>
      </w:r>
      <w:r>
        <w:t xml:space="preserve">several families rather than one corrected sweep. The inference-half</w:t>
      </w:r>
      <w:r>
        <w:t xml:space="preserve"> </w:t>
      </w:r>
      <w:r>
        <w:t xml:space="preserve">lift is bounded above by (n_case + n_ctrl) / n_case of the inference</w:t>
      </w:r>
      <w:r>
        <w:t xml:space="preserve"> </w:t>
      </w:r>
      <w:r>
        <w:t xml:space="preserve">half, which equals 4.00 under exact 1:3 matching (and is marginally</w:t>
      </w:r>
      <w:r>
        <w:t xml:space="preserve"> </w:t>
      </w:r>
      <w:r>
        <w:t xml:space="preserve">above 4.0 where the entity-disjoint split deviates from 1:3, as on</w:t>
      </w:r>
      <w:r>
        <w:t xml:space="preserve"> </w:t>
      </w:r>
      <w:r>
        <w:t xml:space="preserve">Alibaba); a lift at this ceiling denotes a pattern present in failure</w:t>
      </w:r>
      <w:r>
        <w:t xml:space="preserve"> </w:t>
      </w:r>
      <w:r>
        <w:t xml:space="preserve">windows and absent from every matched control, not an unbounded</w:t>
      </w:r>
      <w:r>
        <w:t xml:space="preserve"> </w:t>
      </w:r>
      <w:r>
        <w:t xml:space="preserve">effect size. The</w:t>
      </w:r>
      <w:r>
        <w:t xml:space="preserve"> </w:t>
      </w:r>
      <w:r>
        <w:t xml:space="preserve">cross-farm replication is cross-site and cross-model (MM92 vs MM82)</w:t>
      </w:r>
      <w:r>
        <w:t xml:space="preserve"> </w:t>
      </w:r>
      <w:r>
        <w:t xml:space="preserve">but within one vendor’s alarm firmware (Senvion), so it establishes</w:t>
      </w:r>
      <w:r>
        <w:t xml:space="preserve"> </w:t>
      </w:r>
      <w:r>
        <w:t xml:space="preserve">transfer across turbine model and site rather than across alarm</w:t>
      </w:r>
      <w:r>
        <w:t xml:space="preserve"> </w:t>
      </w:r>
      <w:r>
        <w:t xml:space="preserve">vocabularies. The Penmanshiel window covers the site’s 2016</w:t>
      </w:r>
      <w:r>
        <w:t xml:space="preserve"> </w:t>
      </w:r>
      <w:r>
        <w:t xml:space="preserve">commissioning phase, which the safety-system 9000/9210 family</w:t>
      </w:r>
      <w:r>
        <w:t xml:space="preserve"> </w:t>
      </w:r>
      <w:r>
        <w:t xml:space="preserve">reflects. The operational base rate of 0.01 used for the calibrated</w:t>
      </w:r>
      <w:r>
        <w:t xml:space="preserve"> </w:t>
      </w:r>
      <w:r>
        <w:t xml:space="preserve">PPV in §6.6 is an assumed deployment prior, not a measured fleet</w:t>
      </w:r>
      <w:r>
        <w:t xml:space="preserve"> </w:t>
      </w:r>
      <w:r>
        <w:t xml:space="preserve">rate, and the PPV scales with it.</w:t>
      </w:r>
    </w:p>
    <w:bookmarkEnd w:id="66"/>
    <w:bookmarkStart w:id="67" w:name="reproducibility"/>
    <w:p>
      <w:pPr>
        <w:pStyle w:val="Heading2"/>
      </w:pPr>
      <w:r>
        <w:t xml:space="preserve">9 Reproducibility</w:t>
      </w:r>
    </w:p>
    <w:p>
      <w:pPr>
        <w:pStyle w:val="FirstParagraph"/>
      </w:pPr>
      <w:r>
        <w:t xml:space="preserve">All code, mined-pattern parquets, discovery/inference splits, matched</w:t>
      </w:r>
      <w:r>
        <w:t xml:space="preserve"> </w:t>
      </w:r>
      <w:r>
        <w:t xml:space="preserve">hazard-ratio outputs, and end-to-end reproduction scripts are</w:t>
      </w:r>
      <w:r>
        <w:t xml:space="preserve"> </w:t>
      </w:r>
      <w:r>
        <w:t xml:space="preserve">released at the paper’s GitHub repository</w:t>
      </w:r>
      <w:r>
        <w:t xml:space="preserve"> </w:t>
      </w:r>
      <w:r>
        <w:t xml:space="preserve">(https://github.com/ApartsinProjects/FailurePatterns) with the</w:t>
      </w:r>
      <w:r>
        <w:t xml:space="preserve"> </w:t>
      </w:r>
      <w:r>
        <w:t xml:space="preserve">rendered manuscript hosted at</w:t>
      </w:r>
      <w:r>
        <w:t xml:space="preserve"> </w:t>
      </w:r>
      <w:r>
        <w:t xml:space="preserve">https://apartsinprojects.github.io/FailurePatterns/. The repository</w:t>
      </w:r>
      <w:r>
        <w:t xml:space="preserve"> </w:t>
      </w:r>
      <w:r>
        <w:t xml:space="preserve">carries: (i) per-dataset ingest scripts referencing the exact public</w:t>
      </w:r>
      <w:r>
        <w:t xml:space="preserve"> </w:t>
      </w:r>
      <w:r>
        <w:t xml:space="preserve">sources for Azure PdM (Kaggle mirror), Alibaba cluster-trace-v2018</w:t>
      </w:r>
      <w:r>
        <w:t xml:space="preserve"> </w:t>
      </w:r>
      <w:r>
        <w:t xml:space="preserve">(Alibaba OSS</w:t>
      </w:r>
      <w:r>
        <w:t xml:space="preserve"> </w:t>
      </w:r>
      <w:r>
        <w:rPr>
          <w:rStyle w:val="VerbatimChar"/>
        </w:rPr>
        <w:t xml:space="preserve">batch_task.tar.gz</w:t>
      </w:r>
      <w:r>
        <w:t xml:space="preserve">, ~130 MB), BGL (Loghub Zenodo</w:t>
      </w:r>
      <w:r>
        <w:t xml:space="preserve"> </w:t>
      </w:r>
      <w:r>
        <w:rPr>
          <w:rStyle w:val="VerbatimChar"/>
        </w:rPr>
        <w:t xml:space="preserve">8196385/BGL.zip</w:t>
      </w:r>
      <w:r>
        <w:t xml:space="preserve">, ~55 MB), SCANIA Component X (Swedish National</w:t>
      </w:r>
      <w:r>
        <w:t xml:space="preserve"> </w:t>
      </w:r>
      <w:r>
        <w:t xml:space="preserve">Data Service DOI</w:t>
      </w:r>
      <w:r>
        <w:t xml:space="preserve"> </w:t>
      </w:r>
      <w:r>
        <w:rPr>
          <w:rStyle w:val="VerbatimChar"/>
        </w:rPr>
        <w:t xml:space="preserve">10.5878/jvb5-d390</w:t>
      </w:r>
      <w:r>
        <w:t xml:space="preserve">, CC-BY-4.0), Kelmarsh</w:t>
      </w:r>
      <w:r>
        <w:t xml:space="preserve"> </w:t>
      </w:r>
      <w:r>
        <w:t xml:space="preserve">(Zenodo</w:t>
      </w:r>
      <w:r>
        <w:t xml:space="preserve"> </w:t>
      </w:r>
      <w:r>
        <w:rPr>
          <w:rStyle w:val="VerbatimChar"/>
        </w:rPr>
        <w:t xml:space="preserve">10.5281/zenodo.5841834</w:t>
      </w:r>
      <w:r>
        <w:t xml:space="preserve">, CC-BY-4.0) and Penmanshiel</w:t>
      </w:r>
      <w:r>
        <w:t xml:space="preserve"> </w:t>
      </w:r>
      <w:r>
        <w:t xml:space="preserve">(Zenodo</w:t>
      </w:r>
      <w:r>
        <w:t xml:space="preserve"> </w:t>
      </w:r>
      <w:r>
        <w:rPr>
          <w:rStyle w:val="VerbatimChar"/>
        </w:rPr>
        <w:t xml:space="preserve">10.5281/zenodo.5946808</w:t>
      </w:r>
      <w:r>
        <w:t xml:space="preserve">, CC-BY-4.0) SCADA status logs;</w:t>
      </w:r>
      <w:r>
        <w:t xml:space="preserve"> </w:t>
      </w:r>
      <w:r>
        <w:t xml:space="preserve">(ii) window</w:t>
      </w:r>
      <w:r>
        <w:t xml:space="preserve"> </w:t>
      </w:r>
      <w:r>
        <w:t xml:space="preserve">construction, mining (mlxtend FP-Growth 0.25.0 for itemsets, SPMF</w:t>
      </w:r>
      <w:r>
        <w:t xml:space="preserve"> </w:t>
      </w:r>
      <w:r>
        <w:t xml:space="preserve">2.64 via subprocess for PrefixSpan sequences), scoring, discovery/</w:t>
      </w:r>
      <w:r>
        <w:t xml:space="preserve"> </w:t>
      </w:r>
      <w:r>
        <w:t xml:space="preserve">inference splitting, and matched conditional-logistic scripts;</w:t>
      </w:r>
      <w:r>
        <w:t xml:space="preserve"> </w:t>
      </w:r>
      <w:r>
        <w:t xml:space="preserve">(iii) all reported numbers programmatically verified by</w:t>
      </w:r>
      <w:r>
        <w:t xml:space="preserve"> </w:t>
      </w:r>
      <w:r>
        <w:rPr>
          <w:rStyle w:val="VerbatimChar"/>
        </w:rPr>
        <w:t xml:space="preserve">scripts/audit_paper_numbers.py</w:t>
      </w:r>
      <w:r>
        <w:t xml:space="preserve"> </w:t>
      </w:r>
      <w:r>
        <w:t xml:space="preserve">against the artefact JSON/parquet</w:t>
      </w:r>
      <w:r>
        <w:t xml:space="preserve"> </w:t>
      </w:r>
      <w:r>
        <w:t xml:space="preserve">files (numbers audit: 100% of claims pass at last release); (iv)</w:t>
      </w:r>
      <w:r>
        <w:t xml:space="preserve"> </w:t>
      </w:r>
      <w:r>
        <w:rPr>
          <w:rStyle w:val="VerbatimChar"/>
        </w:rPr>
        <w:t xml:space="preserve">scripts/publish_paper.sh</w:t>
      </w:r>
      <w:r>
        <w:t xml:space="preserve"> </w:t>
      </w:r>
      <w:r>
        <w:t xml:space="preserve">regenerates the manuscript HTML and DOCX</w:t>
      </w:r>
      <w:r>
        <w:t xml:space="preserve"> </w:t>
      </w:r>
      <w:r>
        <w:t xml:space="preserve">from Markdown source with pandoc + citeproc + the bibliography, and</w:t>
      </w:r>
      <w:r>
        <w:t xml:space="preserve"> </w:t>
      </w:r>
      <w:r>
        <w:t xml:space="preserve">copies the HTML into</w:t>
      </w:r>
      <w:r>
        <w:t xml:space="preserve"> </w:t>
      </w:r>
      <w:r>
        <w:rPr>
          <w:rStyle w:val="VerbatimChar"/>
        </w:rPr>
        <w:t xml:space="preserve">docs/index.html</w:t>
      </w:r>
      <w:r>
        <w:t xml:space="preserve"> </w:t>
      </w:r>
      <w:r>
        <w:t xml:space="preserve">for GitHub Pages.</w:t>
      </w:r>
    </w:p>
    <w:p>
      <w:pPr>
        <w:pStyle w:val="BodyText"/>
      </w:pPr>
      <w:r>
        <w:t xml:space="preserve">Python 3.14 pinned via</w:t>
      </w:r>
      <w:r>
        <w:t xml:space="preserve"> </w:t>
      </w:r>
      <w:r>
        <w:rPr>
          <w:rStyle w:val="VerbatimChar"/>
        </w:rPr>
        <w:t xml:space="preserve">requirements.txt</w:t>
      </w:r>
      <w:r>
        <w:t xml:space="preserve">; Java 21 required for</w:t>
      </w:r>
      <w:r>
        <w:t xml:space="preserve"> </w:t>
      </w:r>
      <w:r>
        <w:t xml:space="preserve">SPMF invocation. Random seeds fixed at 20260828 for every stochastic</w:t>
      </w:r>
      <w:r>
        <w:t xml:space="preserve"> </w:t>
      </w:r>
      <w:r>
        <w:t xml:space="preserve">step (discovery/inference split, control sampling, permutation</w:t>
      </w:r>
      <w:r>
        <w:t xml:space="preserve"> </w:t>
      </w:r>
      <w:r>
        <w:t xml:space="preserve">tests, LightGBM). Wall-clock, directly measured by</w:t>
      </w:r>
      <w:r>
        <w:t xml:space="preserve"> </w:t>
      </w:r>
      <w:r>
        <w:rPr>
          <w:rStyle w:val="VerbatimChar"/>
        </w:rPr>
        <w:t xml:space="preserve">scripts/measure_reproducibility_walltime.py</w:t>
      </w:r>
      <w:r>
        <w:t xml:space="preserve"> </w:t>
      </w:r>
      <w:r>
        <w:t xml:space="preserve">and saved to</w:t>
      </w:r>
      <w:r>
        <w:t xml:space="preserve"> </w:t>
      </w:r>
      <w:r>
        <w:rPr>
          <w:rStyle w:val="VerbatimChar"/>
        </w:rPr>
        <w:t xml:space="preserve">results/patterns/reproducibility_timing.json</w:t>
      </w:r>
      <w:r>
        <w:t xml:space="preserve">:</w:t>
      </w:r>
      <w:r>
        <w:t xml:space="preserve"> </w:t>
      </w:r>
      <w:r>
        <w:rPr>
          <w:b/>
          <w:bCs/>
        </w:rPr>
        <w:t xml:space="preserve">the downstream</w:t>
      </w:r>
      <w:r>
        <w:rPr>
          <w:b/>
          <w:bCs/>
        </w:rPr>
        <w:t xml:space="preserve"> </w:t>
      </w:r>
      <w:r>
        <w:rPr>
          <w:b/>
          <w:bCs/>
        </w:rPr>
        <w:t xml:space="preserve">pipeline (itemset mining, sequence mining, post-selection split,</w:t>
      </w:r>
      <w:r>
        <w:rPr>
          <w:b/>
          <w:bCs/>
        </w:rPr>
        <w:t xml:space="preserve"> </w:t>
      </w:r>
      <w:r>
        <w:rPr>
          <w:b/>
          <w:bCs/>
        </w:rPr>
        <w:t xml:space="preserve">matched conditional logistic, closed-sequence CloSpan, wind-farm</w:t>
      </w:r>
      <w:r>
        <w:rPr>
          <w:b/>
          <w:bCs/>
        </w:rPr>
        <w:t xml:space="preserve"> </w:t>
      </w:r>
      <w:r>
        <w:rPr>
          <w:b/>
          <w:bCs/>
        </w:rPr>
        <w:t xml:space="preserve">signature extraction) totals 36.9 minutes on a single Windows CPU-</w:t>
      </w:r>
      <w:r>
        <w:rPr>
          <w:b/>
          <w:bCs/>
        </w:rPr>
        <w:t xml:space="preserve"> </w:t>
      </w:r>
      <w:r>
        <w:rPr>
          <w:b/>
          <w:bCs/>
        </w:rPr>
        <w:t xml:space="preserve">only workstation</w:t>
      </w:r>
      <w:r>
        <w:t xml:space="preserve"> </w:t>
      </w:r>
      <w:r>
        <w:t xml:space="preserve">across all six traces. SCANIA itemset mining is</w:t>
      </w:r>
      <w:r>
        <w:t xml:space="preserve"> </w:t>
      </w:r>
      <w:r>
        <w:t xml:space="preserve">the dominant single stage at 26.2 minutes (</w:t>
      </w:r>
      <w:r>
        <w:rPr>
          <w:rStyle w:val="VerbatimChar"/>
        </w:rPr>
        <w:t xml:space="preserve">counter_surprise</w:t>
      </w:r>
      <w:r>
        <w:t xml:space="preserve"> </w:t>
      </w:r>
      <w:r>
        <w:t xml:space="preserve">event</w:t>
      </w:r>
      <w:r>
        <w:t xml:space="preserve"> </w:t>
      </w:r>
      <w:r>
        <w:t xml:space="preserve">stream, 27,264 windows and 46k candidate itemsets); the two wind-farm</w:t>
      </w:r>
      <w:r>
        <w:t xml:space="preserve"> </w:t>
      </w:r>
      <w:r>
        <w:t xml:space="preserve">signature runs together take 8.6 seconds. Raw-trace download and</w:t>
      </w:r>
      <w:r>
        <w:t xml:space="preserve"> </w:t>
      </w:r>
      <w:r>
        <w:t xml:space="preserve">initial window construction are one-time steps documented in the</w:t>
      </w:r>
      <w:r>
        <w:t xml:space="preserve"> </w:t>
      </w:r>
      <w:r>
        <w:rPr>
          <w:rStyle w:val="VerbatimChar"/>
        </w:rPr>
        <w:t xml:space="preserve">ingest_*.json</w:t>
      </w:r>
      <w:r>
        <w:t xml:space="preserve"> </w:t>
      </w:r>
      <w:r>
        <w:t xml:space="preserve">artefacts and excluded from this number.</w:t>
      </w:r>
    </w:p>
    <w:p>
      <w:pPr>
        <w:pStyle w:val="BodyText"/>
      </w:pPr>
      <w:r>
        <w:t xml:space="preserve">Data availability and ethics. All six datasets are public and openly</w:t>
      </w:r>
      <w:r>
        <w:t xml:space="preserve"> </w:t>
      </w:r>
      <w:r>
        <w:t xml:space="preserve">licensed (the four cited above under CC-BY-4.0, plus the Azure PdM</w:t>
      </w:r>
      <w:r>
        <w:t xml:space="preserve"> </w:t>
      </w:r>
      <w:r>
        <w:t xml:space="preserve">sample and Alibaba cluster-trace-v2018 under their respective public</w:t>
      </w:r>
      <w:r>
        <w:t xml:space="preserve"> </w:t>
      </w:r>
      <w:r>
        <w:t xml:space="preserve">terms); the paper introduces no new data collection. None of the</w:t>
      </w:r>
      <w:r>
        <w:t xml:space="preserve"> </w:t>
      </w:r>
      <w:r>
        <w:t xml:space="preserve">traces contains personal or human-subject data: they are machine</w:t>
      </w:r>
      <w:r>
        <w:t xml:space="preserve"> </w:t>
      </w:r>
      <w:r>
        <w:t xml:space="preserve">telemetry, cluster job logs, HPC syslogs, and industrial alarm codes.</w:t>
      </w:r>
      <w:r>
        <w:t xml:space="preserve"> </w:t>
      </w:r>
      <w:r>
        <w:t xml:space="preserve">The derived event streams, windows, mined patterns, and all result</w:t>
      </w:r>
      <w:r>
        <w:t xml:space="preserve"> </w:t>
      </w:r>
      <w:r>
        <w:t xml:space="preserve">artefacts are released in the repository under the same open terms.</w:t>
      </w:r>
    </w:p>
    <w:bookmarkEnd w:id="67"/>
    <w:bookmarkStart w:id="68" w:name="conclusion"/>
    <w:p>
      <w:pPr>
        <w:pStyle w:val="Heading2"/>
      </w:pPr>
      <w:r>
        <w:t xml:space="preserve">10 Conclusion</w:t>
      </w:r>
    </w:p>
    <w:p>
      <w:pPr>
        <w:pStyle w:val="FirstParagraph"/>
      </w:pPr>
      <w:r>
        <w:t xml:space="preserve">Frequent-pattern mining of discrete operational events surfaces</w:t>
      </w:r>
      <w:r>
        <w:t xml:space="preserve"> </w:t>
      </w:r>
      <w:r>
        <w:t xml:space="preserve">interpretable pre-failure signatures on four of six traces studied.</w:t>
      </w:r>
      <w:r>
        <w:t xml:space="preserve"> </w:t>
      </w:r>
      <w:r>
        <w:t xml:space="preserve">The cleanest evidence is a physical cascade replicated across two</w:t>
      </w:r>
      <w:r>
        <w:t xml:space="preserve"> </w:t>
      </w:r>
      <w:r>
        <w:t xml:space="preserve">independent Senvion wind farms: on Kelmarsh and Penmanshiel, mining</w:t>
      </w:r>
      <w:r>
        <w:t xml:space="preserve"> </w:t>
      </w:r>
      <w:r>
        <w:t xml:space="preserve">recovers zero-control cascade signatures at inference-half lift 4.00,</w:t>
      </w:r>
      <w:r>
        <w:t xml:space="preserve"> </w:t>
      </w:r>
      <w:r>
        <w:t xml:space="preserve">where a mechanical wear process generates the intermediate alarm</w:t>
      </w:r>
      <w:r>
        <w:t xml:space="preserve"> </w:t>
      </w:r>
      <w:r>
        <w:t xml:space="preserve">codes that terminate as Forced outages, and the mined-itemset rule</w:t>
      </w:r>
      <w:r>
        <w:t xml:space="preserve"> </w:t>
      </w:r>
      <w:r>
        <w:t xml:space="preserve">strictly dominates a most-recent-event baseline. On the two cloud /</w:t>
      </w:r>
      <w:r>
        <w:t xml:space="preserve"> </w:t>
      </w:r>
      <w:r>
        <w:t xml:space="preserve">maintenance traces (Azure PdM, Alibaba v2018), the sequence</w:t>
      </w:r>
      <w:r>
        <w:t xml:space="preserve"> </w:t>
      </w:r>
      <w:r>
        <w:t xml:space="preserve">representation adds predictive information beyond binary itemsets, but</w:t>
      </w:r>
      <w:r>
        <w:t xml:space="preserve"> </w:t>
      </w:r>
      <w:r>
        <w:t xml:space="preserve">for different reasons: on Azure the count-preserving null shows a</w:t>
      </w:r>
      <w:r>
        <w:t xml:space="preserve"> </w:t>
      </w:r>
      <w:r>
        <w:t xml:space="preserve">genuine ordering effect, whereas on Alibaba it is event multiplicity</w:t>
      </w:r>
      <w:r>
        <w:t xml:space="preserve"> </w:t>
      </w:r>
      <w:r>
        <w:t xml:space="preserve">and a short leading prefix, not exact order, that carries the signal.</w:t>
      </w:r>
      <w:r>
        <w:t xml:space="preserve"> </w:t>
      </w:r>
      <w:r>
        <w:t xml:space="preserve">Combining itemset and sequence features improves failure prediction</w:t>
      </w:r>
      <w:r>
        <w:t xml:space="preserve"> </w:t>
      </w:r>
      <w:r>
        <w:t xml:space="preserve">by 3-10 AUROC points over either alone at the rich horizons. The method’s</w:t>
      </w:r>
      <w:r>
        <w:t xml:space="preserve"> </w:t>
      </w:r>
      <w:r>
        <w:t xml:space="preserve">regime of validity is mapped by two boundary traces (BGL, SCANIA)</w:t>
      </w:r>
      <w:r>
        <w:t xml:space="preserve"> </w:t>
      </w:r>
      <w:r>
        <w:t xml:space="preserve">where the pipeline does not find last-K-events signal, with a</w:t>
      </w:r>
      <w:r>
        <w:t xml:space="preserve"> </w:t>
      </w:r>
      <w:r>
        <w:t xml:space="preserve">mechanistic explanation for each, and by a matched conditional-</w:t>
      </w:r>
      <w:r>
        <w:t xml:space="preserve"> </w:t>
      </w:r>
      <w:r>
        <w:t xml:space="preserve">logistic analysis that recovers interpretable per-truck hazard</w:t>
      </w:r>
      <w:r>
        <w:t xml:space="preserve"> </w:t>
      </w:r>
      <w:r>
        <w:t xml:space="preserve">ratios on SCANIA under right censoring.</w:t>
      </w:r>
    </w:p>
    <w:bookmarkEnd w:id="68"/>
    <w:bookmarkStart w:id="172" w:name="references"/>
    <w:p>
      <w:pPr>
        <w:pStyle w:val="Heading2"/>
      </w:pPr>
      <w:r>
        <w:t xml:space="preserve">References</w:t>
      </w:r>
    </w:p>
    <w:bookmarkStart w:id="171" w:name="refs"/>
    <w:bookmarkStart w:id="69" w:name="ref-agrawal1994fast"/>
    <w:p>
      <w:pPr>
        <w:pStyle w:val="Bibliography"/>
      </w:pPr>
      <w:r>
        <w:t xml:space="preserve">1.</w:t>
      </w:r>
      <w:r>
        <w:t xml:space="preserve"> </w:t>
      </w:r>
      <w:r>
        <w:t xml:space="preserve">	</w:t>
      </w:r>
      <w:r>
        <w:t xml:space="preserve">Agrawal R, Srikant R (1994) Fast algorithms for mining association rules in large databases. In: Proceedings of the 20th international conference on very large data bases (VLDB). pp 487–499</w:t>
      </w:r>
    </w:p>
    <w:bookmarkEnd w:id="69"/>
    <w:bookmarkStart w:id="71" w:name="ref-han2000mining"/>
    <w:p>
      <w:pPr>
        <w:pStyle w:val="Bibliography"/>
      </w:pPr>
      <w:r>
        <w:t xml:space="preserve">2.</w:t>
      </w:r>
      <w:r>
        <w:t xml:space="preserve"> </w:t>
      </w:r>
      <w:r>
        <w:t xml:space="preserve">	</w:t>
      </w:r>
      <w:r>
        <w:t xml:space="preserve">Han J, Pei J, Yin Y (2000)</w:t>
      </w:r>
      <w:r>
        <w:t xml:space="preserve"> </w:t>
      </w:r>
      <w:hyperlink r:id="rId70">
        <w:r>
          <w:rPr>
            <w:rStyle w:val="Hyperlink"/>
          </w:rPr>
          <w:t xml:space="preserve">Mining frequent patterns without candidate generation</w:t>
        </w:r>
      </w:hyperlink>
      <w:r>
        <w:t xml:space="preserve">. In: Proceedings of the 2000 ACM SIGMOD international conference on management of data. pp 1–12</w:t>
      </w:r>
    </w:p>
    <w:bookmarkEnd w:id="71"/>
    <w:bookmarkStart w:id="73" w:name="ref-srikant1996gsp"/>
    <w:p>
      <w:pPr>
        <w:pStyle w:val="Bibliography"/>
      </w:pPr>
      <w:r>
        <w:t xml:space="preserve">3.</w:t>
      </w:r>
      <w:r>
        <w:t xml:space="preserve"> </w:t>
      </w:r>
      <w:r>
        <w:t xml:space="preserve">	</w:t>
      </w:r>
      <w:r>
        <w:t xml:space="preserve">Srikant R, Agrawal R (1996)</w:t>
      </w:r>
      <w:r>
        <w:t xml:space="preserve"> </w:t>
      </w:r>
      <w:hyperlink r:id="rId72">
        <w:r>
          <w:rPr>
            <w:rStyle w:val="Hyperlink"/>
          </w:rPr>
          <w:t xml:space="preserve">Mining sequential patterns: Generalizations and performance improvements</w:t>
        </w:r>
      </w:hyperlink>
      <w:r>
        <w:t xml:space="preserve">. In: Advances in database technology — EDBT 1996. Springer, pp 1–17</w:t>
      </w:r>
    </w:p>
    <w:bookmarkEnd w:id="73"/>
    <w:bookmarkStart w:id="75" w:name="ref-zaki2001spade"/>
    <w:p>
      <w:pPr>
        <w:pStyle w:val="Bibliography"/>
      </w:pPr>
      <w:r>
        <w:t xml:space="preserve">4.</w:t>
      </w:r>
      <w:r>
        <w:t xml:space="preserve"> </w:t>
      </w:r>
      <w:r>
        <w:t xml:space="preserve">	</w:t>
      </w:r>
      <w:r>
        <w:t xml:space="preserve">Zaki MJ (2001)</w:t>
      </w:r>
      <w:r>
        <w:t xml:space="preserve"> </w:t>
      </w:r>
      <w:r>
        <w:t xml:space="preserve">SPADE</w:t>
      </w:r>
      <w:r>
        <w:t xml:space="preserve">: An efficient algorithm for mining frequent sequences. Machine Learning 42:31–60.</w:t>
      </w:r>
      <w:r>
        <w:t xml:space="preserve"> </w:t>
      </w:r>
      <w:hyperlink r:id="rId74">
        <w:r>
          <w:rPr>
            <w:rStyle w:val="Hyperlink"/>
          </w:rPr>
          <w:t xml:space="preserve">https://doi.org/10.1023/A:1007652502315</w:t>
        </w:r>
      </w:hyperlink>
    </w:p>
    <w:bookmarkEnd w:id="75"/>
    <w:bookmarkStart w:id="77" w:name="ref-pei2001prefixspan"/>
    <w:p>
      <w:pPr>
        <w:pStyle w:val="Bibliography"/>
      </w:pPr>
      <w:r>
        <w:t xml:space="preserve">5.</w:t>
      </w:r>
      <w:r>
        <w:t xml:space="preserve"> </w:t>
      </w:r>
      <w:r>
        <w:t xml:space="preserve">	</w:t>
      </w:r>
      <w:r>
        <w:t xml:space="preserve">Pei J, Han J, Mortazavi-Asl B, et al (2001)</w:t>
      </w:r>
      <w:r>
        <w:t xml:space="preserve"> </w:t>
      </w:r>
      <w:hyperlink r:id="rId76">
        <w:r>
          <w:rPr>
            <w:rStyle w:val="Hyperlink"/>
          </w:rPr>
          <w:t xml:space="preserve">PrefixSpan</w:t>
        </w:r>
        <w:r>
          <w:rPr>
            <w:rStyle w:val="Hyperlink"/>
          </w:rPr>
          <w:t xml:space="preserve">: Mining sequential patterns efficiently by prefix-projected pattern growth</w:t>
        </w:r>
      </w:hyperlink>
      <w:r>
        <w:t xml:space="preserve">. In: Proceedings 17th international conference on data engineering (ICDE). pp 215–224</w:t>
      </w:r>
    </w:p>
    <w:bookmarkEnd w:id="77"/>
    <w:bookmarkStart w:id="79" w:name="ref-fournierviger2014cmspade"/>
    <w:p>
      <w:pPr>
        <w:pStyle w:val="Bibliography"/>
      </w:pPr>
      <w:r>
        <w:t xml:space="preserve">6.</w:t>
      </w:r>
      <w:r>
        <w:t xml:space="preserve"> </w:t>
      </w:r>
      <w:r>
        <w:t xml:space="preserve">	</w:t>
      </w:r>
      <w:r>
        <w:t xml:space="preserve">Fournier-Viger P, Gomariz A, Campos M, Thomas R (2014)</w:t>
      </w:r>
      <w:r>
        <w:t xml:space="preserve"> </w:t>
      </w:r>
      <w:hyperlink r:id="rId78">
        <w:r>
          <w:rPr>
            <w:rStyle w:val="Hyperlink"/>
          </w:rPr>
          <w:t xml:space="preserve">Fast vertical mining of sequential patterns using co-occurrence information</w:t>
        </w:r>
      </w:hyperlink>
      <w:r>
        <w:t xml:space="preserve">. In: Advances in knowledge discovery and data mining (PAKDD 2014). Springer, pp 40–52</w:t>
      </w:r>
    </w:p>
    <w:bookmarkEnd w:id="79"/>
    <w:bookmarkStart w:id="81" w:name="ref-fournierviger2014vmsp"/>
    <w:p>
      <w:pPr>
        <w:pStyle w:val="Bibliography"/>
      </w:pPr>
      <w:r>
        <w:t xml:space="preserve">7.</w:t>
      </w:r>
      <w:r>
        <w:t xml:space="preserve"> </w:t>
      </w:r>
      <w:r>
        <w:t xml:space="preserve">	</w:t>
      </w:r>
      <w:r>
        <w:t xml:space="preserve">Fournier-Viger P, Wu C-W, Gomariz A, Tseng VS (2014)</w:t>
      </w:r>
      <w:r>
        <w:t xml:space="preserve"> </w:t>
      </w:r>
      <w:hyperlink r:id="rId80">
        <w:r>
          <w:rPr>
            <w:rStyle w:val="Hyperlink"/>
          </w:rPr>
          <w:t xml:space="preserve">VMSP</w:t>
        </w:r>
        <w:r>
          <w:rPr>
            <w:rStyle w:val="Hyperlink"/>
          </w:rPr>
          <w:t xml:space="preserve">: Efficient vertical mining of maximal sequential patterns</w:t>
        </w:r>
      </w:hyperlink>
      <w:r>
        <w:t xml:space="preserve">. In: Advances in artificial intelligence (canadian AI 2014). Springer, pp 83–94</w:t>
      </w:r>
    </w:p>
    <w:bookmarkEnd w:id="81"/>
    <w:bookmarkStart w:id="83" w:name="ref-fournierviger2022patternmining"/>
    <w:p>
      <w:pPr>
        <w:pStyle w:val="Bibliography"/>
      </w:pPr>
      <w:r>
        <w:t xml:space="preserve">8.</w:t>
      </w:r>
      <w:r>
        <w:t xml:space="preserve"> </w:t>
      </w:r>
      <w:r>
        <w:t xml:space="preserve">	</w:t>
      </w:r>
      <w:r>
        <w:t xml:space="preserve">Fournier-Viger P, Gan W, Wu Y, et al (2022)</w:t>
      </w:r>
      <w:r>
        <w:t xml:space="preserve"> </w:t>
      </w:r>
      <w:hyperlink r:id="rId82">
        <w:r>
          <w:rPr>
            <w:rStyle w:val="Hyperlink"/>
          </w:rPr>
          <w:t xml:space="preserve">Pattern mining: Current challenges and opportunities</w:t>
        </w:r>
      </w:hyperlink>
      <w:r>
        <w:t xml:space="preserve">. In: Database systems for advanced applications (DASFAA 2022) international workshops. Springer, pp 34–49</w:t>
      </w:r>
    </w:p>
    <w:bookmarkEnd w:id="83"/>
    <w:bookmarkStart w:id="85" w:name="ref-fournier2016spmf"/>
    <w:p>
      <w:pPr>
        <w:pStyle w:val="Bibliography"/>
      </w:pPr>
      <w:r>
        <w:t xml:space="preserve">9.</w:t>
      </w:r>
      <w:r>
        <w:t xml:space="preserve"> </w:t>
      </w:r>
      <w:r>
        <w:t xml:space="preserve">	</w:t>
      </w:r>
      <w:r>
        <w:t xml:space="preserve">Fournier-Viger P, Lin JC-W, Gomariz A, et al (2016)</w:t>
      </w:r>
      <w:r>
        <w:t xml:space="preserve"> </w:t>
      </w:r>
      <w:hyperlink r:id="rId84">
        <w:r>
          <w:rPr>
            <w:rStyle w:val="Hyperlink"/>
          </w:rPr>
          <w:t xml:space="preserve">The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SPMF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open-source data mining library version 2</w:t>
        </w:r>
      </w:hyperlink>
      <w:r>
        <w:t xml:space="preserve">. In: Joint european conference on machine learning and knowledge discovery in databases (ECML PKDD). pp 36–40</w:t>
      </w:r>
    </w:p>
    <w:bookmarkEnd w:id="85"/>
    <w:bookmarkStart w:id="87" w:name="ref-raschka2018mlxtend"/>
    <w:p>
      <w:pPr>
        <w:pStyle w:val="Bibliography"/>
      </w:pPr>
      <w:r>
        <w:t xml:space="preserve">10.</w:t>
      </w:r>
      <w:r>
        <w:t xml:space="preserve"> </w:t>
      </w:r>
      <w:r>
        <w:t xml:space="preserve">	</w:t>
      </w:r>
      <w:r>
        <w:t xml:space="preserve">Raschka S (2018)</w:t>
      </w:r>
      <w:r>
        <w:t xml:space="preserve"> </w:t>
      </w:r>
      <w:r>
        <w:t xml:space="preserve">MLxtend</w:t>
      </w:r>
      <w:r>
        <w:t xml:space="preserve">: Providing machine learning and data science utilities and extensions to python scientific computing stack. Journal of Open Source Software 3:638.</w:t>
      </w:r>
      <w:r>
        <w:t xml:space="preserve"> </w:t>
      </w:r>
      <w:hyperlink r:id="rId86">
        <w:r>
          <w:rPr>
            <w:rStyle w:val="Hyperlink"/>
          </w:rPr>
          <w:t xml:space="preserve">https://doi.org/10.21105/joss.00638</w:t>
        </w:r>
      </w:hyperlink>
    </w:p>
    <w:bookmarkEnd w:id="87"/>
    <w:bookmarkStart w:id="89" w:name="ref-ren2020failure"/>
    <w:p>
      <w:pPr>
        <w:pStyle w:val="Bibliography"/>
      </w:pPr>
      <w:r>
        <w:t xml:space="preserve">11.</w:t>
      </w:r>
      <w:r>
        <w:t xml:space="preserve"> </w:t>
      </w:r>
      <w:r>
        <w:t xml:space="preserve">	</w:t>
      </w:r>
      <w:r>
        <w:t xml:space="preserve">Ren R, Li J, Yin Y, Tian S (2021)</w:t>
      </w:r>
      <w:r>
        <w:t xml:space="preserve"> </w:t>
      </w:r>
      <w:hyperlink r:id="rId88">
        <w:r>
          <w:rPr>
            <w:rStyle w:val="Hyperlink"/>
          </w:rPr>
          <w:t xml:space="preserve">Failure prediction for large-scale clusters logs via mining frequent patterns</w:t>
        </w:r>
      </w:hyperlink>
      <w:r>
        <w:t xml:space="preserve">. In: Future of information and communication conference (FICC). Springer</w:t>
      </w:r>
    </w:p>
    <w:bookmarkEnd w:id="89"/>
    <w:bookmarkStart w:id="91" w:name="ref-ifraz2024sequential"/>
    <w:p>
      <w:pPr>
        <w:pStyle w:val="Bibliography"/>
      </w:pPr>
      <w:r>
        <w:t xml:space="preserve">12.</w:t>
      </w:r>
      <w:r>
        <w:t xml:space="preserve"> </w:t>
      </w:r>
      <w:r>
        <w:t xml:space="preserve">	</w:t>
      </w:r>
      <w:r>
        <w:t xml:space="preserve">İfraz M, Ersöz S (2024) Sequential predictive maintenance and spare parts management with data mining methods: A case study in bus fleet. The Journal of Supercomputing.</w:t>
      </w:r>
      <w:r>
        <w:t xml:space="preserve"> </w:t>
      </w:r>
      <w:hyperlink r:id="rId90">
        <w:r>
          <w:rPr>
            <w:rStyle w:val="Hyperlink"/>
          </w:rPr>
          <w:t xml:space="preserve">https://doi.org/10.1007/s11227-024-06297-1</w:t>
        </w:r>
      </w:hyperlink>
    </w:p>
    <w:bookmarkEnd w:id="91"/>
    <w:bookmarkStart w:id="93" w:name="ref-hu2023priority"/>
    <w:p>
      <w:pPr>
        <w:pStyle w:val="Bibliography"/>
      </w:pPr>
      <w:r>
        <w:t xml:space="preserve">13.</w:t>
      </w:r>
      <w:r>
        <w:t xml:space="preserve"> </w:t>
      </w:r>
      <w:r>
        <w:t xml:space="preserve">	</w:t>
      </w:r>
      <w:r>
        <w:t xml:space="preserve">Hu W, Wang Z, Wang J (2023) A priority-aware sequential pattern mining method for detection of compact patterns from alarm floods. Journal of Process Control 129:103041.</w:t>
      </w:r>
      <w:r>
        <w:t xml:space="preserve"> </w:t>
      </w:r>
      <w:hyperlink r:id="rId92">
        <w:r>
          <w:rPr>
            <w:rStyle w:val="Hyperlink"/>
          </w:rPr>
          <w:t xml:space="preserve">https://doi.org/10.1016/j.jprocont.2023.103041</w:t>
        </w:r>
      </w:hyperlink>
    </w:p>
    <w:bookmarkEnd w:id="93"/>
    <w:bookmarkStart w:id="95" w:name="ref-hu2023frequent"/>
    <w:p>
      <w:pPr>
        <w:pStyle w:val="Bibliography"/>
      </w:pPr>
      <w:r>
        <w:t xml:space="preserve">14.</w:t>
      </w:r>
      <w:r>
        <w:t xml:space="preserve"> </w:t>
      </w:r>
      <w:r>
        <w:t xml:space="preserve">	</w:t>
      </w:r>
      <w:r>
        <w:t xml:space="preserve">Hu W, Gao Y, Chen X (2023) Frequent alarm pattern mining of industrial alarm flood sequences by an improved PrefixSpan algorithm. Processes 11:1169.</w:t>
      </w:r>
      <w:r>
        <w:t xml:space="preserve"> </w:t>
      </w:r>
      <w:hyperlink r:id="rId94">
        <w:r>
          <w:rPr>
            <w:rStyle w:val="Hyperlink"/>
          </w:rPr>
          <w:t xml:space="preserve">https://doi.org/10.3390/pr11041169</w:t>
        </w:r>
      </w:hyperlink>
    </w:p>
    <w:bookmarkEnd w:id="95"/>
    <w:bookmarkStart w:id="97" w:name="ref-chatterjee2022deep"/>
    <w:p>
      <w:pPr>
        <w:pStyle w:val="Bibliography"/>
      </w:pPr>
      <w:r>
        <w:t xml:space="preserve">15.</w:t>
      </w:r>
      <w:r>
        <w:t xml:space="preserve"> </w:t>
      </w:r>
      <w:r>
        <w:t xml:space="preserve">	</w:t>
      </w:r>
      <w:r>
        <w:t xml:space="preserve">Chatterjee J, Dethlefs N (2022)</w:t>
      </w:r>
      <w:r>
        <w:t xml:space="preserve"> </w:t>
      </w:r>
      <w:hyperlink r:id="rId96">
        <w:r>
          <w:rPr>
            <w:rStyle w:val="Hyperlink"/>
          </w:rPr>
          <w:t xml:space="preserve">A deep learning framework for wind turbine repair action prediction using alarm sequences and long short-term memory algorithms</w:t>
        </w:r>
      </w:hyperlink>
      <w:r>
        <w:t xml:space="preserve">. In: Artificial neural networks and machine learning (ICANN 2022), LNCS 13531. Springer</w:t>
      </w:r>
    </w:p>
    <w:bookmarkEnd w:id="97"/>
    <w:bookmarkStart w:id="99" w:name="ref-shah2025alarm"/>
    <w:p>
      <w:pPr>
        <w:pStyle w:val="Bibliography"/>
      </w:pPr>
      <w:r>
        <w:t xml:space="preserve">16.</w:t>
      </w:r>
      <w:r>
        <w:t xml:space="preserve"> </w:t>
      </w:r>
      <w:r>
        <w:t xml:space="preserve">	</w:t>
      </w:r>
      <w:r>
        <w:t xml:space="preserve">Shah SS, Tan D (2025) Early wind turbine alarm prediction based on machine learning:</w:t>
      </w:r>
      <w:r>
        <w:t xml:space="preserve"> </w:t>
      </w:r>
      <w:r>
        <w:t xml:space="preserve">AlarmForecasting</w:t>
      </w:r>
      <w:r>
        <w:t xml:space="preserve">. arXiv preprint.</w:t>
      </w:r>
      <w:r>
        <w:t xml:space="preserve"> </w:t>
      </w:r>
      <w:hyperlink r:id="rId98">
        <w:r>
          <w:rPr>
            <w:rStyle w:val="Hyperlink"/>
          </w:rPr>
          <w:t xml:space="preserve">https://doi.org/10.48550/arXiv.2510.06831</w:t>
        </w:r>
      </w:hyperlink>
    </w:p>
    <w:bookmarkEnd w:id="99"/>
    <w:bookmarkStart w:id="101" w:name="ref-dong1999emerging"/>
    <w:p>
      <w:pPr>
        <w:pStyle w:val="Bibliography"/>
      </w:pPr>
      <w:r>
        <w:t xml:space="preserve">17.</w:t>
      </w:r>
      <w:r>
        <w:t xml:space="preserve"> </w:t>
      </w:r>
      <w:r>
        <w:t xml:space="preserve">	</w:t>
      </w:r>
      <w:r>
        <w:t xml:space="preserve">Dong G, Li J (1999)</w:t>
      </w:r>
      <w:r>
        <w:t xml:space="preserve"> </w:t>
      </w:r>
      <w:hyperlink r:id="rId100">
        <w:r>
          <w:rPr>
            <w:rStyle w:val="Hyperlink"/>
          </w:rPr>
          <w:t xml:space="preserve">Efficient mining of emerging patterns: Discovering trends and differences</w:t>
        </w:r>
      </w:hyperlink>
      <w:r>
        <w:t xml:space="preserve">. In: Proceedings of the fifth ACM SIGKDD international conference on knowledge discovery and data mining (KDD). pp 43–52</w:t>
      </w:r>
    </w:p>
    <w:bookmarkEnd w:id="101"/>
    <w:bookmarkStart w:id="103" w:name="ref-bay1999contrast"/>
    <w:p>
      <w:pPr>
        <w:pStyle w:val="Bibliography"/>
      </w:pPr>
      <w:r>
        <w:t xml:space="preserve">18.</w:t>
      </w:r>
      <w:r>
        <w:t xml:space="preserve"> </w:t>
      </w:r>
      <w:r>
        <w:t xml:space="preserve">	</w:t>
      </w:r>
      <w:r>
        <w:t xml:space="preserve">Bay SD, Pazzani MJ (1999)</w:t>
      </w:r>
      <w:r>
        <w:t xml:space="preserve"> </w:t>
      </w:r>
      <w:hyperlink r:id="rId102">
        <w:r>
          <w:rPr>
            <w:rStyle w:val="Hyperlink"/>
          </w:rPr>
          <w:t xml:space="preserve">Detecting change in categorical data: Mining contrast sets</w:t>
        </w:r>
      </w:hyperlink>
      <w:r>
        <w:t xml:space="preserve">. In: Proceedings of the fifth ACM SIGKDD international conference on knowledge discovery and data mining (KDD). pp 302–306</w:t>
      </w:r>
    </w:p>
    <w:bookmarkEnd w:id="103"/>
    <w:bookmarkStart w:id="105" w:name="ref-terada2013statssp"/>
    <w:p>
      <w:pPr>
        <w:pStyle w:val="Bibliography"/>
      </w:pPr>
      <w:r>
        <w:t xml:space="preserve">19.</w:t>
      </w:r>
      <w:r>
        <w:t xml:space="preserve"> </w:t>
      </w:r>
      <w:r>
        <w:t xml:space="preserve">	</w:t>
      </w:r>
      <w:r>
        <w:t xml:space="preserve">Terada A, Okada-Hatakeyama M, Tsuda K, Sese J (2013) Statistical significance of combinatorial regulations. Proceedings of the National Academy of Sciences 110:12996–13001.</w:t>
      </w:r>
      <w:r>
        <w:t xml:space="preserve"> </w:t>
      </w:r>
      <w:hyperlink r:id="rId104">
        <w:r>
          <w:rPr>
            <w:rStyle w:val="Hyperlink"/>
          </w:rPr>
          <w:t xml:space="preserve">https://doi.org/10.1073/pnas.1302233110</w:t>
        </w:r>
      </w:hyperlink>
    </w:p>
    <w:bookmarkEnd w:id="105"/>
    <w:bookmarkStart w:id="107" w:name="ref-hamalainen2019tutorial"/>
    <w:p>
      <w:pPr>
        <w:pStyle w:val="Bibliography"/>
      </w:pPr>
      <w:r>
        <w:t xml:space="preserve">20.</w:t>
      </w:r>
      <w:r>
        <w:t xml:space="preserve"> </w:t>
      </w:r>
      <w:r>
        <w:t xml:space="preserve">	</w:t>
      </w:r>
      <w:r>
        <w:t xml:space="preserve">Hämäläinen W, Webb GI (2019) A tutorial on statistically sound pattern discovery. Data Mining and Knowledge Discovery 33:325–377.</w:t>
      </w:r>
      <w:r>
        <w:t xml:space="preserve"> </w:t>
      </w:r>
      <w:hyperlink r:id="rId106">
        <w:r>
          <w:rPr>
            <w:rStyle w:val="Hyperlink"/>
          </w:rPr>
          <w:t xml:space="preserve">https://doi.org/10.1007/s10618-018-0590-x</w:t>
        </w:r>
      </w:hyperlink>
    </w:p>
    <w:bookmarkEnd w:id="107"/>
    <w:bookmarkStart w:id="109" w:name="ref-dalleiger2022significant"/>
    <w:p>
      <w:pPr>
        <w:pStyle w:val="Bibliography"/>
      </w:pPr>
      <w:r>
        <w:t xml:space="preserve">21.</w:t>
      </w:r>
      <w:r>
        <w:t xml:space="preserve"> </w:t>
      </w:r>
      <w:r>
        <w:t xml:space="preserve">	</w:t>
      </w:r>
      <w:r>
        <w:t xml:space="preserve">Dalleiger S, Vreeken J (2022)</w:t>
      </w:r>
      <w:r>
        <w:t xml:space="preserve"> </w:t>
      </w:r>
      <w:hyperlink r:id="rId108">
        <w:r>
          <w:rPr>
            <w:rStyle w:val="Hyperlink"/>
          </w:rPr>
          <w:t xml:space="preserve">Discovering significant patterns under sequential false discovery control</w:t>
        </w:r>
      </w:hyperlink>
      <w:r>
        <w:t xml:space="preserve">. In: Proceedings of the 28th ACM SIGKDD conference on knowledge discovery and data mining (KDD ’22). ACM</w:t>
      </w:r>
    </w:p>
    <w:bookmarkEnd w:id="109"/>
    <w:bookmarkStart w:id="111" w:name="ref-pellegrina2024efficient"/>
    <w:p>
      <w:pPr>
        <w:pStyle w:val="Bibliography"/>
      </w:pPr>
      <w:r>
        <w:t xml:space="preserve">22.</w:t>
      </w:r>
      <w:r>
        <w:t xml:space="preserve"> </w:t>
      </w:r>
      <w:r>
        <w:t xml:space="preserve">	</w:t>
      </w:r>
      <w:r>
        <w:t xml:space="preserve">Pellegrina L, Vandin F (2024) Efficient discovery of significant patterns with few-shot resampling. Proceedings of the VLDB Endowment 17:</w:t>
      </w:r>
      <w:r>
        <w:t xml:space="preserve"> </w:t>
      </w:r>
      <w:hyperlink r:id="rId110">
        <w:r>
          <w:rPr>
            <w:rStyle w:val="Hyperlink"/>
          </w:rPr>
          <w:t xml:space="preserve">https://doi.org/10.14778/3675034.3675055</w:t>
        </w:r>
      </w:hyperlink>
    </w:p>
    <w:bookmarkEnd w:id="111"/>
    <w:bookmarkStart w:id="113" w:name="ref-fithian2014optimal"/>
    <w:p>
      <w:pPr>
        <w:pStyle w:val="Bibliography"/>
      </w:pPr>
      <w:r>
        <w:t xml:space="preserve">23.</w:t>
      </w:r>
      <w:r>
        <w:t xml:space="preserve"> </w:t>
      </w:r>
      <w:r>
        <w:t xml:space="preserve">	</w:t>
      </w:r>
      <w:r>
        <w:t xml:space="preserve">Fithian W, Sun D, Taylor J (2014) Optimal inference after model selection. arXiv preprint.</w:t>
      </w:r>
      <w:r>
        <w:t xml:space="preserve"> </w:t>
      </w:r>
      <w:hyperlink r:id="rId112">
        <w:r>
          <w:rPr>
            <w:rStyle w:val="Hyperlink"/>
          </w:rPr>
          <w:t xml:space="preserve">https://doi.org/10.48550/arXiv.1410.2597</w:t>
        </w:r>
      </w:hyperlink>
    </w:p>
    <w:bookmarkEnd w:id="113"/>
    <w:bookmarkStart w:id="115" w:name="ref-du2017deeplog"/>
    <w:p>
      <w:pPr>
        <w:pStyle w:val="Bibliography"/>
      </w:pPr>
      <w:r>
        <w:t xml:space="preserve">24.</w:t>
      </w:r>
      <w:r>
        <w:t xml:space="preserve"> </w:t>
      </w:r>
      <w:r>
        <w:t xml:space="preserve">	</w:t>
      </w:r>
      <w:r>
        <w:t xml:space="preserve">Du M, Li F, Zheng G, Srikumar V (2017)</w:t>
      </w:r>
      <w:r>
        <w:t xml:space="preserve"> </w:t>
      </w:r>
      <w:hyperlink r:id="rId114">
        <w:r>
          <w:rPr>
            <w:rStyle w:val="Hyperlink"/>
          </w:rPr>
          <w:t xml:space="preserve">DeepLog</w:t>
        </w:r>
        <w:r>
          <w:rPr>
            <w:rStyle w:val="Hyperlink"/>
          </w:rPr>
          <w:t xml:space="preserve">: Anomaly detection and diagnosis from system logs through deep learning</w:t>
        </w:r>
      </w:hyperlink>
      <w:r>
        <w:t xml:space="preserve">. In: Proceedings of the 2017 ACM SIGSAC conference on computer and communications security (CCS). pp 1285–1298</w:t>
      </w:r>
    </w:p>
    <w:bookmarkEnd w:id="115"/>
    <w:bookmarkStart w:id="117" w:name="ref-meng2019loganomaly"/>
    <w:p>
      <w:pPr>
        <w:pStyle w:val="Bibliography"/>
      </w:pPr>
      <w:r>
        <w:t xml:space="preserve">25.</w:t>
      </w:r>
      <w:r>
        <w:t xml:space="preserve"> </w:t>
      </w:r>
      <w:r>
        <w:t xml:space="preserve">	</w:t>
      </w:r>
      <w:r>
        <w:t xml:space="preserve">Meng W, Liu Y, Zhu Y, et al (2019)</w:t>
      </w:r>
      <w:r>
        <w:t xml:space="preserve"> </w:t>
      </w:r>
      <w:hyperlink r:id="rId116">
        <w:r>
          <w:rPr>
            <w:rStyle w:val="Hyperlink"/>
          </w:rPr>
          <w:t xml:space="preserve">LogAnomaly</w:t>
        </w:r>
        <w:r>
          <w:rPr>
            <w:rStyle w:val="Hyperlink"/>
          </w:rPr>
          <w:t xml:space="preserve">: Unsupervised detection of sequential and quantitative anomalies in unstructured logs</w:t>
        </w:r>
      </w:hyperlink>
      <w:r>
        <w:t xml:space="preserve">. In: Proceedings of the 28th international joint conference on artificial intelligence (IJCAI). pp 4739–4745</w:t>
      </w:r>
    </w:p>
    <w:bookmarkEnd w:id="117"/>
    <w:bookmarkStart w:id="119" w:name="ref-zhang2019logrobust"/>
    <w:p>
      <w:pPr>
        <w:pStyle w:val="Bibliography"/>
      </w:pPr>
      <w:r>
        <w:t xml:space="preserve">26.</w:t>
      </w:r>
      <w:r>
        <w:t xml:space="preserve"> </w:t>
      </w:r>
      <w:r>
        <w:t xml:space="preserve">	</w:t>
      </w:r>
      <w:r>
        <w:t xml:space="preserve">Zhang X, Xu Y, Lin Q, et al (2019)</w:t>
      </w:r>
      <w:r>
        <w:t xml:space="preserve"> </w:t>
      </w:r>
      <w:hyperlink r:id="rId118">
        <w:r>
          <w:rPr>
            <w:rStyle w:val="Hyperlink"/>
          </w:rPr>
          <w:t xml:space="preserve">Robust log-based anomaly detection on unstable log data</w:t>
        </w:r>
      </w:hyperlink>
      <w:r>
        <w:t xml:space="preserve">. In: Proceedings of the 27th ACM joint meeting on european software engineering conference and symposium on the foundations of software engineering (ESEC/FSE). pp 807–817</w:t>
      </w:r>
    </w:p>
    <w:bookmarkEnd w:id="119"/>
    <w:bookmarkStart w:id="121" w:name="ref-yang2021plelog"/>
    <w:p>
      <w:pPr>
        <w:pStyle w:val="Bibliography"/>
      </w:pPr>
      <w:r>
        <w:t xml:space="preserve">27.</w:t>
      </w:r>
      <w:r>
        <w:t xml:space="preserve"> </w:t>
      </w:r>
      <w:r>
        <w:t xml:space="preserve">	</w:t>
      </w:r>
      <w:r>
        <w:t xml:space="preserve">Yang L, Chen J, Wang Z, et al (2021)</w:t>
      </w:r>
      <w:r>
        <w:t xml:space="preserve"> </w:t>
      </w:r>
      <w:hyperlink r:id="rId120">
        <w:r>
          <w:rPr>
            <w:rStyle w:val="Hyperlink"/>
          </w:rPr>
          <w:t xml:space="preserve">Semi-supervised log-based anomaly detection via probabilistic label estimation</w:t>
        </w:r>
      </w:hyperlink>
      <w:r>
        <w:t xml:space="preserve">. In: Proceedings of the 43rd international conference on software engineering (ICSE). pp 1448–1460</w:t>
      </w:r>
    </w:p>
    <w:bookmarkEnd w:id="121"/>
    <w:bookmarkStart w:id="123" w:name="ref-guo2021logbert"/>
    <w:p>
      <w:pPr>
        <w:pStyle w:val="Bibliography"/>
      </w:pPr>
      <w:r>
        <w:t xml:space="preserve">28.</w:t>
      </w:r>
      <w:r>
        <w:t xml:space="preserve"> </w:t>
      </w:r>
      <w:r>
        <w:t xml:space="preserve">	</w:t>
      </w:r>
      <w:r>
        <w:t xml:space="preserve">Guo H, Yuan S, Wu X (2021)</w:t>
      </w:r>
      <w:r>
        <w:t xml:space="preserve"> </w:t>
      </w:r>
      <w:hyperlink r:id="rId122">
        <w:r>
          <w:rPr>
            <w:rStyle w:val="Hyperlink"/>
          </w:rPr>
          <w:t xml:space="preserve">LogBERT</w:t>
        </w:r>
        <w:r>
          <w:rPr>
            <w:rStyle w:val="Hyperlink"/>
          </w:rPr>
          <w:t xml:space="preserve">: Log anomaly detection via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BERT</w:t>
        </w:r>
      </w:hyperlink>
      <w:r>
        <w:t xml:space="preserve">. In: 2021 international joint conference on neural networks (IJCNN)</w:t>
      </w:r>
    </w:p>
    <w:bookmarkEnd w:id="123"/>
    <w:bookmarkStart w:id="125" w:name="ref-guo2024logformer"/>
    <w:p>
      <w:pPr>
        <w:pStyle w:val="Bibliography"/>
      </w:pPr>
      <w:r>
        <w:t xml:space="preserve">29.</w:t>
      </w:r>
      <w:r>
        <w:t xml:space="preserve"> </w:t>
      </w:r>
      <w:r>
        <w:t xml:space="preserve">	</w:t>
      </w:r>
      <w:r>
        <w:t xml:space="preserve">Guo H, Yang J, Liu J, et al (2024)</w:t>
      </w:r>
      <w:r>
        <w:t xml:space="preserve"> </w:t>
      </w:r>
      <w:r>
        <w:t xml:space="preserve">LogFormer</w:t>
      </w:r>
      <w:r>
        <w:t xml:space="preserve">: A pre-train and tuning pipeline for log anomaly detection. arXiv preprint.</w:t>
      </w:r>
      <w:r>
        <w:t xml:space="preserve"> </w:t>
      </w:r>
      <w:hyperlink r:id="rId124">
        <w:r>
          <w:rPr>
            <w:rStyle w:val="Hyperlink"/>
          </w:rPr>
          <w:t xml:space="preserve">https://doi.org/10.48550/arXiv.2401.04749</w:t>
        </w:r>
      </w:hyperlink>
    </w:p>
    <w:bookmarkEnd w:id="125"/>
    <w:bookmarkStart w:id="127" w:name="ref-landauer2023deep"/>
    <w:p>
      <w:pPr>
        <w:pStyle w:val="Bibliography"/>
      </w:pPr>
      <w:r>
        <w:t xml:space="preserve">30.</w:t>
      </w:r>
      <w:r>
        <w:t xml:space="preserve"> </w:t>
      </w:r>
      <w:r>
        <w:t xml:space="preserve">	</w:t>
      </w:r>
      <w:r>
        <w:t xml:space="preserve">Landauer M, Onder S, Skopik F, Wurzenberger M (2023) Deep learning for anomaly detection in log data: A survey. Machine Learning with Applications 12:100470.</w:t>
      </w:r>
      <w:r>
        <w:t xml:space="preserve"> </w:t>
      </w:r>
      <w:hyperlink r:id="rId126">
        <w:r>
          <w:rPr>
            <w:rStyle w:val="Hyperlink"/>
          </w:rPr>
          <w:t xml:space="preserve">https://doi.org/10.1016/j.mlwa.2023.100470</w:t>
        </w:r>
      </w:hyperlink>
    </w:p>
    <w:bookmarkEnd w:id="127"/>
    <w:bookmarkStart w:id="129" w:name="ref-hadadi2024systematic"/>
    <w:p>
      <w:pPr>
        <w:pStyle w:val="Bibliography"/>
      </w:pPr>
      <w:r>
        <w:t xml:space="preserve">31.</w:t>
      </w:r>
      <w:r>
        <w:t xml:space="preserve"> </w:t>
      </w:r>
      <w:r>
        <w:t xml:space="preserve">	</w:t>
      </w:r>
      <w:r>
        <w:t xml:space="preserve">Hadadi F, Dawes JH, Shin D, et al (2024) Systematic evaluation of deep learning models for log-based failure prediction. Empirical Software Engineering 29:</w:t>
      </w:r>
      <w:r>
        <w:t xml:space="preserve"> </w:t>
      </w:r>
      <w:hyperlink r:id="rId128">
        <w:r>
          <w:rPr>
            <w:rStyle w:val="Hyperlink"/>
          </w:rPr>
          <w:t xml:space="preserve">https://doi.org/10.1007/s10664-024-10501-4</w:t>
        </w:r>
      </w:hyperlink>
    </w:p>
    <w:bookmarkEnd w:id="129"/>
    <w:bookmarkStart w:id="131" w:name="ref-zhu2023loghub"/>
    <w:p>
      <w:pPr>
        <w:pStyle w:val="Bibliography"/>
      </w:pPr>
      <w:r>
        <w:t xml:space="preserve">32.</w:t>
      </w:r>
      <w:r>
        <w:t xml:space="preserve"> </w:t>
      </w:r>
      <w:r>
        <w:t xml:space="preserve">	</w:t>
      </w:r>
      <w:r>
        <w:t xml:space="preserve">Zhu J, He S, He P, et al (2023)</w:t>
      </w:r>
      <w:r>
        <w:t xml:space="preserve"> </w:t>
      </w:r>
      <w:hyperlink r:id="rId130">
        <w:r>
          <w:rPr>
            <w:rStyle w:val="Hyperlink"/>
          </w:rPr>
          <w:t xml:space="preserve">Loghub: A large collection of system log datasets for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AI</w:t>
        </w:r>
        <w:r>
          <w:rPr>
            <w:rStyle w:val="Hyperlink"/>
          </w:rPr>
          <w:t xml:space="preserve">-driven log analytics</w:t>
        </w:r>
      </w:hyperlink>
      <w:r>
        <w:t xml:space="preserve">. In: 2023 IEEE 34th international symposium on software reliability engineering (ISSRE)</w:t>
      </w:r>
    </w:p>
    <w:bookmarkEnd w:id="131"/>
    <w:bookmarkStart w:id="133" w:name="ref-zhu2019logparsing"/>
    <w:p>
      <w:pPr>
        <w:pStyle w:val="Bibliography"/>
      </w:pPr>
      <w:r>
        <w:t xml:space="preserve">33.</w:t>
      </w:r>
      <w:r>
        <w:t xml:space="preserve"> </w:t>
      </w:r>
      <w:r>
        <w:t xml:space="preserve">	</w:t>
      </w:r>
      <w:r>
        <w:t xml:space="preserve">Zhu J, He S, Liu J, et al (2019)</w:t>
      </w:r>
      <w:r>
        <w:t xml:space="preserve"> </w:t>
      </w:r>
      <w:hyperlink r:id="rId132">
        <w:r>
          <w:rPr>
            <w:rStyle w:val="Hyperlink"/>
          </w:rPr>
          <w:t xml:space="preserve">Tools and benchmarks for automated log parsing</w:t>
        </w:r>
      </w:hyperlink>
      <w:r>
        <w:t xml:space="preserve">. In: 2019 IEEE/ACM 41st international conference on software engineering: Software engineering in practice (ICSE-SEIP). pp 121–130</w:t>
      </w:r>
    </w:p>
    <w:bookmarkEnd w:id="133"/>
    <w:bookmarkStart w:id="135" w:name="ref-cheng2018characterizing"/>
    <w:p>
      <w:pPr>
        <w:pStyle w:val="Bibliography"/>
      </w:pPr>
      <w:r>
        <w:t xml:space="preserve">34.</w:t>
      </w:r>
      <w:r>
        <w:t xml:space="preserve"> </w:t>
      </w:r>
      <w:r>
        <w:t xml:space="preserve">	</w:t>
      </w:r>
      <w:r>
        <w:t xml:space="preserve">Cheng Y, Chai Z, Anwar A (2018) Characterizing co-located datacenter workloads: An alibaba case study. arXiv preprint.</w:t>
      </w:r>
      <w:r>
        <w:t xml:space="preserve"> </w:t>
      </w:r>
      <w:hyperlink r:id="rId134">
        <w:r>
          <w:rPr>
            <w:rStyle w:val="Hyperlink"/>
          </w:rPr>
          <w:t xml:space="preserve">https://doi.org/10.48550/arXiv.1808.02919</w:t>
        </w:r>
      </w:hyperlink>
    </w:p>
    <w:bookmarkEnd w:id="135"/>
    <w:bookmarkStart w:id="137" w:name="ref-luo2021alibaba"/>
    <w:p>
      <w:pPr>
        <w:pStyle w:val="Bibliography"/>
      </w:pPr>
      <w:r>
        <w:t xml:space="preserve">35.</w:t>
      </w:r>
      <w:r>
        <w:t xml:space="preserve"> </w:t>
      </w:r>
      <w:r>
        <w:t xml:space="preserve">	</w:t>
      </w:r>
      <w:r>
        <w:t xml:space="preserve">Luo S, Xu H, Lu C, et al (2021)</w:t>
      </w:r>
      <w:r>
        <w:t xml:space="preserve"> </w:t>
      </w:r>
      <w:hyperlink r:id="rId136">
        <w:r>
          <w:rPr>
            <w:rStyle w:val="Hyperlink"/>
          </w:rPr>
          <w:t xml:space="preserve">Characterizing microservice dependency and performance: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Alibaba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trace analysis</w:t>
        </w:r>
      </w:hyperlink>
      <w:r>
        <w:t xml:space="preserve">. In: Proceedings of the ACM symposium on cloud computing (SoCC). pp 412–426</w:t>
      </w:r>
    </w:p>
    <w:bookmarkEnd w:id="137"/>
    <w:bookmarkStart w:id="139" w:name="ref-oliner2007supercomputers"/>
    <w:p>
      <w:pPr>
        <w:pStyle w:val="Bibliography"/>
      </w:pPr>
      <w:r>
        <w:t xml:space="preserve">36.</w:t>
      </w:r>
      <w:r>
        <w:t xml:space="preserve"> </w:t>
      </w:r>
      <w:r>
        <w:t xml:space="preserve">	</w:t>
      </w:r>
      <w:r>
        <w:t xml:space="preserve">Oliner A, Stearley J (2007)</w:t>
      </w:r>
      <w:r>
        <w:t xml:space="preserve"> </w:t>
      </w:r>
      <w:hyperlink r:id="rId138">
        <w:r>
          <w:rPr>
            <w:rStyle w:val="Hyperlink"/>
          </w:rPr>
          <w:t xml:space="preserve">What supercomputers say: A study of five system logs</w:t>
        </w:r>
      </w:hyperlink>
      <w:r>
        <w:t xml:space="preserve">. In: 37th annual IEEE/IFIP international conference on dependable systems and networks (DSN). pp 575–584</w:t>
      </w:r>
    </w:p>
    <w:bookmarkEnd w:id="139"/>
    <w:bookmarkStart w:id="141" w:name="ref-saxena2008cmapss"/>
    <w:p>
      <w:pPr>
        <w:pStyle w:val="Bibliography"/>
      </w:pPr>
      <w:r>
        <w:t xml:space="preserve">37.</w:t>
      </w:r>
      <w:r>
        <w:t xml:space="preserve"> </w:t>
      </w:r>
      <w:r>
        <w:t xml:space="preserve">	</w:t>
      </w:r>
      <w:r>
        <w:t xml:space="preserve">Saxena A, Goebel K, Simon D, Eklund N (2008)</w:t>
      </w:r>
      <w:r>
        <w:t xml:space="preserve"> </w:t>
      </w:r>
      <w:hyperlink r:id="rId140">
        <w:r>
          <w:rPr>
            <w:rStyle w:val="Hyperlink"/>
          </w:rPr>
          <w:t xml:space="preserve">Damage propagation modeling for aircraft engine run-to-failure simulation</w:t>
        </w:r>
      </w:hyperlink>
      <w:r>
        <w:t xml:space="preserve">. In: 2008 international conference on prognostics and health management (PHM)</w:t>
      </w:r>
    </w:p>
    <w:bookmarkEnd w:id="141"/>
    <w:bookmarkStart w:id="143" w:name="ref-serradilla2022pdmsurvey"/>
    <w:p>
      <w:pPr>
        <w:pStyle w:val="Bibliography"/>
      </w:pPr>
      <w:r>
        <w:t xml:space="preserve">38.</w:t>
      </w:r>
      <w:r>
        <w:t xml:space="preserve"> </w:t>
      </w:r>
      <w:r>
        <w:t xml:space="preserve">	</w:t>
      </w:r>
      <w:r>
        <w:t xml:space="preserve">Serradilla O, Zugasti E, Rodriguez J, Zurutuza U (2022) Deep learning models for predictive maintenance: A survey, comparison, challenges and prospects. Applied Intelligence 52:10934–10964.</w:t>
      </w:r>
      <w:r>
        <w:t xml:space="preserve"> </w:t>
      </w:r>
      <w:hyperlink r:id="rId142">
        <w:r>
          <w:rPr>
            <w:rStyle w:val="Hyperlink"/>
          </w:rPr>
          <w:t xml:space="preserve">https://doi.org/10.1007/s10489-021-03004-y</w:t>
        </w:r>
      </w:hyperlink>
    </w:p>
    <w:bookmarkEnd w:id="143"/>
    <w:bookmarkStart w:id="145" w:name="ref-costa2016ida"/>
    <w:p>
      <w:pPr>
        <w:pStyle w:val="Bibliography"/>
      </w:pPr>
      <w:r>
        <w:t xml:space="preserve">39.</w:t>
      </w:r>
      <w:r>
        <w:t xml:space="preserve"> </w:t>
      </w:r>
      <w:r>
        <w:t xml:space="preserve">	</w:t>
      </w:r>
      <w:r>
        <w:t xml:space="preserve">Costa CF, Nascimento MA (2016)</w:t>
      </w:r>
      <w:r>
        <w:t xml:space="preserve"> </w:t>
      </w:r>
      <w:hyperlink r:id="rId144">
        <w:r>
          <w:rPr>
            <w:rStyle w:val="Hyperlink"/>
          </w:rPr>
          <w:t xml:space="preserve">IDA</w:t>
        </w:r>
        <w:r>
          <w:rPr>
            <w:rStyle w:val="Hyperlink"/>
          </w:rPr>
          <w:t xml:space="preserve"> </w:t>
        </w:r>
        <w:r>
          <w:rPr>
            <w:rStyle w:val="Hyperlink"/>
          </w:rPr>
          <w:t xml:space="preserve">2016 industrial challenge: Using machine learning for predicting failures</w:t>
        </w:r>
      </w:hyperlink>
      <w:r>
        <w:t xml:space="preserve">. In: Advances in intelligent data analysis XV (IDA 2016). Springer, pp 381–386</w:t>
      </w:r>
    </w:p>
    <w:bookmarkEnd w:id="145"/>
    <w:bookmarkStart w:id="147" w:name="ref-kharazian2025scania"/>
    <w:p>
      <w:pPr>
        <w:pStyle w:val="Bibliography"/>
      </w:pPr>
      <w:r>
        <w:t xml:space="preserve">40.</w:t>
      </w:r>
      <w:r>
        <w:t xml:space="preserve"> </w:t>
      </w:r>
      <w:r>
        <w:t xml:space="preserve">	</w:t>
      </w:r>
      <w:r>
        <w:t xml:space="preserve">Kharazian Z, Lindgren T, Magnússon S, et al (2025)</w:t>
      </w:r>
      <w:r>
        <w:t xml:space="preserve"> </w:t>
      </w:r>
      <w:r>
        <w:t xml:space="preserve">SCANIA</w:t>
      </w:r>
      <w:r>
        <w:t xml:space="preserve"> </w:t>
      </w:r>
      <w:r>
        <w:t xml:space="preserve">Component X</w:t>
      </w:r>
      <w:r>
        <w:t xml:space="preserve"> </w:t>
      </w:r>
      <w:r>
        <w:t xml:space="preserve">dataset: A real-world multivariate time series dataset for predictive maintenance. Scientific Data 12:493.</w:t>
      </w:r>
      <w:r>
        <w:t xml:space="preserve"> </w:t>
      </w:r>
      <w:hyperlink r:id="rId146">
        <w:r>
          <w:rPr>
            <w:rStyle w:val="Hyperlink"/>
          </w:rPr>
          <w:t xml:space="preserve">https://doi.org/10.1038/s41597-025-04802-6</w:t>
        </w:r>
      </w:hyperlink>
    </w:p>
    <w:bookmarkEnd w:id="147"/>
    <w:bookmarkStart w:id="149" w:name="ref-benjamini1995controlling"/>
    <w:p>
      <w:pPr>
        <w:pStyle w:val="Bibliography"/>
      </w:pPr>
      <w:r>
        <w:t xml:space="preserve">41.</w:t>
      </w:r>
      <w:r>
        <w:t xml:space="preserve"> </w:t>
      </w:r>
      <w:r>
        <w:t xml:space="preserve">	</w:t>
      </w:r>
      <w:r>
        <w:t xml:space="preserve">Benjamini Y, Hochberg Y (1995) Controlling the false discovery rate: A practical and powerful approach to multiple testing. Journal of the Royal Statistical Society: Series B (Methodological) 57:289–300.</w:t>
      </w:r>
      <w:r>
        <w:t xml:space="preserve"> </w:t>
      </w:r>
      <w:hyperlink r:id="rId148">
        <w:r>
          <w:rPr>
            <w:rStyle w:val="Hyperlink"/>
          </w:rPr>
          <w:t xml:space="preserve">https://doi.org/10.1111/j.2517-6161.1995.tb02031.x</w:t>
        </w:r>
      </w:hyperlink>
    </w:p>
    <w:bookmarkEnd w:id="149"/>
    <w:bookmarkStart w:id="151" w:name="ref-benjamini2001control"/>
    <w:p>
      <w:pPr>
        <w:pStyle w:val="Bibliography"/>
      </w:pPr>
      <w:r>
        <w:t xml:space="preserve">42.</w:t>
      </w:r>
      <w:r>
        <w:t xml:space="preserve"> </w:t>
      </w:r>
      <w:r>
        <w:t xml:space="preserve">	</w:t>
      </w:r>
      <w:r>
        <w:t xml:space="preserve">Benjamini Y, Yekutieli D (2001) The control of the false discovery rate in multiple testing under dependency. The Annals of Statistics 29:1165–1188.</w:t>
      </w:r>
      <w:r>
        <w:t xml:space="preserve"> </w:t>
      </w:r>
      <w:hyperlink r:id="rId150">
        <w:r>
          <w:rPr>
            <w:rStyle w:val="Hyperlink"/>
          </w:rPr>
          <w:t xml:space="preserve">https://doi.org/10.1214/aos/1013699998</w:t>
        </w:r>
      </w:hyperlink>
    </w:p>
    <w:bookmarkEnd w:id="151"/>
    <w:bookmarkStart w:id="153" w:name="ref-prentice1978retrospective"/>
    <w:p>
      <w:pPr>
        <w:pStyle w:val="Bibliography"/>
      </w:pPr>
      <w:r>
        <w:t xml:space="preserve">43.</w:t>
      </w:r>
      <w:r>
        <w:t xml:space="preserve"> </w:t>
      </w:r>
      <w:r>
        <w:t xml:space="preserve">	</w:t>
      </w:r>
      <w:r>
        <w:t xml:space="preserve">Prentice RL, Breslow NE (1978) Retrospective studies and failure time models. Biometrika 65:153–158.</w:t>
      </w:r>
      <w:r>
        <w:t xml:space="preserve"> </w:t>
      </w:r>
      <w:hyperlink r:id="rId152">
        <w:r>
          <w:rPr>
            <w:rStyle w:val="Hyperlink"/>
          </w:rPr>
          <w:t xml:space="preserve">https://doi.org/10.1093/biomet/65.1.153</w:t>
        </w:r>
      </w:hyperlink>
    </w:p>
    <w:bookmarkEnd w:id="153"/>
    <w:bookmarkStart w:id="155" w:name="ref-langholz1996risk"/>
    <w:p>
      <w:pPr>
        <w:pStyle w:val="Bibliography"/>
      </w:pPr>
      <w:r>
        <w:t xml:space="preserve">44.</w:t>
      </w:r>
      <w:r>
        <w:t xml:space="preserve"> </w:t>
      </w:r>
      <w:r>
        <w:t xml:space="preserve">	</w:t>
      </w:r>
      <w:r>
        <w:t xml:space="preserve">Langholz B, Goldstein L (1996) Risk set sampling in epidemiologic cohort studies. Statistical Science 11:35–53.</w:t>
      </w:r>
      <w:r>
        <w:t xml:space="preserve"> </w:t>
      </w:r>
      <w:hyperlink r:id="rId154">
        <w:r>
          <w:rPr>
            <w:rStyle w:val="Hyperlink"/>
          </w:rPr>
          <w:t xml:space="preserve">https://doi.org/10.1214/ss/1032209663</w:t>
        </w:r>
      </w:hyperlink>
    </w:p>
    <w:bookmarkEnd w:id="155"/>
    <w:bookmarkStart w:id="157" w:name="ref-plumley2022kelmarsh"/>
    <w:p>
      <w:pPr>
        <w:pStyle w:val="Bibliography"/>
      </w:pPr>
      <w:r>
        <w:t xml:space="preserve">45.</w:t>
      </w:r>
      <w:r>
        <w:t xml:space="preserve"> </w:t>
      </w:r>
      <w:r>
        <w:t xml:space="preserve">	</w:t>
      </w:r>
      <w:r>
        <w:t xml:space="preserve">Plumley C (2022)</w:t>
      </w:r>
      <w:r>
        <w:t xml:space="preserve"> </w:t>
      </w:r>
      <w:hyperlink r:id="rId156">
        <w:r>
          <w:rPr>
            <w:rStyle w:val="Hyperlink"/>
          </w:rPr>
          <w:t xml:space="preserve">Kelmarsh wind farm data</w:t>
        </w:r>
      </w:hyperlink>
    </w:p>
    <w:bookmarkEnd w:id="157"/>
    <w:bookmarkStart w:id="159" w:name="ref-plumley2022penmanshiel"/>
    <w:p>
      <w:pPr>
        <w:pStyle w:val="Bibliography"/>
      </w:pPr>
      <w:r>
        <w:t xml:space="preserve">46.</w:t>
      </w:r>
      <w:r>
        <w:t xml:space="preserve"> </w:t>
      </w:r>
      <w:r>
        <w:t xml:space="preserve">	</w:t>
      </w:r>
      <w:r>
        <w:t xml:space="preserve">Plumley C (2022)</w:t>
      </w:r>
      <w:r>
        <w:t xml:space="preserve"> </w:t>
      </w:r>
      <w:hyperlink r:id="rId158">
        <w:r>
          <w:rPr>
            <w:rStyle w:val="Hyperlink"/>
          </w:rPr>
          <w:t xml:space="preserve">Penmanshiel wind farm data</w:t>
        </w:r>
      </w:hyperlink>
    </w:p>
    <w:bookmarkEnd w:id="159"/>
    <w:bookmarkStart w:id="161" w:name="ref-azurepdm"/>
    <w:p>
      <w:pPr>
        <w:pStyle w:val="Bibliography"/>
      </w:pPr>
      <w:r>
        <w:t xml:space="preserve">47.</w:t>
      </w:r>
      <w:r>
        <w:t xml:space="preserve"> </w:t>
      </w:r>
      <w:r>
        <w:t xml:space="preserve">	</w:t>
      </w:r>
      <w:r>
        <w:t xml:space="preserve">Microsoft (2016)</w:t>
      </w:r>
      <w:r>
        <w:t xml:space="preserve"> </w:t>
      </w:r>
      <w:hyperlink r:id="rId160">
        <w:r>
          <w:rPr>
            <w:rStyle w:val="Hyperlink"/>
          </w:rPr>
          <w:t xml:space="preserve">Azure AI Gallery Predictive Maintenance Sample</w:t>
        </w:r>
      </w:hyperlink>
    </w:p>
    <w:bookmarkEnd w:id="161"/>
    <w:bookmarkStart w:id="163" w:name="ref-alibaba2018repo"/>
    <w:p>
      <w:pPr>
        <w:pStyle w:val="Bibliography"/>
      </w:pPr>
      <w:r>
        <w:t xml:space="preserve">48.</w:t>
      </w:r>
      <w:r>
        <w:t xml:space="preserve"> </w:t>
      </w:r>
      <w:r>
        <w:t xml:space="preserve">	</w:t>
      </w:r>
      <w:r>
        <w:t xml:space="preserve">Alibaba (2018)</w:t>
      </w:r>
      <w:r>
        <w:t xml:space="preserve"> </w:t>
      </w:r>
      <w:hyperlink r:id="rId162">
        <w:r>
          <w:rPr>
            <w:rStyle w:val="Hyperlink"/>
          </w:rPr>
          <w:t xml:space="preserve">Alibaba cluster-trace-v2018</w:t>
        </w:r>
      </w:hyperlink>
    </w:p>
    <w:bookmarkEnd w:id="163"/>
    <w:bookmarkStart w:id="165" w:name="ref-alibaba2018trace"/>
    <w:p>
      <w:pPr>
        <w:pStyle w:val="Bibliography"/>
      </w:pPr>
      <w:r>
        <w:t xml:space="preserve">49.</w:t>
      </w:r>
      <w:r>
        <w:t xml:space="preserve"> </w:t>
      </w:r>
      <w:r>
        <w:t xml:space="preserve">	</w:t>
      </w:r>
      <w:r>
        <w:t xml:space="preserve">Lu C, Ye K, Xu G, et al (2017)</w:t>
      </w:r>
      <w:r>
        <w:t xml:space="preserve"> </w:t>
      </w:r>
      <w:hyperlink r:id="rId164">
        <w:r>
          <w:rPr>
            <w:rStyle w:val="Hyperlink"/>
          </w:rPr>
          <w:t xml:space="preserve">Imbalance in the cloud: An analysis on alibaba cluster trace</w:t>
        </w:r>
      </w:hyperlink>
      <w:r>
        <w:t xml:space="preserve">. In: 2017 IEEE international conference on big data (big data). pp 2884–2892</w:t>
      </w:r>
    </w:p>
    <w:bookmarkEnd w:id="165"/>
    <w:bookmarkStart w:id="166" w:name="ref-rothman2008modern"/>
    <w:p>
      <w:pPr>
        <w:pStyle w:val="Bibliography"/>
      </w:pPr>
      <w:r>
        <w:t xml:space="preserve">50.</w:t>
      </w:r>
      <w:r>
        <w:t xml:space="preserve"> </w:t>
      </w:r>
      <w:r>
        <w:t xml:space="preserve">	</w:t>
      </w:r>
      <w:r>
        <w:t xml:space="preserve">Rothman KJ, Greenland S, Lash TL (2008) Modern epidemiology, 3rd ed. Lippincott Williams; Wilkins</w:t>
      </w:r>
    </w:p>
    <w:bookmarkEnd w:id="166"/>
    <w:bookmarkStart w:id="168" w:name="ref-loftus2015selective"/>
    <w:p>
      <w:pPr>
        <w:pStyle w:val="Bibliography"/>
      </w:pPr>
      <w:r>
        <w:t xml:space="preserve">51.</w:t>
      </w:r>
      <w:r>
        <w:t xml:space="preserve"> </w:t>
      </w:r>
      <w:r>
        <w:t xml:space="preserve">	</w:t>
      </w:r>
      <w:r>
        <w:t xml:space="preserve">Loftus JR, Taylor JE (2015) Selective inference in regression models with groups of variables. arXiv preprint.</w:t>
      </w:r>
      <w:r>
        <w:t xml:space="preserve"> </w:t>
      </w:r>
      <w:hyperlink r:id="rId167">
        <w:r>
          <w:rPr>
            <w:rStyle w:val="Hyperlink"/>
          </w:rPr>
          <w:t xml:space="preserve">https://doi.org/10.48550/arXiv.1511.01478</w:t>
        </w:r>
      </w:hyperlink>
    </w:p>
    <w:bookmarkEnd w:id="168"/>
    <w:bookmarkStart w:id="170" w:name="ref-yan2003clospan"/>
    <w:p>
      <w:pPr>
        <w:pStyle w:val="Bibliography"/>
      </w:pPr>
      <w:r>
        <w:t xml:space="preserve">52.</w:t>
      </w:r>
      <w:r>
        <w:t xml:space="preserve"> </w:t>
      </w:r>
      <w:r>
        <w:t xml:space="preserve">	</w:t>
      </w:r>
      <w:r>
        <w:t xml:space="preserve">Yan X, Han J, Afshar R (2003)</w:t>
      </w:r>
      <w:r>
        <w:t xml:space="preserve"> </w:t>
      </w:r>
      <w:hyperlink r:id="rId169">
        <w:r>
          <w:rPr>
            <w:rStyle w:val="Hyperlink"/>
          </w:rPr>
          <w:t xml:space="preserve">CloSpan: Mining closed sequential patterns in large datasets</w:t>
        </w:r>
      </w:hyperlink>
      <w:r>
        <w:t xml:space="preserve">. In: Proceedings of the 2003 SIAM international conference on data mining (SDM). SIAM</w:t>
      </w:r>
    </w:p>
    <w:bookmarkEnd w:id="170"/>
    <w:bookmarkEnd w:id="171"/>
    <w:bookmarkEnd w:id="172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731">
    <w:nsid w:val="00A99731"/>
    <w:multiLevelType w:val="multilevel"/>
    <w:lvl w:ilvl="0">
      <w:start w:val="1"/>
      <w:numFmt w:val="lowerLetter"/>
      <w:lvlText w:val="(%1)"/>
      <w:lvlJc w:val="left"/>
      <w:pPr>
        <w:ind w:left="720" w:hanging="480"/>
      </w:pPr>
    </w:lvl>
    <w:lvl w:ilvl="1">
      <w:start w:val="1"/>
      <w:numFmt w:val="lowerLetter"/>
      <w:lvlText w:val="(%2)"/>
      <w:lvlJc w:val="left"/>
      <w:pPr>
        <w:ind w:left="1440" w:hanging="480"/>
      </w:pPr>
    </w:lvl>
    <w:lvl w:ilvl="2">
      <w:start w:val="1"/>
      <w:numFmt w:val="lowerLetter"/>
      <w:lvlText w:val="(%3)"/>
      <w:lvlJc w:val="left"/>
      <w:pPr>
        <w:ind w:left="2160" w:hanging="480"/>
      </w:pPr>
    </w:lvl>
    <w:lvl w:ilvl="3">
      <w:start w:val="1"/>
      <w:numFmt w:val="lowerLetter"/>
      <w:lvlText w:val="(%4)"/>
      <w:lvlJc w:val="left"/>
      <w:pPr>
        <w:ind w:left="2880" w:hanging="480"/>
      </w:pPr>
    </w:lvl>
    <w:lvl w:ilvl="4">
      <w:start w:val="1"/>
      <w:numFmt w:val="lowerLetter"/>
      <w:lvlText w:val="(%5)"/>
      <w:lvlJc w:val="left"/>
      <w:pPr>
        <w:ind w:left="3600" w:hanging="480"/>
      </w:pPr>
    </w:lvl>
    <w:lvl w:ilvl="5">
      <w:start w:val="1"/>
      <w:numFmt w:val="lowerLetter"/>
      <w:lvlText w:val="(%6)"/>
      <w:lvlJc w:val="left"/>
      <w:pPr>
        <w:ind w:left="4320" w:hanging="480"/>
      </w:pPr>
    </w:lvl>
    <w:lvl w:ilvl="6">
      <w:start w:val="1"/>
      <w:numFmt w:val="lowerLetter"/>
      <w:lvlText w:val="(%7)"/>
      <w:lvlJc w:val="left"/>
      <w:pPr>
        <w:ind w:left="5040" w:hanging="480"/>
      </w:pPr>
    </w:lvl>
    <w:lvl w:ilvl="7">
      <w:start w:val="1"/>
      <w:numFmt w:val="lowerLetter"/>
      <w:lvlText w:val="(%8)"/>
      <w:lvlJc w:val="left"/>
      <w:pPr>
        <w:ind w:left="5760" w:hanging="480"/>
      </w:pPr>
    </w:lvl>
    <w:lvl w:ilvl="8">
      <w:start w:val="1"/>
      <w:numFmt w:val="lowerLetter"/>
      <w:lvlText w:val="(%9)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7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82" Target="https://doi.org/10.1007/978-3-031-11217-1_3" TargetMode="External" /><Relationship Type="http://schemas.openxmlformats.org/officeDocument/2006/relationships/hyperlink" Id="rId96" Target="https://doi.org/10.1007/978-3-031-15842-1_14" TargetMode="External" /><Relationship Type="http://schemas.openxmlformats.org/officeDocument/2006/relationships/hyperlink" Id="rId80" Target="https://doi.org/10.1007/978-3-319-06483-3_8" TargetMode="External" /><Relationship Type="http://schemas.openxmlformats.org/officeDocument/2006/relationships/hyperlink" Id="rId78" Target="https://doi.org/10.1007/978-3-319-06608-0_4" TargetMode="External" /><Relationship Type="http://schemas.openxmlformats.org/officeDocument/2006/relationships/hyperlink" Id="rId84" Target="https://doi.org/10.1007/978-3-319-46131-1_8" TargetMode="External" /><Relationship Type="http://schemas.openxmlformats.org/officeDocument/2006/relationships/hyperlink" Id="rId144" Target="https://doi.org/10.1007/978-3-319-46349-0_33" TargetMode="External" /><Relationship Type="http://schemas.openxmlformats.org/officeDocument/2006/relationships/hyperlink" Id="rId88" Target="https://doi.org/10.1007/978-981-16-1160-5_13" TargetMode="External" /><Relationship Type="http://schemas.openxmlformats.org/officeDocument/2006/relationships/hyperlink" Id="rId72" Target="https://doi.org/10.1007/BFb0014140" TargetMode="External" /><Relationship Type="http://schemas.openxmlformats.org/officeDocument/2006/relationships/hyperlink" Id="rId142" Target="https://doi.org/10.1007/s10489-021-03004-y" TargetMode="External" /><Relationship Type="http://schemas.openxmlformats.org/officeDocument/2006/relationships/hyperlink" Id="rId106" Target="https://doi.org/10.1007/s10618-018-0590-x" TargetMode="External" /><Relationship Type="http://schemas.openxmlformats.org/officeDocument/2006/relationships/hyperlink" Id="rId128" Target="https://doi.org/10.1007/s10664-024-10501-4" TargetMode="External" /><Relationship Type="http://schemas.openxmlformats.org/officeDocument/2006/relationships/hyperlink" Id="rId90" Target="https://doi.org/10.1007/s11227-024-06297-1" TargetMode="External" /><Relationship Type="http://schemas.openxmlformats.org/officeDocument/2006/relationships/hyperlink" Id="rId92" Target="https://doi.org/10.1016/j.jprocont.2023.103041" TargetMode="External" /><Relationship Type="http://schemas.openxmlformats.org/officeDocument/2006/relationships/hyperlink" Id="rId126" Target="https://doi.org/10.1016/j.mlwa.2023.100470" TargetMode="External" /><Relationship Type="http://schemas.openxmlformats.org/officeDocument/2006/relationships/hyperlink" Id="rId74" Target="https://doi.org/10.1023/A:1007652502315" TargetMode="External" /><Relationship Type="http://schemas.openxmlformats.org/officeDocument/2006/relationships/hyperlink" Id="rId146" Target="https://doi.org/10.1038/s41597-025-04802-6" TargetMode="External" /><Relationship Type="http://schemas.openxmlformats.org/officeDocument/2006/relationships/hyperlink" Id="rId104" Target="https://doi.org/10.1073/pnas.1302233110" TargetMode="External" /><Relationship Type="http://schemas.openxmlformats.org/officeDocument/2006/relationships/hyperlink" Id="rId152" Target="https://doi.org/10.1093/biomet/65.1.153" TargetMode="External" /><Relationship Type="http://schemas.openxmlformats.org/officeDocument/2006/relationships/hyperlink" Id="rId164" Target="https://doi.org/10.1109/BigData.2017.8258257" TargetMode="External" /><Relationship Type="http://schemas.openxmlformats.org/officeDocument/2006/relationships/hyperlink" Id="rId138" Target="https://doi.org/10.1109/DSN.2007.103" TargetMode="External" /><Relationship Type="http://schemas.openxmlformats.org/officeDocument/2006/relationships/hyperlink" Id="rId76" Target="https://doi.org/10.1109/ICDE.2001.914830" TargetMode="External" /><Relationship Type="http://schemas.openxmlformats.org/officeDocument/2006/relationships/hyperlink" Id="rId132" Target="https://doi.org/10.1109/ICSE-SEIP.2019.00021" TargetMode="External" /><Relationship Type="http://schemas.openxmlformats.org/officeDocument/2006/relationships/hyperlink" Id="rId120" Target="https://doi.org/10.1109/ICSE43902.2021.00130" TargetMode="External" /><Relationship Type="http://schemas.openxmlformats.org/officeDocument/2006/relationships/hyperlink" Id="rId122" Target="https://doi.org/10.1109/IJCNN52387.2021.9534113" TargetMode="External" /><Relationship Type="http://schemas.openxmlformats.org/officeDocument/2006/relationships/hyperlink" Id="rId130" Target="https://doi.org/10.1109/ISSRE59848.2023.00071" TargetMode="External" /><Relationship Type="http://schemas.openxmlformats.org/officeDocument/2006/relationships/hyperlink" Id="rId140" Target="https://doi.org/10.1109/PHM.2008.4711414" TargetMode="External" /><Relationship Type="http://schemas.openxmlformats.org/officeDocument/2006/relationships/hyperlink" Id="rId148" Target="https://doi.org/10.1111/j.2517-6161.1995.tb02031.x" TargetMode="External" /><Relationship Type="http://schemas.openxmlformats.org/officeDocument/2006/relationships/hyperlink" Id="rId169" Target="https://doi.org/10.1137/1.9781611972733.15" TargetMode="External" /><Relationship Type="http://schemas.openxmlformats.org/officeDocument/2006/relationships/hyperlink" Id="rId100" Target="https://doi.org/10.1145/312129.312191" TargetMode="External" /><Relationship Type="http://schemas.openxmlformats.org/officeDocument/2006/relationships/hyperlink" Id="rId102" Target="https://doi.org/10.1145/312129.312263" TargetMode="External" /><Relationship Type="http://schemas.openxmlformats.org/officeDocument/2006/relationships/hyperlink" Id="rId114" Target="https://doi.org/10.1145/3133956.3134015" TargetMode="External" /><Relationship Type="http://schemas.openxmlformats.org/officeDocument/2006/relationships/hyperlink" Id="rId118" Target="https://doi.org/10.1145/3338906.3338931" TargetMode="External" /><Relationship Type="http://schemas.openxmlformats.org/officeDocument/2006/relationships/hyperlink" Id="rId70" Target="https://doi.org/10.1145/342009.335372" TargetMode="External" /><Relationship Type="http://schemas.openxmlformats.org/officeDocument/2006/relationships/hyperlink" Id="rId136" Target="https://doi.org/10.1145/3472883.3487003" TargetMode="External" /><Relationship Type="http://schemas.openxmlformats.org/officeDocument/2006/relationships/hyperlink" Id="rId108" Target="https://doi.org/10.1145/3534678.3539398" TargetMode="External" /><Relationship Type="http://schemas.openxmlformats.org/officeDocument/2006/relationships/hyperlink" Id="rId150" Target="https://doi.org/10.1214/aos/1013699998" TargetMode="External" /><Relationship Type="http://schemas.openxmlformats.org/officeDocument/2006/relationships/hyperlink" Id="rId154" Target="https://doi.org/10.1214/ss/1032209663" TargetMode="External" /><Relationship Type="http://schemas.openxmlformats.org/officeDocument/2006/relationships/hyperlink" Id="rId110" Target="https://doi.org/10.14778/3675034.3675055" TargetMode="External" /><Relationship Type="http://schemas.openxmlformats.org/officeDocument/2006/relationships/hyperlink" Id="rId86" Target="https://doi.org/10.21105/joss.00638" TargetMode="External" /><Relationship Type="http://schemas.openxmlformats.org/officeDocument/2006/relationships/hyperlink" Id="rId116" Target="https://doi.org/10.24963/ijcai.2019/658" TargetMode="External" /><Relationship Type="http://schemas.openxmlformats.org/officeDocument/2006/relationships/hyperlink" Id="rId94" Target="https://doi.org/10.3390/pr11041169" TargetMode="External" /><Relationship Type="http://schemas.openxmlformats.org/officeDocument/2006/relationships/hyperlink" Id="rId112" Target="https://doi.org/10.48550/arXiv.1410.2597" TargetMode="External" /><Relationship Type="http://schemas.openxmlformats.org/officeDocument/2006/relationships/hyperlink" Id="rId167" Target="https://doi.org/10.48550/arXiv.1511.01478" TargetMode="External" /><Relationship Type="http://schemas.openxmlformats.org/officeDocument/2006/relationships/hyperlink" Id="rId134" Target="https://doi.org/10.48550/arXiv.1808.02919" TargetMode="External" /><Relationship Type="http://schemas.openxmlformats.org/officeDocument/2006/relationships/hyperlink" Id="rId124" Target="https://doi.org/10.48550/arXiv.2401.04749" TargetMode="External" /><Relationship Type="http://schemas.openxmlformats.org/officeDocument/2006/relationships/hyperlink" Id="rId98" Target="https://doi.org/10.48550/arXiv.2510.06831" TargetMode="External" /><Relationship Type="http://schemas.openxmlformats.org/officeDocument/2006/relationships/hyperlink" Id="rId156" Target="https://doi.org/10.5281/zenodo.5841834" TargetMode="External" /><Relationship Type="http://schemas.openxmlformats.org/officeDocument/2006/relationships/hyperlink" Id="rId158" Target="https://doi.org/10.5281/zenodo.5946808" TargetMode="External" /><Relationship Type="http://schemas.openxmlformats.org/officeDocument/2006/relationships/hyperlink" Id="rId162" Target="https://github.com/alibaba/clusterdata" TargetMode="External" /><Relationship Type="http://schemas.openxmlformats.org/officeDocument/2006/relationships/hyperlink" Id="rId160" Target="https://www.kaggle.com/datasets/arnabbiswas1/microsoft-azure-predictive-maintenance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2" Target="https://doi.org/10.1007/978-3-031-11217-1_3" TargetMode="External" /><Relationship Type="http://schemas.openxmlformats.org/officeDocument/2006/relationships/hyperlink" Id="rId96" Target="https://doi.org/10.1007/978-3-031-15842-1_14" TargetMode="External" /><Relationship Type="http://schemas.openxmlformats.org/officeDocument/2006/relationships/hyperlink" Id="rId80" Target="https://doi.org/10.1007/978-3-319-06483-3_8" TargetMode="External" /><Relationship Type="http://schemas.openxmlformats.org/officeDocument/2006/relationships/hyperlink" Id="rId78" Target="https://doi.org/10.1007/978-3-319-06608-0_4" TargetMode="External" /><Relationship Type="http://schemas.openxmlformats.org/officeDocument/2006/relationships/hyperlink" Id="rId84" Target="https://doi.org/10.1007/978-3-319-46131-1_8" TargetMode="External" /><Relationship Type="http://schemas.openxmlformats.org/officeDocument/2006/relationships/hyperlink" Id="rId144" Target="https://doi.org/10.1007/978-3-319-46349-0_33" TargetMode="External" /><Relationship Type="http://schemas.openxmlformats.org/officeDocument/2006/relationships/hyperlink" Id="rId88" Target="https://doi.org/10.1007/978-981-16-1160-5_13" TargetMode="External" /><Relationship Type="http://schemas.openxmlformats.org/officeDocument/2006/relationships/hyperlink" Id="rId72" Target="https://doi.org/10.1007/BFb0014140" TargetMode="External" /><Relationship Type="http://schemas.openxmlformats.org/officeDocument/2006/relationships/hyperlink" Id="rId142" Target="https://doi.org/10.1007/s10489-021-03004-y" TargetMode="External" /><Relationship Type="http://schemas.openxmlformats.org/officeDocument/2006/relationships/hyperlink" Id="rId106" Target="https://doi.org/10.1007/s10618-018-0590-x" TargetMode="External" /><Relationship Type="http://schemas.openxmlformats.org/officeDocument/2006/relationships/hyperlink" Id="rId128" Target="https://doi.org/10.1007/s10664-024-10501-4" TargetMode="External" /><Relationship Type="http://schemas.openxmlformats.org/officeDocument/2006/relationships/hyperlink" Id="rId90" Target="https://doi.org/10.1007/s11227-024-06297-1" TargetMode="External" /><Relationship Type="http://schemas.openxmlformats.org/officeDocument/2006/relationships/hyperlink" Id="rId92" Target="https://doi.org/10.1016/j.jprocont.2023.103041" TargetMode="External" /><Relationship Type="http://schemas.openxmlformats.org/officeDocument/2006/relationships/hyperlink" Id="rId126" Target="https://doi.org/10.1016/j.mlwa.2023.100470" TargetMode="External" /><Relationship Type="http://schemas.openxmlformats.org/officeDocument/2006/relationships/hyperlink" Id="rId74" Target="https://doi.org/10.1023/A:1007652502315" TargetMode="External" /><Relationship Type="http://schemas.openxmlformats.org/officeDocument/2006/relationships/hyperlink" Id="rId146" Target="https://doi.org/10.1038/s41597-025-04802-6" TargetMode="External" /><Relationship Type="http://schemas.openxmlformats.org/officeDocument/2006/relationships/hyperlink" Id="rId104" Target="https://doi.org/10.1073/pnas.1302233110" TargetMode="External" /><Relationship Type="http://schemas.openxmlformats.org/officeDocument/2006/relationships/hyperlink" Id="rId152" Target="https://doi.org/10.1093/biomet/65.1.153" TargetMode="External" /><Relationship Type="http://schemas.openxmlformats.org/officeDocument/2006/relationships/hyperlink" Id="rId164" Target="https://doi.org/10.1109/BigData.2017.8258257" TargetMode="External" /><Relationship Type="http://schemas.openxmlformats.org/officeDocument/2006/relationships/hyperlink" Id="rId138" Target="https://doi.org/10.1109/DSN.2007.103" TargetMode="External" /><Relationship Type="http://schemas.openxmlformats.org/officeDocument/2006/relationships/hyperlink" Id="rId76" Target="https://doi.org/10.1109/ICDE.2001.914830" TargetMode="External" /><Relationship Type="http://schemas.openxmlformats.org/officeDocument/2006/relationships/hyperlink" Id="rId132" Target="https://doi.org/10.1109/ICSE-SEIP.2019.00021" TargetMode="External" /><Relationship Type="http://schemas.openxmlformats.org/officeDocument/2006/relationships/hyperlink" Id="rId120" Target="https://doi.org/10.1109/ICSE43902.2021.00130" TargetMode="External" /><Relationship Type="http://schemas.openxmlformats.org/officeDocument/2006/relationships/hyperlink" Id="rId122" Target="https://doi.org/10.1109/IJCNN52387.2021.9534113" TargetMode="External" /><Relationship Type="http://schemas.openxmlformats.org/officeDocument/2006/relationships/hyperlink" Id="rId130" Target="https://doi.org/10.1109/ISSRE59848.2023.00071" TargetMode="External" /><Relationship Type="http://schemas.openxmlformats.org/officeDocument/2006/relationships/hyperlink" Id="rId140" Target="https://doi.org/10.1109/PHM.2008.4711414" TargetMode="External" /><Relationship Type="http://schemas.openxmlformats.org/officeDocument/2006/relationships/hyperlink" Id="rId148" Target="https://doi.org/10.1111/j.2517-6161.1995.tb02031.x" TargetMode="External" /><Relationship Type="http://schemas.openxmlformats.org/officeDocument/2006/relationships/hyperlink" Id="rId169" Target="https://doi.org/10.1137/1.9781611972733.15" TargetMode="External" /><Relationship Type="http://schemas.openxmlformats.org/officeDocument/2006/relationships/hyperlink" Id="rId100" Target="https://doi.org/10.1145/312129.312191" TargetMode="External" /><Relationship Type="http://schemas.openxmlformats.org/officeDocument/2006/relationships/hyperlink" Id="rId102" Target="https://doi.org/10.1145/312129.312263" TargetMode="External" /><Relationship Type="http://schemas.openxmlformats.org/officeDocument/2006/relationships/hyperlink" Id="rId114" Target="https://doi.org/10.1145/3133956.3134015" TargetMode="External" /><Relationship Type="http://schemas.openxmlformats.org/officeDocument/2006/relationships/hyperlink" Id="rId118" Target="https://doi.org/10.1145/3338906.3338931" TargetMode="External" /><Relationship Type="http://schemas.openxmlformats.org/officeDocument/2006/relationships/hyperlink" Id="rId70" Target="https://doi.org/10.1145/342009.335372" TargetMode="External" /><Relationship Type="http://schemas.openxmlformats.org/officeDocument/2006/relationships/hyperlink" Id="rId136" Target="https://doi.org/10.1145/3472883.3487003" TargetMode="External" /><Relationship Type="http://schemas.openxmlformats.org/officeDocument/2006/relationships/hyperlink" Id="rId108" Target="https://doi.org/10.1145/3534678.3539398" TargetMode="External" /><Relationship Type="http://schemas.openxmlformats.org/officeDocument/2006/relationships/hyperlink" Id="rId150" Target="https://doi.org/10.1214/aos/1013699998" TargetMode="External" /><Relationship Type="http://schemas.openxmlformats.org/officeDocument/2006/relationships/hyperlink" Id="rId154" Target="https://doi.org/10.1214/ss/1032209663" TargetMode="External" /><Relationship Type="http://schemas.openxmlformats.org/officeDocument/2006/relationships/hyperlink" Id="rId110" Target="https://doi.org/10.14778/3675034.3675055" TargetMode="External" /><Relationship Type="http://schemas.openxmlformats.org/officeDocument/2006/relationships/hyperlink" Id="rId86" Target="https://doi.org/10.21105/joss.00638" TargetMode="External" /><Relationship Type="http://schemas.openxmlformats.org/officeDocument/2006/relationships/hyperlink" Id="rId116" Target="https://doi.org/10.24963/ijcai.2019/658" TargetMode="External" /><Relationship Type="http://schemas.openxmlformats.org/officeDocument/2006/relationships/hyperlink" Id="rId94" Target="https://doi.org/10.3390/pr11041169" TargetMode="External" /><Relationship Type="http://schemas.openxmlformats.org/officeDocument/2006/relationships/hyperlink" Id="rId112" Target="https://doi.org/10.48550/arXiv.1410.2597" TargetMode="External" /><Relationship Type="http://schemas.openxmlformats.org/officeDocument/2006/relationships/hyperlink" Id="rId167" Target="https://doi.org/10.48550/arXiv.1511.01478" TargetMode="External" /><Relationship Type="http://schemas.openxmlformats.org/officeDocument/2006/relationships/hyperlink" Id="rId134" Target="https://doi.org/10.48550/arXiv.1808.02919" TargetMode="External" /><Relationship Type="http://schemas.openxmlformats.org/officeDocument/2006/relationships/hyperlink" Id="rId124" Target="https://doi.org/10.48550/arXiv.2401.04749" TargetMode="External" /><Relationship Type="http://schemas.openxmlformats.org/officeDocument/2006/relationships/hyperlink" Id="rId98" Target="https://doi.org/10.48550/arXiv.2510.06831" TargetMode="External" /><Relationship Type="http://schemas.openxmlformats.org/officeDocument/2006/relationships/hyperlink" Id="rId156" Target="https://doi.org/10.5281/zenodo.5841834" TargetMode="External" /><Relationship Type="http://schemas.openxmlformats.org/officeDocument/2006/relationships/hyperlink" Id="rId158" Target="https://doi.org/10.5281/zenodo.5946808" TargetMode="External" /><Relationship Type="http://schemas.openxmlformats.org/officeDocument/2006/relationships/hyperlink" Id="rId162" Target="https://github.com/alibaba/clusterdata" TargetMode="External" /><Relationship Type="http://schemas.openxmlformats.org/officeDocument/2006/relationships/hyperlink" Id="rId160" Target="https://www.kaggle.com/datasets/arnabbiswas1/microsoft-azure-predictive-maintenance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Mining and Validating Pre-Failure Signatures in Operational Event Logs</dc:title>
  <dc:creator>Alexander Apartsin1; Yehudit Aperstein2</dc:creator>
  <dc:language>en-US</dc:language>
  <cp:keywords>failure prediction, frequent itemset mining, sequential pattern mining, post-selection inference, false discovery rate, predictive maintenance, operational event logs</cp:keywords>
  <dcterms:created xsi:type="dcterms:W3CDTF">2026-08-30T11:11:11Z</dcterms:created>
  <dcterms:modified xsi:type="dcterms:W3CDTF">2026-08-30T11:11:11Z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graphy">
    <vt:lpwstr>paper/references.bib</vt:lpwstr>
  </property>
  <property fmtid="{D5CDD505-2E9C-101B-9397-08002B2CF9AE}" pid="3" name="csl">
    <vt:lpwstr>paper/springer-basic-brackets.csl</vt:lpwstr>
  </property>
  <property fmtid="{D5CDD505-2E9C-101B-9397-08002B2CF9AE}" pid="4" name="date">
    <vt:lpwstr>2026-08-30</vt:lpwstr>
  </property>
  <property fmtid="{D5CDD505-2E9C-101B-9397-08002B2CF9AE}" pid="5" name="link-citations">
    <vt:lpwstr>True</vt:lpwstr>
  </property>
</Properties>
</file>