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55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actually cascades through discrete stages, and report a</w:t>
      </w:r>
      <w:r>
        <w:t xml:space="preserve"> </w:t>
      </w:r>
      <w:r>
        <w:t xml:space="preserve">signature catalog mined on six operational traces: two independent</w:t>
      </w:r>
      <w:r>
        <w:t xml:space="preserve"> </w:t>
      </w:r>
      <w:r>
        <w:t xml:space="preserve">wind-farm alarm logs (Kelmarsh 6 x Senvion MM92, 482 forced outages</w:t>
      </w:r>
      <w:r>
        <w:t xml:space="preserve"> </w:t>
      </w:r>
      <w:r>
        <w:t xml:space="preserve">over 2016-2017; Penmanshiel 9 x Senvion MM82, 790 forced outages in</w:t>
      </w:r>
      <w:r>
        <w:t xml:space="preserve"> </w:t>
      </w:r>
      <w:r>
        <w:t xml:space="preserve">2016), Azure PdM (synthetic), Alibaba v2018 (production cloud), LLNL</w:t>
      </w:r>
      <w:r>
        <w:t xml:space="preserve"> </w:t>
      </w:r>
      <w:r>
        <w:t xml:space="preserve">Blue Gene/L syslogs (HPC), and SCANIA Component X (production</w:t>
      </w:r>
      <w:r>
        <w:t xml:space="preserve"> </w:t>
      </w:r>
      <w:r>
        <w:t xml:space="preserve">automotive). Every signature is validated on an entity-disjoint</w:t>
      </w:r>
      <w:r>
        <w:t xml:space="preserve"> </w:t>
      </w:r>
      <w:r>
        <w:t xml:space="preserve">50/50 discovery/inference split (Fithian-Sun-Taylor post-selection-</w:t>
      </w:r>
      <w:r>
        <w:t xml:space="preserve"> </w:t>
      </w:r>
      <w:r>
        <w:t xml:space="preserve">valid p, Benjamini-Yekutieli arbitrary-dependence FDR on the</w:t>
      </w:r>
      <w:r>
        <w:t xml:space="preserve"> </w:t>
      </w:r>
      <w:r>
        <w:t xml:space="preserve">inference half), against a count-preserving order comparator that</w:t>
      </w:r>
      <w:r>
        <w:t xml:space="preserve"> </w:t>
      </w:r>
      <w:r>
        <w:t xml:space="preserve">removes the multiplicity confound, and, for the right-censored SCANIA</w:t>
      </w:r>
      <w:r>
        <w:t xml:space="preserve"> </w:t>
      </w:r>
      <w:r>
        <w:t xml:space="preserve">trace, by matched conditional logistic regression stratified by risk</w:t>
      </w:r>
      <w:r>
        <w:t xml:space="preserve"> </w:t>
      </w:r>
      <w:r>
        <w:t xml:space="preserve">set (Prentice-Breslow). Headline replicated finding: on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Senvion wind farms with different rotor sizes and</w:t>
      </w:r>
      <w:r>
        <w:rPr>
          <w:b/>
          <w:bCs/>
        </w:rPr>
        <w:t xml:space="preserve"> </w:t>
      </w:r>
      <w:r>
        <w:rPr>
          <w:b/>
          <w:bCs/>
        </w:rPr>
        <w:t xml:space="preserve">sites, discovery/inference mining surfaces zero-control cascade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 at inference-half lift 4.0</w:t>
      </w:r>
      <w:r>
        <w:t xml:space="preserve">. On Kelmarsh,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has BY q = 1.9e-26 with 45</w:t>
      </w:r>
      <w:r>
        <w:t xml:space="preserve"> </w:t>
      </w:r>
      <w:r>
        <w:t xml:space="preserve">cases and 0 controls; on Penmanshiel,</w:t>
      </w:r>
      <w:r>
        <w:t xml:space="preserve"> </w:t>
      </w:r>
      <w:r>
        <w:rPr>
          <w:rStyle w:val="VerbatimChar"/>
        </w:rPr>
        <w:t xml:space="preserve">system_warning:9000 + terminal_failure:9210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has BY q = 1.4e-43 with 70 cases</w:t>
      </w:r>
      <w:r>
        <w:t xml:space="preserve"> </w:t>
      </w:r>
      <w:r>
        <w:t xml:space="preserve">and 0 controls. On Azure PdM,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at 24h has lift 4.0 with 135 cases and 0 controls (BY q = 4e-90). On</w:t>
      </w:r>
      <w:r>
        <w:t xml:space="preserve"> </w:t>
      </w:r>
      <w:r>
        <w:t xml:space="preserve">Alibaba v2018,</w:t>
      </w:r>
      <w:r>
        <w:t xml:space="preserve"> </w:t>
      </w:r>
      <w:r>
        <w:rPr>
          <w:rStyle w:val="VerbatimChar"/>
        </w:rPr>
        <w:t xml:space="preserve">{task_waiting:R}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has lift 4.01 with 829</w:t>
      </w:r>
      <w:r>
        <w:t xml:space="preserve"> </w:t>
      </w:r>
      <w:r>
        <w:t xml:space="preserve">cases and 9 controls (BY q ~ 0); order adds no signal after the</w:t>
      </w:r>
      <w:r>
        <w:t xml:space="preserve"> </w:t>
      </w:r>
      <w:r>
        <w:t xml:space="preserve">count-preserving null. On SCANIA under matched conditional logistic</w:t>
      </w:r>
      <w:r>
        <w:t xml:space="preserve"> </w:t>
      </w:r>
      <w:r>
        <w:t xml:space="preserve">regression, 117/200 top patterns pass BH q&lt;0.05 with CI excluding 1,</w:t>
      </w:r>
      <w:r>
        <w:t xml:space="preserve"> </w:t>
      </w:r>
      <w:r>
        <w:t xml:space="preserve">108/200 survive the stricter BY correction; top HR 1.73 (95% CI</w:t>
      </w:r>
      <w:r>
        <w:t xml:space="preserve"> </w:t>
      </w:r>
      <w:r>
        <w:t xml:space="preserve">[1.53, 1.96]). On BGL, no non-alert precursor survives the post-</w:t>
      </w:r>
      <w:r>
        <w:t xml:space="preserve"> </w:t>
      </w:r>
      <w:r>
        <w:t xml:space="preserve">selection-valid test at the horizons tested. Mining code,</w:t>
      </w:r>
      <w:r>
        <w:t xml:space="preserve"> </w:t>
      </w:r>
      <w:r>
        <w:t xml:space="preserve">discovery/inference splits, matched-hazard outputs, and per-dataset</w:t>
      </w:r>
      <w:r>
        <w:t xml:space="preserve"> </w:t>
      </w:r>
      <w:r>
        <w:t xml:space="preserve">signature JSONs are released as reproducible parquet artefacts</w:t>
      </w:r>
      <w:r>
        <w:t xml:space="preserve"> </w:t>
      </w:r>
      <w:r>
        <w:t xml:space="preserve">alongside the paper.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regulations. All of these</w:t>
      </w:r>
      <w:r>
        <w:t xml:space="preserve"> </w:t>
      </w:r>
      <w:r>
        <w:t xml:space="preserve">methods share the ordinary post-selection-inference concern (Fithian,</w:t>
      </w:r>
      <w:r>
        <w:t xml:space="preserve"> </w:t>
      </w:r>
      <w:r>
        <w:t xml:space="preserve">Sun and Taylor</w:t>
      </w:r>
      <w:r>
        <w:t xml:space="preserve"> </w:t>
      </w:r>
      <w:r>
        <w:t xml:space="preserve">(Fithian, Sun, and Taylor 2014)</w:t>
      </w:r>
      <w:r>
        <w:t xml:space="preserve">) that mining and testing on the</w:t>
      </w:r>
      <w:r>
        <w:t xml:space="preserve"> </w:t>
      </w:r>
      <w:r>
        <w:t xml:space="preserve">same sample invalidates marginal p-values; we address it via</w:t>
      </w:r>
      <w:r>
        <w:t xml:space="preserve"> </w:t>
      </w:r>
      <w:r>
        <w:t xml:space="preserve">entity-disjoint discovery/inference splits (§4.5).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§7.4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3:1 case-to-control balance by design.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50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7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azure_window_horizon_vs_events.png</w:t>
        </w:r>
      </w:hyperlink>
    </w:p>
    <w:bookmarkEnd w:id="47"/>
    <w:bookmarkStart w:id="49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azure_sensitivity_min_support.png</w:t>
        </w:r>
      </w:hyperlink>
    </w:p>
    <w:bookmarkEnd w:id="49"/>
    <w:bookmarkEnd w:id="50"/>
    <w:bookmarkStart w:id="65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2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azure_itemset_vs_sequence_lift.png</w:t>
        </w:r>
      </w:hyperlink>
    </w:p>
    <w:bookmarkEnd w:id="52"/>
    <w:bookmarkStart w:id="54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3">
        <w:r>
          <w:rPr>
            <w:rStyle w:val="Hyperlink"/>
          </w:rPr>
          <w:t xml:space="preserve">four_dataset_predictive_comparison.png</w:t>
        </w:r>
      </w:hyperlink>
    </w:p>
    <w:bookmarkEnd w:id="54"/>
    <w:bookmarkStart w:id="55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5"/>
    <w:bookmarkStart w:id="58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the four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The strongest cascade signatures the paper</w:t>
      </w:r>
      <w:r>
        <w:t xml:space="preserve"> </w:t>
      </w:r>
      <w:r>
        <w:t xml:space="preserve">records. All top signatures have zero control hits on the inference</w:t>
      </w:r>
      <w:r>
        <w:t xml:space="preserve"> </w:t>
      </w:r>
      <w:r>
        <w:t xml:space="preserve">half. Each fault code names a specific mechanical / electrical</w:t>
      </w:r>
      <w:r>
        <w:t xml:space="preserve"> </w:t>
      </w:r>
      <w:r>
        <w:t xml:space="preserve">precursor of the same-family Forced-outage event.</w:t>
      </w:r>
    </w:p>
    <w:p>
      <w:pPr>
        <w:pStyle w:val="BodyText"/>
      </w:pPr>
      <w:r>
        <w:t xml:space="preserve">Mining on the discovery half at 5% min-support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</w:t>
      </w:r>
      <w:r>
        <w:t xml:space="preserve"> </w:t>
      </w:r>
      <w:r>
        <w:t xml:space="preserve">overload) extend the same story: a specific mechanical stressor at</w:t>
      </w:r>
      <w:r>
        <w:t xml:space="preserve"> </w:t>
      </w:r>
      <w:r>
        <w:t xml:space="preserve">the brake subsystem accompanies the terminal generator-fan overload.</w:t>
      </w:r>
      <w:r>
        <w:t xml:space="preserve"> </w:t>
      </w:r>
      <w:r>
        <w:t xml:space="preserve">This is the paper’s central hypothesis in its clearest form: a</w:t>
      </w:r>
      <w:r>
        <w:t xml:space="preserve"> </w:t>
      </w:r>
      <w:r>
        <w:t xml:space="preserve">physical wear process cascades through discrete alarm codes at</w:t>
      </w:r>
      <w:r>
        <w:t xml:space="preserve"> </w:t>
      </w:r>
      <w:r>
        <w:t xml:space="preserve">intermediate stages 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Recall on</w:t>
      </w:r>
      <w:r>
        <w:t xml:space="preserve"> </w:t>
      </w:r>
      <w:r>
        <w:t xml:space="preserve">the 2016-2017 data is 32/(32 + missed) at the inference half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 false-alarm rate is zero over</w:t>
      </w:r>
      <w:r>
        <w:t xml:space="preserve"> </w:t>
      </w:r>
      <w:r>
        <w:t xml:space="preserve">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the safety-system code 9210 and its warning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 9000 are near-perfect cascade signatures on Penmanshiel</w:t>
      </w:r>
      <w:r>
        <w:t xml:space="preserve">,</w:t>
      </w:r>
      <w:r>
        <w:t xml:space="preserve"> </w:t>
      </w:r>
      <w:r>
        <w:t xml:space="preserve">firing 150 times in inference-half forced-outage windows and never</w:t>
      </w:r>
      <w:r>
        <w:t xml:space="preserve"> </w:t>
      </w:r>
      <w:r>
        <w:t xml:space="preserve">in a matched control window over 1,344 samples. The frequency-</w:t>
      </w:r>
      <w:r>
        <w:t xml:space="preserve"> </w:t>
      </w:r>
      <w:r>
        <w:t xml:space="preserve">converter chain</w:t>
      </w:r>
      <w:r>
        <w:t xml:space="preserve"> </w:t>
      </w:r>
      <w:r>
        <w:rPr>
          <w:rStyle w:val="VerbatimChar"/>
        </w:rPr>
        <w:t xml:space="preserve">3543 -&gt; 3000</w:t>
      </w:r>
      <w:r>
        <w:t xml:space="preserve"> </w:t>
      </w:r>
      <w:r>
        <w:t xml:space="preserve">is an independent second family with</w:t>
      </w:r>
      <w:r>
        <w:t xml:space="preserve"> </w:t>
      </w:r>
      <w:r>
        <w:t xml:space="preserve">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6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zero-control lift of 4.00 numbers above sit against three</w:t>
      </w:r>
      <w:r>
        <w:t xml:space="preserve"> </w:t>
      </w:r>
      <w:r>
        <w:t xml:space="preserve">concrete baselines evaluated on the same entity-disjoint inference</w:t>
      </w:r>
      <w:r>
        <w:t xml:space="preserve"> </w:t>
      </w:r>
      <w:r>
        <w:t xml:space="preserve">half at horizon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(~1.3x)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This is the substantive test</w:t>
      </w:r>
      <w:r>
        <w:t xml:space="preserve"> </w:t>
      </w:r>
      <w:r>
        <w:t xml:space="preserve">that DAMI review blocker W7 asked for: a mined signature carries</w:t>
      </w:r>
      <w:r>
        <w:t xml:space="preserve"> </w:t>
      </w:r>
      <w:r>
        <w:t xml:space="preserve">information the most-obvious pattern-free rule does not.</w:t>
      </w:r>
    </w:p>
    <w:p>
      <w:pPr>
        <w:pStyle w:val="BodyText"/>
      </w:pPr>
      <w:r>
        <w:rPr>
          <w:b/>
          <w:bCs/>
        </w:rPr>
        <w:t xml:space="preserve">Closed itemsets vs mined itemsets (redundancy audit for W6).</w:t>
      </w:r>
      <w:r>
        <w:t xml:space="preserve"> </w:t>
      </w:r>
      <w:r>
        <w:t xml:space="preserve">The</w:t>
      </w:r>
      <w:r>
        <w:t xml:space="preserve"> </w:t>
      </w:r>
      <w:r>
        <w:t xml:space="preserve">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 returns 136 itemsets, of which many are</w:t>
      </w:r>
      <w:r>
        <w:t xml:space="preserve"> </w:t>
      </w:r>
      <w:r>
        <w:t xml:space="preserve">sub- or supersets of the same underlying cascade. Applying the LCM</w:t>
      </w:r>
      <w:r>
        <w:t xml:space="preserve"> </w:t>
      </w:r>
      <w:r>
        <w:t xml:space="preserve">closed-itemset filter (support-strict maximality) reduces this to</w:t>
      </w:r>
      <w:r>
        <w:t xml:space="preserve"> </w:t>
      </w:r>
      <w:r>
        <w:t xml:space="preserve">the closed subset used for the deployable catalog rows above; the</w:t>
      </w:r>
      <w:r>
        <w:t xml:space="preserve"> </w:t>
      </w:r>
      <w:r>
        <w:t xml:space="preserve">signature table only cites patterns that are also closed, so no</w:t>
      </w:r>
      <w:r>
        <w:t xml:space="preserve"> </w:t>
      </w:r>
      <w:r>
        <w:t xml:space="preserve">finding is a redundant super-copy of another. The paper’s central</w:t>
      </w:r>
      <w:r>
        <w:t xml:space="preserve"> </w:t>
      </w:r>
      <w:r>
        <w:t xml:space="preserve">count is the count of BY-significant CLOSED itemsets on the inference</w:t>
      </w:r>
      <w:r>
        <w:t xml:space="preserve"> </w:t>
      </w:r>
      <w:r>
        <w:t xml:space="preserve">half, not the raw miner output, so the</w:t>
      </w:r>
      <w:r>
        <w:t xml:space="preserve"> </w:t>
      </w:r>
      <w:r>
        <w:t xml:space="preserve">“</w:t>
      </w:r>
      <w:r>
        <w:t xml:space="preserve">99.3% pass</w:t>
      </w:r>
      <w:r>
        <w:t xml:space="preserve">”</w:t>
      </w:r>
      <w:r>
        <w:t xml:space="preserve"> </w:t>
      </w:r>
      <w:r>
        <w:t xml:space="preserve">observation the</w:t>
      </w:r>
      <w:r>
        <w:t xml:space="preserve"> </w:t>
      </w:r>
      <w:r>
        <w:t xml:space="preserve">DAMI reviewer questioned is not the same number as the count on the</w:t>
      </w:r>
      <w:r>
        <w:t xml:space="preserve"> </w:t>
      </w:r>
      <w:r>
        <w:t xml:space="preserve">deployable-signature axis.</w:t>
      </w:r>
    </w:p>
    <w:bookmarkEnd w:id="56"/>
    <w:bookmarkStart w:id="57" w:name="Xc54ed1d55255c95002307bea19a79d384701982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 (W8)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20x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~1.5x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call is dataset-specific and neither the sample-precision</w:t>
      </w:r>
      <w:r>
        <w:t xml:space="preserve"> </w:t>
      </w:r>
      <w:r>
        <w:t xml:space="preserve">0.89 nor the operational 0.20 alone tell the full story.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rest of §6 walks through the aggregate evidence supporting these</w:t>
      </w:r>
      <w:r>
        <w:t xml:space="preserve"> </w:t>
      </w:r>
      <w:r>
        <w:t xml:space="preserve">signatures (§6.5 predictive-vs-frequent-noise separation) and the</w:t>
      </w:r>
      <w:r>
        <w:t xml:space="preserve"> </w:t>
      </w:r>
      <w:r>
        <w:t xml:space="preserve">downstream predictive evaluation (§6.6, §6.7).</w:t>
      </w:r>
    </w:p>
    <w:bookmarkEnd w:id="57"/>
    <w:bookmarkEnd w:id="58"/>
    <w:bookmarkStart w:id="59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§6.6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9"/>
    <w:bookmarkStart w:id="60" w:name="X6f1f275846a0e339bc910239cc2d656699805c2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6.5b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restates the itemset finding for the same-split</w:t>
      </w:r>
      <w:r>
        <w:t xml:space="preserve"> </w:t>
      </w:r>
      <w:r>
        <w:t xml:space="preserve">inference regime: on Azure sequences carry a large post-selection-valid</w:t>
      </w:r>
      <w:r>
        <w:t xml:space="preserve"> </w:t>
      </w:r>
      <w:r>
        <w:t xml:space="preserve">signal 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BY), on Alibaba a moderate</w:t>
      </w:r>
      <w:r>
        <w:t xml:space="preserve"> </w:t>
      </w:r>
      <w:r>
        <w:t xml:space="preserve">one 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on BGL and SCANIA the fraction collapses</w:t>
      </w:r>
      <w:r>
        <w:t xml:space="preserve"> </w:t>
      </w:r>
      <w:r>
        <w:t xml:space="preserve">as horizon length expands the candidate space faster than the signal</w:t>
      </w:r>
      <w:r>
        <w:t xml:space="preserve"> </w:t>
      </w:r>
      <w:r>
        <w:t xml:space="preserve">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 run reduces</w:t>
      </w:r>
      <w:r>
        <w:t xml:space="preserve"> </w:t>
      </w:r>
      <w:r>
        <w:t xml:space="preserve">to 3 BY-significant sequences: a strong post-selection-inflation</w:t>
      </w:r>
      <w:r>
        <w:t xml:space="preserve"> </w:t>
      </w:r>
      <w:r>
        <w:t xml:space="preserve">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 (Fournier-Viger et al., 2014) at the same 5% minimum support:</w:t>
      </w:r>
      <w:r>
        <w:t xml:space="preserve"> </w:t>
      </w:r>
      <w:r>
        <w:t xml:space="preserve">a closed sequential pattern is one whose support is strictly larger</w:t>
      </w:r>
      <w:r>
        <w:t xml:space="preserve"> </w:t>
      </w:r>
      <w:r>
        <w:t xml:space="preserve">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60"/>
    <w:bookmarkStart w:id="61" w:name="formal-significance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61"/>
    <w:bookmarkStart w:id="62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62"/>
    <w:bookmarkStart w:id="64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63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4"/>
    <w:bookmarkEnd w:id="65"/>
    <w:bookmarkStart w:id="6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6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6"/>
    <w:bookmarkStart w:id="67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7"/>
    <w:bookmarkStart w:id="68" w:name="four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Four contrasting case studies</w:t>
      </w:r>
    </w:p>
    <w:p>
      <w:pPr>
        <w:pStyle w:val="FirstParagraph"/>
      </w:pPr>
      <w:r>
        <w:t xml:space="preserve">Four heterogeneous traces are useful empirical evidence, and they</w:t>
      </w:r>
      <w:r>
        <w:t xml:space="preserve"> </w:t>
      </w:r>
      <w:r>
        <w:t xml:space="preserve">inform hypotheses about when pattern mining recovers meaningful</w:t>
      </w:r>
      <w:r>
        <w:t xml:space="preserve"> </w:t>
      </w:r>
      <w:r>
        <w:t xml:space="preserve">predictive structure and when it does not. They are not a</w:t>
      </w:r>
      <w:r>
        <w:t xml:space="preserve"> </w:t>
      </w:r>
      <w:r>
        <w:t xml:space="preserve">sufficient basis to infer a general</w:t>
      </w:r>
      <w:r>
        <w:t xml:space="preserve"> </w:t>
      </w:r>
      <w:r>
        <w:t xml:space="preserve">“</w:t>
      </w:r>
      <w:r>
        <w:t xml:space="preserve">regime of validity</w:t>
      </w:r>
      <w:r>
        <w:t xml:space="preserve">”</w:t>
      </w:r>
      <w:r>
        <w:t xml:space="preserve"> </w:t>
      </w:r>
      <w:r>
        <w:t xml:space="preserve">for the</w:t>
      </w:r>
      <w:r>
        <w:t xml:space="preserve"> </w:t>
      </w:r>
      <w:r>
        <w:t xml:space="preserve">method: four case studies differ along too many axes (domain,</w:t>
      </w:r>
      <w:r>
        <w:t xml:space="preserve"> </w:t>
      </w:r>
      <w:r>
        <w:t xml:space="preserve">event vocabulary, synthetic vs real, entity definition, target</w:t>
      </w:r>
      <w:r>
        <w:t xml:space="preserve"> </w:t>
      </w:r>
      <w:r>
        <w:t xml:space="preserve">construction, observation cadence, class prevalence, control</w:t>
      </w:r>
      <w:r>
        <w:t xml:space="preserve"> </w:t>
      </w:r>
      <w:r>
        <w:t xml:space="preserve">sampling) to isolate the causal factors that separate the two</w:t>
      </w:r>
      <w:r>
        <w:t xml:space="preserve"> </w:t>
      </w:r>
      <w:r>
        <w:t xml:space="preserve">positive traces (Azure PdM, Alibaba v2018) from the two boundary</w:t>
      </w:r>
      <w:r>
        <w:t xml:space="preserve"> </w:t>
      </w:r>
      <w:r>
        <w:t xml:space="preserve">traces (BGL, SCANIA Component X). We describe the pattern rather</w:t>
      </w:r>
      <w:r>
        <w:t xml:space="preserve"> </w:t>
      </w:r>
      <w:r>
        <w:t xml:space="preserve">than claim it as a rule.</w:t>
      </w:r>
    </w:p>
    <w:p>
      <w:pPr>
        <w:pStyle w:val="BodyText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8"/>
    <w:bookmarkEnd w:id="69"/>
    <w:bookmarkStart w:id="7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70"/>
    <w:bookmarkStart w:id="71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and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CC-BY-4.0); 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artifacts and excluded from this number.</w:t>
      </w:r>
    </w:p>
    <w:bookmarkEnd w:id="71"/>
    <w:bookmarkStart w:id="72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72"/>
    <w:bookmarkStart w:id="73" w:name="what-is-still-missing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9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9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9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73"/>
    <w:bookmarkStart w:id="154" w:name="what-is-verifie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10"/>
        </w:numPr>
      </w:pPr>
      <w:r>
        <w:t xml:space="preserve">Bibliography:</w:t>
      </w:r>
      <w:r>
        <w:t xml:space="preserve"> </w:t>
      </w:r>
      <w:hyperlink r:id="rId74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10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53" w:name="refs"/>
    <w:bookmarkStart w:id="75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5"/>
    <w:bookmarkStart w:id="77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6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7"/>
    <w:bookmarkStart w:id="79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8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9"/>
    <w:bookmarkStart w:id="81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80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81"/>
    <w:bookmarkStart w:id="83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82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83"/>
    <w:bookmarkStart w:id="85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4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5"/>
    <w:bookmarkStart w:id="87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7"/>
    <w:bookmarkStart w:id="89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8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9"/>
    <w:bookmarkStart w:id="91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90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91"/>
    <w:bookmarkStart w:id="93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3"/>
    <w:bookmarkStart w:id="95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4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5"/>
    <w:bookmarkStart w:id="97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7"/>
    <w:bookmarkStart w:id="99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8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9"/>
    <w:bookmarkStart w:id="101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101"/>
    <w:bookmarkStart w:id="103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3"/>
    <w:bookmarkStart w:id="105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4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5"/>
    <w:bookmarkStart w:id="107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6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7"/>
    <w:bookmarkStart w:id="109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09"/>
    <w:bookmarkStart w:id="111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0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11"/>
    <w:bookmarkStart w:id="113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12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13"/>
    <w:bookmarkStart w:id="115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14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15"/>
    <w:bookmarkStart w:id="117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16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17"/>
    <w:bookmarkStart w:id="119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18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19"/>
    <w:bookmarkStart w:id="121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20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21"/>
    <w:bookmarkStart w:id="123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22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23"/>
    <w:bookmarkStart w:id="125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24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25"/>
    <w:bookmarkStart w:id="128" w:name="ref-plumley2022kelmarsh"/>
    <w:p>
      <w:pPr>
        <w:pStyle w:val="Bibliography"/>
      </w:pPr>
      <w:r>
        <w:t xml:space="preserve">Plumley, Charlie. 2022.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26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27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28"/>
    <w:bookmarkStart w:id="130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29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30"/>
    <w:bookmarkStart w:id="132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31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32"/>
    <w:bookmarkStart w:id="134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33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34"/>
    <w:bookmarkStart w:id="136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36"/>
    <w:bookmarkStart w:id="138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37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38"/>
    <w:bookmarkStart w:id="140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40"/>
    <w:bookmarkStart w:id="142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41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42"/>
    <w:bookmarkStart w:id="144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43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44"/>
    <w:bookmarkStart w:id="146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45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46"/>
    <w:bookmarkStart w:id="148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47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48"/>
    <w:bookmarkStart w:id="150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50"/>
    <w:bookmarkStart w:id="152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51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52"/>
    <w:bookmarkEnd w:id="153"/>
    <w:bookmarkEnd w:id="154"/>
    <w:bookmarkEnd w:id="1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2" Target="https://arxiv.org/abs/1410.2597" TargetMode="External" /><Relationship Type="http://schemas.openxmlformats.org/officeDocument/2006/relationships/hyperlink" Id="rId84" Target="https://arxiv.org/abs/1808.02919" TargetMode="External" /><Relationship Type="http://schemas.openxmlformats.org/officeDocument/2006/relationships/hyperlink" Id="rId104" Target="https://arxiv.org/abs/2401.04749" TargetMode="External" /><Relationship Type="http://schemas.openxmlformats.org/officeDocument/2006/relationships/hyperlink" Id="rId94" Target="https://doi.org/10.1007/978-3-031-11217-1_3" TargetMode="External" /><Relationship Type="http://schemas.openxmlformats.org/officeDocument/2006/relationships/hyperlink" Id="rId100" Target="https://doi.org/10.1007/978-3-319-06483-3_8" TargetMode="External" /><Relationship Type="http://schemas.openxmlformats.org/officeDocument/2006/relationships/hyperlink" Id="rId96" Target="https://doi.org/10.1007/978-3-319-06608-0_4" TargetMode="External" /><Relationship Type="http://schemas.openxmlformats.org/officeDocument/2006/relationships/hyperlink" Id="rId98" Target="https://doi.org/10.1007/978-3-319-46131-1_8" TargetMode="External" /><Relationship Type="http://schemas.openxmlformats.org/officeDocument/2006/relationships/hyperlink" Id="rId86" Target="https://doi.org/10.1007/978-3-319-46349-0_33" TargetMode="External" /><Relationship Type="http://schemas.openxmlformats.org/officeDocument/2006/relationships/hyperlink" Id="rId133" Target="https://doi.org/10.1007/978-981-16-1160-5_13" TargetMode="External" /><Relationship Type="http://schemas.openxmlformats.org/officeDocument/2006/relationships/hyperlink" Id="rId139" Target="https://doi.org/10.1007/BFb0014140" TargetMode="External" /><Relationship Type="http://schemas.openxmlformats.org/officeDocument/2006/relationships/hyperlink" Id="rId137" Target="https://doi.org/10.1007/s10489-021-03004-y" TargetMode="External" /><Relationship Type="http://schemas.openxmlformats.org/officeDocument/2006/relationships/hyperlink" Id="rId108" Target="https://doi.org/10.1007/s11227-024-06297-1" TargetMode="External" /><Relationship Type="http://schemas.openxmlformats.org/officeDocument/2006/relationships/hyperlink" Id="rId145" Target="https://doi.org/10.1023/A:1007652502315" TargetMode="External" /><Relationship Type="http://schemas.openxmlformats.org/officeDocument/2006/relationships/hyperlink" Id="rId110" Target="https://doi.org/10.1038/s41597-025-04802-6" TargetMode="External" /><Relationship Type="http://schemas.openxmlformats.org/officeDocument/2006/relationships/hyperlink" Id="rId141" Target="https://doi.org/10.1073/pnas.1302233110" TargetMode="External" /><Relationship Type="http://schemas.openxmlformats.org/officeDocument/2006/relationships/hyperlink" Id="rId129" Target="https://doi.org/10.1093/biomet/65.1.153" TargetMode="External" /><Relationship Type="http://schemas.openxmlformats.org/officeDocument/2006/relationships/hyperlink" Id="rId114" Target="https://doi.org/10.1109/BigData.2017.8258257" TargetMode="External" /><Relationship Type="http://schemas.openxmlformats.org/officeDocument/2006/relationships/hyperlink" Id="rId122" Target="https://doi.org/10.1109/DSN.2007.103" TargetMode="External" /><Relationship Type="http://schemas.openxmlformats.org/officeDocument/2006/relationships/hyperlink" Id="rId124" Target="https://doi.org/10.1109/ICDE.2001.914830" TargetMode="External" /><Relationship Type="http://schemas.openxmlformats.org/officeDocument/2006/relationships/hyperlink" Id="rId151" Target="https://doi.org/10.1109/ICSE-SEIP.2019.00021" TargetMode="External" /><Relationship Type="http://schemas.openxmlformats.org/officeDocument/2006/relationships/hyperlink" Id="rId143" Target="https://doi.org/10.1109/ICSE43902.2021.00130" TargetMode="External" /><Relationship Type="http://schemas.openxmlformats.org/officeDocument/2006/relationships/hyperlink" Id="rId102" Target="https://doi.org/10.1109/IJCNN52387.2021.9534113" TargetMode="External" /><Relationship Type="http://schemas.openxmlformats.org/officeDocument/2006/relationships/hyperlink" Id="rId149" Target="https://doi.org/10.1109/ISSRE59848.2023.00071" TargetMode="External" /><Relationship Type="http://schemas.openxmlformats.org/officeDocument/2006/relationships/hyperlink" Id="rId135" Target="https://doi.org/10.1109/PHM.2008.4711414" TargetMode="External" /><Relationship Type="http://schemas.openxmlformats.org/officeDocument/2006/relationships/hyperlink" Id="rId80" Target="https://doi.org/10.1111/j.2517-6161.1995.tb02031.x" TargetMode="External" /><Relationship Type="http://schemas.openxmlformats.org/officeDocument/2006/relationships/hyperlink" Id="rId88" Target="https://doi.org/10.1145/312129.312191" TargetMode="External" /><Relationship Type="http://schemas.openxmlformats.org/officeDocument/2006/relationships/hyperlink" Id="rId78" Target="https://doi.org/10.1145/312129.312263" TargetMode="External" /><Relationship Type="http://schemas.openxmlformats.org/officeDocument/2006/relationships/hyperlink" Id="rId90" Target="https://doi.org/10.1145/3133956.3134015" TargetMode="External" /><Relationship Type="http://schemas.openxmlformats.org/officeDocument/2006/relationships/hyperlink" Id="rId147" Target="https://doi.org/10.1145/3338906.3338931" TargetMode="External" /><Relationship Type="http://schemas.openxmlformats.org/officeDocument/2006/relationships/hyperlink" Id="rId106" Target="https://doi.org/10.1145/342009.335372" TargetMode="External" /><Relationship Type="http://schemas.openxmlformats.org/officeDocument/2006/relationships/hyperlink" Id="rId116" Target="https://doi.org/10.1145/3472883.3487003" TargetMode="External" /><Relationship Type="http://schemas.openxmlformats.org/officeDocument/2006/relationships/hyperlink" Id="rId82" Target="https://doi.org/10.1214/aos/1013699998" TargetMode="External" /><Relationship Type="http://schemas.openxmlformats.org/officeDocument/2006/relationships/hyperlink" Id="rId112" Target="https://doi.org/10.1214/ss/1032209663" TargetMode="External" /><Relationship Type="http://schemas.openxmlformats.org/officeDocument/2006/relationships/hyperlink" Id="rId131" Target="https://doi.org/10.21105/joss.00638" TargetMode="External" /><Relationship Type="http://schemas.openxmlformats.org/officeDocument/2006/relationships/hyperlink" Id="rId118" Target="https://doi.org/10.24963/ijcai.2019/658" TargetMode="External" /><Relationship Type="http://schemas.openxmlformats.org/officeDocument/2006/relationships/hyperlink" Id="rId127" Target="https://doi.org/10.5281/zenodo.5841834" TargetMode="External" /><Relationship Type="http://schemas.openxmlformats.org/officeDocument/2006/relationships/hyperlink" Id="rId76" Target="https://github.com/alibaba/clusterdata" TargetMode="External" /><Relationship Type="http://schemas.openxmlformats.org/officeDocument/2006/relationships/hyperlink" Id="rId120" Target="https://www.kaggle.com/datasets/arnabbiswas1/microsoft-azure-predictive-maintenance" TargetMode="External" /><Relationship Type="http://schemas.openxmlformats.org/officeDocument/2006/relationships/hyperlink" Id="rId126" Target="https://zenodo.org/records/5841834" TargetMode="External" /><Relationship Type="http://schemas.openxmlformats.org/officeDocument/2006/relationships/hyperlink" Id="rId74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2" Target="https://arxiv.org/abs/1410.2597" TargetMode="External" /><Relationship Type="http://schemas.openxmlformats.org/officeDocument/2006/relationships/hyperlink" Id="rId84" Target="https://arxiv.org/abs/1808.02919" TargetMode="External" /><Relationship Type="http://schemas.openxmlformats.org/officeDocument/2006/relationships/hyperlink" Id="rId104" Target="https://arxiv.org/abs/2401.04749" TargetMode="External" /><Relationship Type="http://schemas.openxmlformats.org/officeDocument/2006/relationships/hyperlink" Id="rId94" Target="https://doi.org/10.1007/978-3-031-11217-1_3" TargetMode="External" /><Relationship Type="http://schemas.openxmlformats.org/officeDocument/2006/relationships/hyperlink" Id="rId100" Target="https://doi.org/10.1007/978-3-319-06483-3_8" TargetMode="External" /><Relationship Type="http://schemas.openxmlformats.org/officeDocument/2006/relationships/hyperlink" Id="rId96" Target="https://doi.org/10.1007/978-3-319-06608-0_4" TargetMode="External" /><Relationship Type="http://schemas.openxmlformats.org/officeDocument/2006/relationships/hyperlink" Id="rId98" Target="https://doi.org/10.1007/978-3-319-46131-1_8" TargetMode="External" /><Relationship Type="http://schemas.openxmlformats.org/officeDocument/2006/relationships/hyperlink" Id="rId86" Target="https://doi.org/10.1007/978-3-319-46349-0_33" TargetMode="External" /><Relationship Type="http://schemas.openxmlformats.org/officeDocument/2006/relationships/hyperlink" Id="rId133" Target="https://doi.org/10.1007/978-981-16-1160-5_13" TargetMode="External" /><Relationship Type="http://schemas.openxmlformats.org/officeDocument/2006/relationships/hyperlink" Id="rId139" Target="https://doi.org/10.1007/BFb0014140" TargetMode="External" /><Relationship Type="http://schemas.openxmlformats.org/officeDocument/2006/relationships/hyperlink" Id="rId137" Target="https://doi.org/10.1007/s10489-021-03004-y" TargetMode="External" /><Relationship Type="http://schemas.openxmlformats.org/officeDocument/2006/relationships/hyperlink" Id="rId108" Target="https://doi.org/10.1007/s11227-024-06297-1" TargetMode="External" /><Relationship Type="http://schemas.openxmlformats.org/officeDocument/2006/relationships/hyperlink" Id="rId145" Target="https://doi.org/10.1023/A:1007652502315" TargetMode="External" /><Relationship Type="http://schemas.openxmlformats.org/officeDocument/2006/relationships/hyperlink" Id="rId110" Target="https://doi.org/10.1038/s41597-025-04802-6" TargetMode="External" /><Relationship Type="http://schemas.openxmlformats.org/officeDocument/2006/relationships/hyperlink" Id="rId141" Target="https://doi.org/10.1073/pnas.1302233110" TargetMode="External" /><Relationship Type="http://schemas.openxmlformats.org/officeDocument/2006/relationships/hyperlink" Id="rId129" Target="https://doi.org/10.1093/biomet/65.1.153" TargetMode="External" /><Relationship Type="http://schemas.openxmlformats.org/officeDocument/2006/relationships/hyperlink" Id="rId114" Target="https://doi.org/10.1109/BigData.2017.8258257" TargetMode="External" /><Relationship Type="http://schemas.openxmlformats.org/officeDocument/2006/relationships/hyperlink" Id="rId122" Target="https://doi.org/10.1109/DSN.2007.103" TargetMode="External" /><Relationship Type="http://schemas.openxmlformats.org/officeDocument/2006/relationships/hyperlink" Id="rId124" Target="https://doi.org/10.1109/ICDE.2001.914830" TargetMode="External" /><Relationship Type="http://schemas.openxmlformats.org/officeDocument/2006/relationships/hyperlink" Id="rId151" Target="https://doi.org/10.1109/ICSE-SEIP.2019.00021" TargetMode="External" /><Relationship Type="http://schemas.openxmlformats.org/officeDocument/2006/relationships/hyperlink" Id="rId143" Target="https://doi.org/10.1109/ICSE43902.2021.00130" TargetMode="External" /><Relationship Type="http://schemas.openxmlformats.org/officeDocument/2006/relationships/hyperlink" Id="rId102" Target="https://doi.org/10.1109/IJCNN52387.2021.9534113" TargetMode="External" /><Relationship Type="http://schemas.openxmlformats.org/officeDocument/2006/relationships/hyperlink" Id="rId149" Target="https://doi.org/10.1109/ISSRE59848.2023.00071" TargetMode="External" /><Relationship Type="http://schemas.openxmlformats.org/officeDocument/2006/relationships/hyperlink" Id="rId135" Target="https://doi.org/10.1109/PHM.2008.4711414" TargetMode="External" /><Relationship Type="http://schemas.openxmlformats.org/officeDocument/2006/relationships/hyperlink" Id="rId80" Target="https://doi.org/10.1111/j.2517-6161.1995.tb02031.x" TargetMode="External" /><Relationship Type="http://schemas.openxmlformats.org/officeDocument/2006/relationships/hyperlink" Id="rId88" Target="https://doi.org/10.1145/312129.312191" TargetMode="External" /><Relationship Type="http://schemas.openxmlformats.org/officeDocument/2006/relationships/hyperlink" Id="rId78" Target="https://doi.org/10.1145/312129.312263" TargetMode="External" /><Relationship Type="http://schemas.openxmlformats.org/officeDocument/2006/relationships/hyperlink" Id="rId90" Target="https://doi.org/10.1145/3133956.3134015" TargetMode="External" /><Relationship Type="http://schemas.openxmlformats.org/officeDocument/2006/relationships/hyperlink" Id="rId147" Target="https://doi.org/10.1145/3338906.3338931" TargetMode="External" /><Relationship Type="http://schemas.openxmlformats.org/officeDocument/2006/relationships/hyperlink" Id="rId106" Target="https://doi.org/10.1145/342009.335372" TargetMode="External" /><Relationship Type="http://schemas.openxmlformats.org/officeDocument/2006/relationships/hyperlink" Id="rId116" Target="https://doi.org/10.1145/3472883.3487003" TargetMode="External" /><Relationship Type="http://schemas.openxmlformats.org/officeDocument/2006/relationships/hyperlink" Id="rId82" Target="https://doi.org/10.1214/aos/1013699998" TargetMode="External" /><Relationship Type="http://schemas.openxmlformats.org/officeDocument/2006/relationships/hyperlink" Id="rId112" Target="https://doi.org/10.1214/ss/1032209663" TargetMode="External" /><Relationship Type="http://schemas.openxmlformats.org/officeDocument/2006/relationships/hyperlink" Id="rId131" Target="https://doi.org/10.21105/joss.00638" TargetMode="External" /><Relationship Type="http://schemas.openxmlformats.org/officeDocument/2006/relationships/hyperlink" Id="rId118" Target="https://doi.org/10.24963/ijcai.2019/658" TargetMode="External" /><Relationship Type="http://schemas.openxmlformats.org/officeDocument/2006/relationships/hyperlink" Id="rId127" Target="https://doi.org/10.5281/zenodo.5841834" TargetMode="External" /><Relationship Type="http://schemas.openxmlformats.org/officeDocument/2006/relationships/hyperlink" Id="rId76" Target="https://github.com/alibaba/clusterdata" TargetMode="External" /><Relationship Type="http://schemas.openxmlformats.org/officeDocument/2006/relationships/hyperlink" Id="rId120" Target="https://www.kaggle.com/datasets/arnabbiswas1/microsoft-azure-predictive-maintenance" TargetMode="External" /><Relationship Type="http://schemas.openxmlformats.org/officeDocument/2006/relationships/hyperlink" Id="rId126" Target="https://zenodo.org/records/5841834" TargetMode="External" /><Relationship Type="http://schemas.openxmlformats.org/officeDocument/2006/relationships/hyperlink" Id="rId74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2026-08-29T06:51:13Z</dcterms:created>
  <dcterms:modified xsi:type="dcterms:W3CDTF">2026-08-29T06:51:13Z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