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47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event patterns in</w:t>
      </w:r>
      <w:r>
        <w:t xml:space="preserve"> </w:t>
      </w:r>
      <w:r>
        <w:t xml:space="preserve">these logs. This paper pivots from the</w:t>
      </w:r>
      <w:r>
        <w:t xml:space="preserve"> </w:t>
      </w:r>
      <w:r>
        <w:t xml:space="preserve">“</w:t>
      </w:r>
      <w:r>
        <w:t xml:space="preserve">how much is predictive</w:t>
      </w:r>
      <w:r>
        <w:t xml:space="preserve">”</w:t>
      </w:r>
      <w:r>
        <w:t xml:space="preserve"> </w:t>
      </w:r>
      <w:r>
        <w:t xml:space="preserve">question to the concrete question:</w:t>
      </w:r>
      <w:r>
        <w:t xml:space="preserve"> </w:t>
      </w:r>
      <w:r>
        <w:rPr>
          <w:b/>
          <w:bCs/>
        </w:rPr>
        <w:t xml:space="preserve">what specific patterns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data support, what do they mean operationally, and how would one</w:t>
      </w:r>
      <w:r>
        <w:rPr>
          <w:b/>
          <w:bCs/>
        </w:rPr>
        <w:t xml:space="preserve"> </w:t>
      </w:r>
      <w:r>
        <w:rPr>
          <w:b/>
          <w:bCs/>
        </w:rPr>
        <w:t xml:space="preserve">deploy them?</w:t>
      </w:r>
      <w:r>
        <w:t xml:space="preserve"> </w:t>
      </w:r>
      <w:r>
        <w:t xml:space="preserve">We produce a catalog of failure-precursor signatures</w:t>
      </w:r>
      <w:r>
        <w:t xml:space="preserve"> </w:t>
      </w:r>
      <w:r>
        <w:t xml:space="preserve">mined on four operational traces (synthetic per-machine Azure PdM,</w:t>
      </w:r>
      <w:r>
        <w:t xml:space="preserve"> </w:t>
      </w:r>
      <w:r>
        <w:t xml:space="preserve">real per-job Alibaba v2018, real per-rack LLNL Blue Gene/L syslogs,</w:t>
      </w:r>
      <w:r>
        <w:t xml:space="preserve"> </w:t>
      </w:r>
      <w:r>
        <w:t xml:space="preserve">real per-truck SCANIA Component X), each entry carrying statistical</w:t>
      </w:r>
      <w:r>
        <w:t xml:space="preserve"> </w:t>
      </w:r>
      <w:r>
        <w:t xml:space="preserve">evidence, a domain-specific interpretation, and an intended</w:t>
      </w:r>
      <w:r>
        <w:t xml:space="preserve"> </w:t>
      </w:r>
      <w:r>
        <w:t xml:space="preserve">deployment rule. Every signature is validated by an entity-disjoint</w:t>
      </w:r>
      <w:r>
        <w:t xml:space="preserve"> </w:t>
      </w:r>
      <w:r>
        <w:t xml:space="preserve">discovery/inference split (post-selection-valid p and BY q on the</w:t>
      </w:r>
      <w:r>
        <w:t xml:space="preserve"> </w:t>
      </w:r>
      <w:r>
        <w:t xml:space="preserve">inference half), a count-preserving order comparator (multiplicity-</w:t>
      </w:r>
      <w:r>
        <w:t xml:space="preserve"> </w:t>
      </w:r>
      <w:r>
        <w:t xml:space="preserve">free ordering effect), and, for the right-censored SCANIA trace,</w:t>
      </w:r>
      <w:r>
        <w:t xml:space="preserve"> </w:t>
      </w:r>
      <w:r>
        <w:t xml:space="preserve">matched conditional logistic regression stratified by risk set</w:t>
      </w:r>
      <w:r>
        <w:t xml:space="preserve"> </w:t>
      </w:r>
      <w:r>
        <w:t xml:space="preserve">(Prentice-Breslow). Headline signatures include: on Azure PdM,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at 24h horizon has</w:t>
      </w:r>
      <w:r>
        <w:t xml:space="preserve"> </w:t>
      </w:r>
      <w:r>
        <w:t xml:space="preserve">inference-half lift 4.0 with</w:t>
      </w:r>
      <w:r>
        <w:t xml:space="preserve"> </w:t>
      </w:r>
      <w:r>
        <w:rPr>
          <w:b/>
          <w:bCs/>
        </w:rPr>
        <w:t xml:space="preserve">zero occurrences in 6,800 control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(BY q = 4e-90), supporting a</w:t>
      </w:r>
      <w:r>
        <w:t xml:space="preserve"> </w:t>
      </w:r>
      <w:r>
        <w:t xml:space="preserve">“</w:t>
      </w:r>
      <w:r>
        <w:t xml:space="preserve">raise component-replacement</w:t>
      </w:r>
      <w:r>
        <w:t xml:space="preserve"> </w:t>
      </w:r>
      <w:r>
        <w:t xml:space="preserve">work order</w:t>
      </w:r>
      <w:r>
        <w:t xml:space="preserve">”</w:t>
      </w:r>
      <w:r>
        <w:t xml:space="preserve"> </w:t>
      </w:r>
      <w:r>
        <w:t xml:space="preserve">alarm rule; on Alibaba v2018,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at last3</w:t>
      </w:r>
      <w:r>
        <w:t xml:space="preserve"> </w:t>
      </w:r>
      <w:r>
        <w:t xml:space="preserve">horizon has lift 4.01 (BY q ≈ 0), n_case = 829 vs n_control = 9,</w:t>
      </w:r>
      <w:r>
        <w:t xml:space="preserve"> </w:t>
      </w:r>
      <w:r>
        <w:t xml:space="preserve">supporting a real-time Reduce-task-retry / preemptive-reschedule</w:t>
      </w:r>
      <w:r>
        <w:t xml:space="preserve"> </w:t>
      </w:r>
      <w:r>
        <w:t xml:space="preserve">rule (longer Alibaba patterns add no signal once event multiplicity</w:t>
      </w:r>
      <w:r>
        <w:t xml:space="preserve"> </w:t>
      </w:r>
      <w:r>
        <w:t xml:space="preserve">is controlled); on SCANIA,</w:t>
      </w:r>
      <w:r>
        <w:t xml:space="preserve"> </w:t>
      </w:r>
      <w:r>
        <w:rPr>
          <w:rStyle w:val="VerbatimChar"/>
        </w:rPr>
        <w:t xml:space="preserve">counter_surprise:397_{27, 28, 29}</w:t>
      </w:r>
      <w:r>
        <w:t xml:space="preserve"> </w:t>
      </w:r>
      <w:r>
        <w:t xml:space="preserve">has</w:t>
      </w:r>
      <w:r>
        <w:t xml:space="preserve"> </w:t>
      </w:r>
      <w:r>
        <w:t xml:space="preserve">matched HR 1.73 (95% CI [1.53, 1.96], p = 1e-17), supporting a</w:t>
      </w:r>
      <w:r>
        <w:t xml:space="preserve"> </w:t>
      </w:r>
      <w:r>
        <w:t xml:space="preserve">histogram-397-based fleet-triage rule for the top decile; on BGL,</w:t>
      </w:r>
      <w:r>
        <w:t xml:space="preserve"> </w:t>
      </w:r>
      <w:r>
        <w:t xml:space="preserve">no non-alert precursor survives, supporting a</w:t>
      </w:r>
      <w:r>
        <w:t xml:space="preserve"> </w:t>
      </w:r>
      <w:r>
        <w:t xml:space="preserve">“</w:t>
      </w:r>
      <w:r>
        <w:t xml:space="preserve">do not deploy this</w:t>
      </w:r>
      <w:r>
        <w:t xml:space="preserve"> </w:t>
      </w:r>
      <w:r>
        <w:t xml:space="preserve">pipeline for HPC alert-cascade early warning</w:t>
      </w:r>
      <w:r>
        <w:t xml:space="preserve">”</w:t>
      </w:r>
      <w:r>
        <w:t xml:space="preserve"> </w:t>
      </w:r>
      <w:r>
        <w:t xml:space="preserve">recommendation. Mined</w:t>
      </w:r>
      <w:r>
        <w:t xml:space="preserve"> </w:t>
      </w:r>
      <w:r>
        <w:t xml:space="preserve">patterns, matched-control windows, discovery/inference splits, and</w:t>
      </w:r>
      <w:r>
        <w:t xml:space="preserve"> </w:t>
      </w:r>
      <w:r>
        <w:t xml:space="preserve">matched hazard-ratio outputs are released as reproducible parquet</w:t>
      </w:r>
      <w:r>
        <w:t xml:space="preserve"> </w:t>
      </w:r>
      <w:r>
        <w:t xml:space="preserve">artefacts alongside the code repository.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3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</w:t>
      </w:r>
    </w:p>
    <w:bookmarkEnd w:id="39"/>
    <w:bookmarkStart w:id="40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0"/>
    <w:bookmarkStart w:id="41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1"/>
    <w:bookmarkStart w:id="42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2"/>
    <w:bookmarkEnd w:id="43"/>
    <w:bookmarkStart w:id="48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5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4">
        <w:r>
          <w:rPr>
            <w:rStyle w:val="Hyperlink"/>
          </w:rPr>
          <w:t xml:space="preserve">azure_window_horizon_vs_events.png</w:t>
        </w:r>
      </w:hyperlink>
    </w:p>
    <w:bookmarkEnd w:id="45"/>
    <w:bookmarkStart w:id="47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azure_sensitivity_min_support.png</w:t>
        </w:r>
      </w:hyperlink>
    </w:p>
    <w:bookmarkEnd w:id="47"/>
    <w:bookmarkEnd w:id="48"/>
    <w:bookmarkStart w:id="60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0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9">
        <w:r>
          <w:rPr>
            <w:rStyle w:val="Hyperlink"/>
          </w:rPr>
          <w:t xml:space="preserve">azure_itemset_vs_sequence_lift.png</w:t>
        </w:r>
      </w:hyperlink>
    </w:p>
    <w:bookmarkEnd w:id="50"/>
    <w:bookmarkStart w:id="52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four_dataset_predictive_comparison.png</w:t>
        </w:r>
      </w:hyperlink>
    </w:p>
    <w:bookmarkEnd w:id="52"/>
    <w:bookmarkStart w:id="53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3"/>
    <w:bookmarkStart w:id="54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the four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 (§6.5 predictive-vs-frequent-noise separation) and the</w:t>
      </w:r>
      <w:r>
        <w:t xml:space="preserve"> </w:t>
      </w:r>
      <w:r>
        <w:t xml:space="preserve">downstream predictive evaluation (§6.6, §6.7).</w:t>
      </w:r>
    </w:p>
    <w:bookmarkEnd w:id="54"/>
    <w:bookmarkStart w:id="55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§6.6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5"/>
    <w:bookmarkStart w:id="56" w:name="formal-significance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6"/>
    <w:bookmarkStart w:id="57" w:name="X9089ac7c4740497ca2f8946257a25d0f4921163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121 (60.5%) pass the joint criterion HR CI excludes</w:t>
      </w:r>
      <w:r>
        <w:rPr>
          <w:b/>
          <w:bCs/>
        </w:rPr>
        <w:t xml:space="preserve"> </w:t>
      </w:r>
      <w:r>
        <w:rPr>
          <w:b/>
          <w:bCs/>
        </w:rPr>
        <w:t xml:space="preserve">1 AND p &lt; 0.05</w:t>
      </w:r>
      <w:r>
        <w:t xml:space="preserve">. Top hazard ratios cluster in feature-397 bin</w:t>
      </w:r>
      <w:r>
        <w:t xml:space="preserve"> </w:t>
      </w:r>
      <w:r>
        <w:t xml:space="preserve">combinations, consistent with the concentration of predictive signal</w:t>
      </w:r>
      <w:r>
        <w:t xml:space="preserve"> </w:t>
      </w:r>
      <w:r>
        <w:t xml:space="preserve">in a small number of 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7"/>
    <w:bookmarkStart w:id="59" w:name="lead-time-on-true-positives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8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9"/>
    <w:bookmarkEnd w:id="60"/>
    <w:bookmarkStart w:id="64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1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1"/>
    <w:bookmarkStart w:id="62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2"/>
    <w:bookmarkStart w:id="63" w:name="four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Four contrasting case studies</w:t>
      </w:r>
    </w:p>
    <w:p>
      <w:pPr>
        <w:pStyle w:val="FirstParagraph"/>
      </w:pPr>
      <w:r>
        <w:t xml:space="preserve">Four heterogeneous traces are useful empirical evidence, and they</w:t>
      </w:r>
      <w:r>
        <w:t xml:space="preserve"> </w:t>
      </w:r>
      <w:r>
        <w:t xml:space="preserve">inform hypotheses about when pattern mining recovers meaningful</w:t>
      </w:r>
      <w:r>
        <w:t xml:space="preserve"> </w:t>
      </w:r>
      <w:r>
        <w:t xml:space="preserve">predictive structure and when it does not. They are not a</w:t>
      </w:r>
      <w:r>
        <w:t xml:space="preserve"> </w:t>
      </w:r>
      <w:r>
        <w:t xml:space="preserve">sufficient basis to infer a general</w:t>
      </w:r>
      <w:r>
        <w:t xml:space="preserve"> </w:t>
      </w:r>
      <w:r>
        <w:t xml:space="preserve">“</w:t>
      </w:r>
      <w:r>
        <w:t xml:space="preserve">regime of validity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method: four case studies differ along too many axes (domain,</w:t>
      </w:r>
      <w:r>
        <w:t xml:space="preserve"> </w:t>
      </w:r>
      <w:r>
        <w:t xml:space="preserve">event vocabulary, synthetic vs real, entity definition, target</w:t>
      </w:r>
      <w:r>
        <w:t xml:space="preserve"> </w:t>
      </w:r>
      <w:r>
        <w:t xml:space="preserve">construction, observation cadence, class prevalence, control</w:t>
      </w:r>
      <w:r>
        <w:t xml:space="preserve"> </w:t>
      </w:r>
      <w:r>
        <w:t xml:space="preserve">sampling) to isolate the causal factors that separate the two</w:t>
      </w:r>
      <w:r>
        <w:t xml:space="preserve"> </w:t>
      </w:r>
      <w:r>
        <w:t xml:space="preserve">positive traces (Azure PdM, Alibaba v2018) from the two boundary</w:t>
      </w:r>
      <w:r>
        <w:t xml:space="preserve"> </w:t>
      </w:r>
      <w:r>
        <w:t xml:space="preserve">traces (BGL, SCANIA Component X). We describe the pattern rather</w:t>
      </w:r>
      <w:r>
        <w:t xml:space="preserve"> </w:t>
      </w:r>
      <w:r>
        <w:t xml:space="preserve">than claim it as a rule.</w:t>
      </w:r>
    </w:p>
    <w:p>
      <w:pPr>
        <w:pStyle w:val="BodyText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3"/>
    <w:bookmarkEnd w:id="64"/>
    <w:bookmarkStart w:id="65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7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7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7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7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7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5"/>
    <w:bookmarkStart w:id="66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and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CC-BY-4.0); 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3.14.3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Wall-clock: the full pipeline (ingest, windows,</w:t>
      </w:r>
      <w:r>
        <w:t xml:space="preserve"> </w:t>
      </w:r>
      <w:r>
        <w:t xml:space="preserve">mining, significance, matched hazard, predictive eval) runs in under</w:t>
      </w:r>
      <w:r>
        <w:t xml:space="preserve"> </w:t>
      </w:r>
      <w:r>
        <w:t xml:space="preserve">one hour on a single CPU-only workstation for Azure PdM, Alibaba</w:t>
      </w:r>
      <w:r>
        <w:t xml:space="preserve"> </w:t>
      </w:r>
      <w:r>
        <w:t xml:space="preserve">batch_task, BGL, and SCANIA combined, excluding the initial trace</w:t>
      </w:r>
      <w:r>
        <w:t xml:space="preserve"> </w:t>
      </w:r>
      <w:r>
        <w:t xml:space="preserve">downloads.</w:t>
      </w:r>
    </w:p>
    <w:bookmarkEnd w:id="66"/>
    <w:bookmarkStart w:id="67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7"/>
    <w:bookmarkStart w:id="68" w:name="what-is-still-missing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8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8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8"/>
    <w:bookmarkStart w:id="146" w:name="what-is-verifie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9"/>
        </w:numPr>
      </w:pPr>
      <w:r>
        <w:t xml:space="preserve">Bibliography:</w:t>
      </w:r>
      <w:r>
        <w:t xml:space="preserve"> </w:t>
      </w:r>
      <w:hyperlink r:id="rId69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9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45" w:name="refs"/>
    <w:bookmarkStart w:id="70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0"/>
    <w:bookmarkStart w:id="72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1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2"/>
    <w:bookmarkStart w:id="74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3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4"/>
    <w:bookmarkStart w:id="7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6"/>
    <w:bookmarkStart w:id="7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78"/>
    <w:bookmarkStart w:id="80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9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0"/>
    <w:bookmarkStart w:id="82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2"/>
    <w:bookmarkStart w:id="84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3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4"/>
    <w:bookmarkStart w:id="86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5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6"/>
    <w:bookmarkStart w:id="88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88"/>
    <w:bookmarkStart w:id="90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89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0"/>
    <w:bookmarkStart w:id="92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2"/>
    <w:bookmarkStart w:id="94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3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4"/>
    <w:bookmarkStart w:id="96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6"/>
    <w:bookmarkStart w:id="98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98"/>
    <w:bookmarkStart w:id="100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99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0"/>
    <w:bookmarkStart w:id="102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1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2"/>
    <w:bookmarkStart w:id="104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4"/>
    <w:bookmarkStart w:id="106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05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06"/>
    <w:bookmarkStart w:id="108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07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08"/>
    <w:bookmarkStart w:id="110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09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10"/>
    <w:bookmarkStart w:id="112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1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2"/>
    <w:bookmarkStart w:id="114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3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4"/>
    <w:bookmarkStart w:id="116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15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16"/>
    <w:bookmarkStart w:id="118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17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18"/>
    <w:bookmarkStart w:id="120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19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20"/>
    <w:bookmarkStart w:id="122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21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22"/>
    <w:bookmarkStart w:id="124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23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24"/>
    <w:bookmarkStart w:id="126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26"/>
    <w:bookmarkStart w:id="128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28"/>
    <w:bookmarkStart w:id="130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29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30"/>
    <w:bookmarkStart w:id="132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32"/>
    <w:bookmarkStart w:id="134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33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34"/>
    <w:bookmarkStart w:id="136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35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36"/>
    <w:bookmarkStart w:id="138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37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38"/>
    <w:bookmarkStart w:id="140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39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40"/>
    <w:bookmarkStart w:id="142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42"/>
    <w:bookmarkStart w:id="144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43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44"/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./diagnostics/azure_window_horizon_vs_events.png" TargetMode="External" /><Relationship Type="http://schemas.openxmlformats.org/officeDocument/2006/relationships/hyperlink" Id="rId49" Target="../results/figures/azure_itemset_vs_sequence_lift.png" TargetMode="External" /><Relationship Type="http://schemas.openxmlformats.org/officeDocument/2006/relationships/hyperlink" Id="rId46" Target="../results/figures/azure_sensitivity_min_support.png" TargetMode="External" /><Relationship Type="http://schemas.openxmlformats.org/officeDocument/2006/relationships/hyperlink" Id="rId51" Target="../results/figures/four_dataset_predictive_comparison.png" TargetMode="External" /><Relationship Type="http://schemas.openxmlformats.org/officeDocument/2006/relationships/hyperlink" Id="rId58" Target="../results/tables/" TargetMode="External" /><Relationship Type="http://schemas.openxmlformats.org/officeDocument/2006/relationships/hyperlink" Id="rId87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99" Target="https://arxiv.org/abs/2401.04749" TargetMode="External" /><Relationship Type="http://schemas.openxmlformats.org/officeDocument/2006/relationships/hyperlink" Id="rId89" Target="https://doi.org/10.1007/978-3-031-11217-1_3" TargetMode="External" /><Relationship Type="http://schemas.openxmlformats.org/officeDocument/2006/relationships/hyperlink" Id="rId95" Target="https://doi.org/10.1007/978-3-319-06483-3_8" TargetMode="External" /><Relationship Type="http://schemas.openxmlformats.org/officeDocument/2006/relationships/hyperlink" Id="rId91" Target="https://doi.org/10.1007/978-3-319-06608-0_4" TargetMode="External" /><Relationship Type="http://schemas.openxmlformats.org/officeDocument/2006/relationships/hyperlink" Id="rId93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25" Target="https://doi.org/10.1007/978-981-16-1160-5_13" TargetMode="External" /><Relationship Type="http://schemas.openxmlformats.org/officeDocument/2006/relationships/hyperlink" Id="rId131" Target="https://doi.org/10.1007/BFb0014140" TargetMode="External" /><Relationship Type="http://schemas.openxmlformats.org/officeDocument/2006/relationships/hyperlink" Id="rId129" Target="https://doi.org/10.1007/s10489-021-03004-y" TargetMode="External" /><Relationship Type="http://schemas.openxmlformats.org/officeDocument/2006/relationships/hyperlink" Id="rId103" Target="https://doi.org/10.1007/s11227-024-06297-1" TargetMode="External" /><Relationship Type="http://schemas.openxmlformats.org/officeDocument/2006/relationships/hyperlink" Id="rId137" Target="https://doi.org/10.1023/A:1007652502315" TargetMode="External" /><Relationship Type="http://schemas.openxmlformats.org/officeDocument/2006/relationships/hyperlink" Id="rId105" Target="https://doi.org/10.1038/s41597-025-04802-6" TargetMode="External" /><Relationship Type="http://schemas.openxmlformats.org/officeDocument/2006/relationships/hyperlink" Id="rId133" Target="https://doi.org/10.1073/pnas.1302233110" TargetMode="External" /><Relationship Type="http://schemas.openxmlformats.org/officeDocument/2006/relationships/hyperlink" Id="rId121" Target="https://doi.org/10.1093/biomet/65.1.153" TargetMode="External" /><Relationship Type="http://schemas.openxmlformats.org/officeDocument/2006/relationships/hyperlink" Id="rId109" Target="https://doi.org/10.1109/BigData.2017.8258257" TargetMode="External" /><Relationship Type="http://schemas.openxmlformats.org/officeDocument/2006/relationships/hyperlink" Id="rId117" Target="https://doi.org/10.1109/DSN.2007.103" TargetMode="External" /><Relationship Type="http://schemas.openxmlformats.org/officeDocument/2006/relationships/hyperlink" Id="rId119" Target="https://doi.org/10.1109/ICDE.2001.914830" TargetMode="External" /><Relationship Type="http://schemas.openxmlformats.org/officeDocument/2006/relationships/hyperlink" Id="rId143" Target="https://doi.org/10.1109/ICSE-SEIP.2019.00021" TargetMode="External" /><Relationship Type="http://schemas.openxmlformats.org/officeDocument/2006/relationships/hyperlink" Id="rId135" Target="https://doi.org/10.1109/ICSE43902.2021.00130" TargetMode="External" /><Relationship Type="http://schemas.openxmlformats.org/officeDocument/2006/relationships/hyperlink" Id="rId97" Target="https://doi.org/10.1109/IJCNN52387.2021.9534113" TargetMode="External" /><Relationship Type="http://schemas.openxmlformats.org/officeDocument/2006/relationships/hyperlink" Id="rId141" Target="https://doi.org/10.1109/ISSRE59848.2023.00071" TargetMode="External" /><Relationship Type="http://schemas.openxmlformats.org/officeDocument/2006/relationships/hyperlink" Id="rId127" Target="https://doi.org/10.1109/PHM.2008.4711414" TargetMode="External" /><Relationship Type="http://schemas.openxmlformats.org/officeDocument/2006/relationships/hyperlink" Id="rId75" Target="https://doi.org/10.1111/j.2517-6161.1995.tb02031.x" TargetMode="External" /><Relationship Type="http://schemas.openxmlformats.org/officeDocument/2006/relationships/hyperlink" Id="rId83" Target="https://doi.org/10.1145/312129.312191" TargetMode="External" /><Relationship Type="http://schemas.openxmlformats.org/officeDocument/2006/relationships/hyperlink" Id="rId73" Target="https://doi.org/10.1145/312129.312263" TargetMode="External" /><Relationship Type="http://schemas.openxmlformats.org/officeDocument/2006/relationships/hyperlink" Id="rId85" Target="https://doi.org/10.1145/3133956.3134015" TargetMode="External" /><Relationship Type="http://schemas.openxmlformats.org/officeDocument/2006/relationships/hyperlink" Id="rId139" Target="https://doi.org/10.1145/3338906.3338931" TargetMode="External" /><Relationship Type="http://schemas.openxmlformats.org/officeDocument/2006/relationships/hyperlink" Id="rId101" Target="https://doi.org/10.1145/342009.335372" TargetMode="External" /><Relationship Type="http://schemas.openxmlformats.org/officeDocument/2006/relationships/hyperlink" Id="rId111" Target="https://doi.org/10.1145/3472883.3487003" TargetMode="External" /><Relationship Type="http://schemas.openxmlformats.org/officeDocument/2006/relationships/hyperlink" Id="rId77" Target="https://doi.org/10.1214/aos/1013699998" TargetMode="External" /><Relationship Type="http://schemas.openxmlformats.org/officeDocument/2006/relationships/hyperlink" Id="rId107" Target="https://doi.org/10.1214/ss/1032209663" TargetMode="External" /><Relationship Type="http://schemas.openxmlformats.org/officeDocument/2006/relationships/hyperlink" Id="rId123" Target="https://doi.org/10.21105/joss.00638" TargetMode="External" /><Relationship Type="http://schemas.openxmlformats.org/officeDocument/2006/relationships/hyperlink" Id="rId113" Target="https://doi.org/10.24963/ijcai.2019/658" TargetMode="External" /><Relationship Type="http://schemas.openxmlformats.org/officeDocument/2006/relationships/hyperlink" Id="rId71" Target="https://github.com/alibaba/clusterdata" TargetMode="External" /><Relationship Type="http://schemas.openxmlformats.org/officeDocument/2006/relationships/hyperlink" Id="rId115" Target="https://www.kaggle.com/datasets/arnabbiswas1/microsoft-azure-predictive-maintenance" TargetMode="External" /><Relationship Type="http://schemas.openxmlformats.org/officeDocument/2006/relationships/hyperlink" Id="rId69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diagnostics/azure_window_horizon_vs_events.png" TargetMode="External" /><Relationship Type="http://schemas.openxmlformats.org/officeDocument/2006/relationships/hyperlink" Id="rId49" Target="../results/figures/azure_itemset_vs_sequence_lift.png" TargetMode="External" /><Relationship Type="http://schemas.openxmlformats.org/officeDocument/2006/relationships/hyperlink" Id="rId46" Target="../results/figures/azure_sensitivity_min_support.png" TargetMode="External" /><Relationship Type="http://schemas.openxmlformats.org/officeDocument/2006/relationships/hyperlink" Id="rId51" Target="../results/figures/four_dataset_predictive_comparison.png" TargetMode="External" /><Relationship Type="http://schemas.openxmlformats.org/officeDocument/2006/relationships/hyperlink" Id="rId58" Target="../results/tables/" TargetMode="External" /><Relationship Type="http://schemas.openxmlformats.org/officeDocument/2006/relationships/hyperlink" Id="rId87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99" Target="https://arxiv.org/abs/2401.04749" TargetMode="External" /><Relationship Type="http://schemas.openxmlformats.org/officeDocument/2006/relationships/hyperlink" Id="rId89" Target="https://doi.org/10.1007/978-3-031-11217-1_3" TargetMode="External" /><Relationship Type="http://schemas.openxmlformats.org/officeDocument/2006/relationships/hyperlink" Id="rId95" Target="https://doi.org/10.1007/978-3-319-06483-3_8" TargetMode="External" /><Relationship Type="http://schemas.openxmlformats.org/officeDocument/2006/relationships/hyperlink" Id="rId91" Target="https://doi.org/10.1007/978-3-319-06608-0_4" TargetMode="External" /><Relationship Type="http://schemas.openxmlformats.org/officeDocument/2006/relationships/hyperlink" Id="rId93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25" Target="https://doi.org/10.1007/978-981-16-1160-5_13" TargetMode="External" /><Relationship Type="http://schemas.openxmlformats.org/officeDocument/2006/relationships/hyperlink" Id="rId131" Target="https://doi.org/10.1007/BFb0014140" TargetMode="External" /><Relationship Type="http://schemas.openxmlformats.org/officeDocument/2006/relationships/hyperlink" Id="rId129" Target="https://doi.org/10.1007/s10489-021-03004-y" TargetMode="External" /><Relationship Type="http://schemas.openxmlformats.org/officeDocument/2006/relationships/hyperlink" Id="rId103" Target="https://doi.org/10.1007/s11227-024-06297-1" TargetMode="External" /><Relationship Type="http://schemas.openxmlformats.org/officeDocument/2006/relationships/hyperlink" Id="rId137" Target="https://doi.org/10.1023/A:1007652502315" TargetMode="External" /><Relationship Type="http://schemas.openxmlformats.org/officeDocument/2006/relationships/hyperlink" Id="rId105" Target="https://doi.org/10.1038/s41597-025-04802-6" TargetMode="External" /><Relationship Type="http://schemas.openxmlformats.org/officeDocument/2006/relationships/hyperlink" Id="rId133" Target="https://doi.org/10.1073/pnas.1302233110" TargetMode="External" /><Relationship Type="http://schemas.openxmlformats.org/officeDocument/2006/relationships/hyperlink" Id="rId121" Target="https://doi.org/10.1093/biomet/65.1.153" TargetMode="External" /><Relationship Type="http://schemas.openxmlformats.org/officeDocument/2006/relationships/hyperlink" Id="rId109" Target="https://doi.org/10.1109/BigData.2017.8258257" TargetMode="External" /><Relationship Type="http://schemas.openxmlformats.org/officeDocument/2006/relationships/hyperlink" Id="rId117" Target="https://doi.org/10.1109/DSN.2007.103" TargetMode="External" /><Relationship Type="http://schemas.openxmlformats.org/officeDocument/2006/relationships/hyperlink" Id="rId119" Target="https://doi.org/10.1109/ICDE.2001.914830" TargetMode="External" /><Relationship Type="http://schemas.openxmlformats.org/officeDocument/2006/relationships/hyperlink" Id="rId143" Target="https://doi.org/10.1109/ICSE-SEIP.2019.00021" TargetMode="External" /><Relationship Type="http://schemas.openxmlformats.org/officeDocument/2006/relationships/hyperlink" Id="rId135" Target="https://doi.org/10.1109/ICSE43902.2021.00130" TargetMode="External" /><Relationship Type="http://schemas.openxmlformats.org/officeDocument/2006/relationships/hyperlink" Id="rId97" Target="https://doi.org/10.1109/IJCNN52387.2021.9534113" TargetMode="External" /><Relationship Type="http://schemas.openxmlformats.org/officeDocument/2006/relationships/hyperlink" Id="rId141" Target="https://doi.org/10.1109/ISSRE59848.2023.00071" TargetMode="External" /><Relationship Type="http://schemas.openxmlformats.org/officeDocument/2006/relationships/hyperlink" Id="rId127" Target="https://doi.org/10.1109/PHM.2008.4711414" TargetMode="External" /><Relationship Type="http://schemas.openxmlformats.org/officeDocument/2006/relationships/hyperlink" Id="rId75" Target="https://doi.org/10.1111/j.2517-6161.1995.tb02031.x" TargetMode="External" /><Relationship Type="http://schemas.openxmlformats.org/officeDocument/2006/relationships/hyperlink" Id="rId83" Target="https://doi.org/10.1145/312129.312191" TargetMode="External" /><Relationship Type="http://schemas.openxmlformats.org/officeDocument/2006/relationships/hyperlink" Id="rId73" Target="https://doi.org/10.1145/312129.312263" TargetMode="External" /><Relationship Type="http://schemas.openxmlformats.org/officeDocument/2006/relationships/hyperlink" Id="rId85" Target="https://doi.org/10.1145/3133956.3134015" TargetMode="External" /><Relationship Type="http://schemas.openxmlformats.org/officeDocument/2006/relationships/hyperlink" Id="rId139" Target="https://doi.org/10.1145/3338906.3338931" TargetMode="External" /><Relationship Type="http://schemas.openxmlformats.org/officeDocument/2006/relationships/hyperlink" Id="rId101" Target="https://doi.org/10.1145/342009.335372" TargetMode="External" /><Relationship Type="http://schemas.openxmlformats.org/officeDocument/2006/relationships/hyperlink" Id="rId111" Target="https://doi.org/10.1145/3472883.3487003" TargetMode="External" /><Relationship Type="http://schemas.openxmlformats.org/officeDocument/2006/relationships/hyperlink" Id="rId77" Target="https://doi.org/10.1214/aos/1013699998" TargetMode="External" /><Relationship Type="http://schemas.openxmlformats.org/officeDocument/2006/relationships/hyperlink" Id="rId107" Target="https://doi.org/10.1214/ss/1032209663" TargetMode="External" /><Relationship Type="http://schemas.openxmlformats.org/officeDocument/2006/relationships/hyperlink" Id="rId123" Target="https://doi.org/10.21105/joss.00638" TargetMode="External" /><Relationship Type="http://schemas.openxmlformats.org/officeDocument/2006/relationships/hyperlink" Id="rId113" Target="https://doi.org/10.24963/ijcai.2019/658" TargetMode="External" /><Relationship Type="http://schemas.openxmlformats.org/officeDocument/2006/relationships/hyperlink" Id="rId71" Target="https://github.com/alibaba/clusterdata" TargetMode="External" /><Relationship Type="http://schemas.openxmlformats.org/officeDocument/2006/relationships/hyperlink" Id="rId115" Target="https://www.kaggle.com/datasets/arnabbiswas1/microsoft-azure-predictive-maintenance" TargetMode="External" /><Relationship Type="http://schemas.openxmlformats.org/officeDocument/2006/relationships/hyperlink" Id="rId69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2026-08-29T05:36:07Z</dcterms:created>
  <dcterms:modified xsi:type="dcterms:W3CDTF">2026-08-29T05:36:07Z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