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" ContentType="image/svg+xml"/>
  <Override PartName="/word/media/rId47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8.png" ContentType="image/png"/>
  <Override PartName="/word/media/rId79.png" ContentType="image/png"/>
  <Override PartName="/word/media/rId72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Driver</w:t>
      </w:r>
      <w:r>
        <w:t xml:space="preserve"> </w:t>
      </w:r>
      <w:r>
        <w:t xml:space="preserve">or</w:t>
      </w:r>
      <w:r>
        <w:t xml:space="preserve"> </w:t>
      </w:r>
      <w:r>
        <w:t xml:space="preserve">Vehicle?</w:t>
      </w:r>
      <w:r>
        <w:t xml:space="preserve"> </w:t>
      </w:r>
      <w:r>
        <w:t xml:space="preserve">Multi-Source</w:t>
      </w:r>
      <w:r>
        <w:t xml:space="preserve"> </w:t>
      </w:r>
      <w:r>
        <w:t xml:space="preserve">Signature</w:t>
      </w:r>
      <w:r>
        <w:t xml:space="preserve"> </w:t>
      </w:r>
      <w:r>
        <w:t xml:space="preserve">Attribution</w:t>
      </w:r>
      <w:r>
        <w:t xml:space="preserve"> </w:t>
      </w:r>
      <w:r>
        <w:t xml:space="preserve">of</w:t>
      </w:r>
      <w:r>
        <w:t xml:space="preserve"> </w:t>
      </w:r>
      <w:r>
        <w:t xml:space="preserve">Excess</w:t>
      </w:r>
      <w:r>
        <w:t xml:space="preserve"> </w:t>
      </w:r>
      <w:r>
        <w:t xml:space="preserve">Fuel</w:t>
      </w:r>
    </w:p>
    <w:bookmarkStart w:id="20" w:name="X524239ff30af4a85c14a5e9e77d6e5a662b8d5d"/>
    <w:p>
      <w:pPr>
        <w:pStyle w:val="Heading1"/>
      </w:pPr>
      <w:r>
        <w:t xml:space="preserve">Driver or Vehicle? Multi-Source Signature Attribution of Excess Fuel Consumption</w:t>
      </w:r>
      <w:r>
        <w:br/>
      </w:r>
      <w:r>
        <w:t xml:space="preserve">Under Missing Joint Cause Labels</w:t>
      </w:r>
    </w:p>
    <w:p>
      <w:pPr>
        <w:pStyle w:val="FirstParagraph"/>
      </w:pPr>
      <w:r>
        <w:t xml:space="preserve">Alexander Apartsin</w:t>
      </w:r>
      <w:r>
        <w:rPr>
          <w:vertAlign w:val="superscript"/>
        </w:rPr>
        <w:t xml:space="preserve">1</w:t>
      </w:r>
      <w:r>
        <w:t xml:space="preserve">, Yehudit Aperstein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School of Computer Science, Faculty of</w:t>
      </w:r>
      <w:r>
        <w:t xml:space="preserve"> </w:t>
      </w:r>
      <w:r>
        <w:t xml:space="preserve">Sciences, Holon Institute of Technology (HIT), Holon, Israel</w:t>
      </w:r>
      <w:r>
        <w:br/>
      </w:r>
      <w:r>
        <w:rPr>
          <w:vertAlign w:val="superscript"/>
        </w:rPr>
        <w:t xml:space="preserve">2</w:t>
      </w:r>
      <w:r>
        <w:t xml:space="preserve">Intelligent Systems, Afeka Academic College of Engineering, Tel-Aviv, Israel</w:t>
      </w:r>
    </w:p>
    <w:bookmarkEnd w:id="20"/>
    <w:bookmarkStart w:id="25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Excess fuel consumption presents the same symptom for two very different causes: an</w:t>
      </w:r>
      <w:r>
        <w:t xml:space="preserve"> </w:t>
      </w:r>
      <w:r>
        <w:t xml:space="preserve">aggressive driver and a malfunctioning vehicle both burn more than expected, yet one calls for</w:t>
      </w:r>
      <w:r>
        <w:t xml:space="preserve"> </w:t>
      </w:r>
      <w:r>
        <w:t xml:space="preserve">coaching and the other for maintenance. A fuel-per-distance figure cannot tell them apart. We show the</w:t>
      </w:r>
      <w:r>
        <w:t xml:space="preserve"> </w:t>
      </w:r>
      <w:r>
        <w:t xml:space="preserve">two causes leave separable signatures. Driver-caused excess is transient and kinematic, expressed in</w:t>
      </w:r>
      <w:r>
        <w:t xml:space="preserve"> </w:t>
      </w:r>
      <w:r>
        <w:t xml:space="preserve">acceleration, jerk, and harsh events at a normal air-fuel ratio; malfunction-caused excess, exemplified</w:t>
      </w:r>
      <w:r>
        <w:t xml:space="preserve"> </w:t>
      </w:r>
      <w:r>
        <w:t xml:space="preserve">by a rich mixture, is steady-state and combustion-linked, expressed as an air-fuel-ratio shift and in</w:t>
      </w:r>
      <w:r>
        <w:t xml:space="preserve"> </w:t>
      </w:r>
      <w:r>
        <w:t xml:space="preserve">the unburnt-fuel emission products. No public dataset carries fuel, mechanical-fault labels, and driver behaviour jointly. We therefore adopt a two-arm design on real data: a fleet-telemetry arm on the</w:t>
      </w:r>
      <w:r>
        <w:t xml:space="preserve"> </w:t>
      </w:r>
      <w:r>
        <w:t xml:space="preserve">Vehicle Energy Dataset (VED; 197 gasoline vehicles, 14,460 trips) and a controlled engine-fault arm on</w:t>
      </w:r>
      <w:r>
        <w:t xml:space="preserve"> </w:t>
      </w:r>
      <w:r>
        <w:t xml:space="preserve">EngineFaultDB, with the behaviour axis externally validated on an independent labelled driving dataset.</w:t>
      </w:r>
      <w:r>
        <w:t xml:space="preserve"> </w:t>
      </w:r>
      <w:r>
        <w:t xml:space="preserve">An expected-fuel model reaches held-out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0.673</m:t>
        </m:r>
      </m:oMath>
      <w:r>
        <w:t xml:space="preserve"> </w:t>
      </w:r>
      <w:r>
        <w:t xml:space="preserve">(95% CI [0.628, 0.709]); driving behaviour and</w:t>
      </w:r>
      <w:r>
        <w:t xml:space="preserve"> </w:t>
      </w:r>
      <w:r>
        <w:t xml:space="preserve">a persistent vehicle-baseline explain 8% and 14% of trip-fuel variance. The rich-mixture fault burns</w:t>
      </w:r>
      <w:r>
        <w:t xml:space="preserve"> </w:t>
      </w:r>
      <w:r>
        <w:t xml:space="preserve">+6.2% excess fuel with an emissions signature, while the combustion axis remains silent for</w:t>
      </w:r>
      <w:r>
        <w:t xml:space="preserve"> </w:t>
      </w:r>
      <w:r>
        <w:t xml:space="preserve">driver-caused excess (held-out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), a silence that survives a trim-corrected</w:t>
      </w:r>
      <w:r>
        <w:t xml:space="preserve"> </w:t>
      </w:r>
      <w:r>
        <w:t xml:space="preserve">fuel target and holds within the highest-trim vehicles. On semi-synthetic ground truth, where both</w:t>
      </w:r>
      <w:r>
        <w:t xml:space="preserve"> </w:t>
      </w:r>
      <w:r>
        <w:t xml:space="preserve">causes raise fuel by the same amount so that magnitude is uninformative, signatures learned only in their source domains, frozen and combined on the target without joint supervision, attribute driver-versus-fault excess at 88.6% at the bench-calibrated effect size (a classifier trained on the injected labels reaches an upper bound of 95.9%), while fuel magnitude alone is at chance. Both axes derive from</w:t>
      </w:r>
      <w:r>
        <w:t xml:space="preserve"> </w:t>
      </w:r>
      <w:r>
        <w:t xml:space="preserve">standard on-board-diagnostics channels, making per-trip attribution deployable on existing telematics.</w:t>
      </w:r>
    </w:p>
    <w:bookmarkStart w:id="24" w:name="contributions"/>
    <w:p>
      <w:pPr>
        <w:pStyle w:val="Heading3"/>
      </w:pPr>
      <w: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t xml:space="preserve">A signature-based framework that attributes excess fuel to</w:t>
      </w:r>
      <w:r>
        <w:t xml:space="preserve"> </w:t>
      </w:r>
      <w:r>
        <w:rPr>
          <w:b/>
          <w:bCs/>
        </w:rPr>
        <w:t xml:space="preserve">driver behaviour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vehicle malfunction</w:t>
      </w:r>
      <w:r>
        <w:t xml:space="preserve"> </w:t>
      </w:r>
      <w:r>
        <w:t xml:space="preserve">using only public data, resolved into a kinematic and a combustion axis.</w:t>
      </w:r>
    </w:p>
    <w:p>
      <w:pPr>
        <w:pStyle w:val="Compact"/>
        <w:numPr>
          <w:ilvl w:val="0"/>
          <w:numId w:val="1001"/>
        </w:numPr>
      </w:pPr>
      <w:r>
        <w:t xml:space="preserve">A variance decomposition of trip fuel on a public fleet of 194 vehicles (14,170 trips after fuel-quality filtering of the 197-vehicle, 14,460-trip panel) into behaviour, vehicle-baseline, and environment components, each with</w:t>
      </w:r>
      <w:r>
        <w:t xml:space="preserve"> </w:t>
      </w:r>
      <w:r>
        <w:t xml:space="preserve">bootstrap confidence intervals.</w:t>
      </w:r>
    </w:p>
    <w:p>
      <w:pPr>
        <w:pStyle w:val="Compact"/>
        <w:numPr>
          <w:ilvl w:val="0"/>
          <w:numId w:val="1001"/>
        </w:numPr>
      </w:pPr>
      <w:r>
        <w:t xml:space="preserve">A cross-dataset</w:t>
      </w:r>
      <w:r>
        <w:t xml:space="preserve"> </w:t>
      </w:r>
      <w:r>
        <w:rPr>
          <w:b/>
          <w:bCs/>
        </w:rPr>
        <w:t xml:space="preserve">signature contrast</w:t>
      </w:r>
      <w:r>
        <w:t xml:space="preserve">: the combustion axis is silent for driver-caused excess</w:t>
      </w:r>
      <w:r>
        <w:t xml:space="preserve"> </w:t>
      </w:r>
      <w:r>
        <w:t xml:space="preserve">(held-out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), a silence that survives trim-corrected fuel and the</w:t>
      </w:r>
      <w:r>
        <w:t xml:space="preserve"> </w:t>
      </w:r>
      <w:r>
        <w:t xml:space="preserve">highest-trim vehicles, ruling out a measurement artifact.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Frozen source-derived signatures</w:t>
      </w:r>
      <w:r>
        <w:t xml:space="preserve"> </w:t>
      </w:r>
      <w:r>
        <w:t xml:space="preserve">learned in separate domains attribute driver-versus-fault</w:t>
      </w:r>
      <w:r>
        <w:t xml:space="preserve"> </w:t>
      </w:r>
      <w:r>
        <w:t xml:space="preserve">excess at 88.6% at a bench-calibrated magnitude (trained upper bound 95.9%) with no joint</w:t>
      </w:r>
      <w:r>
        <w:t xml:space="preserve"> </w:t>
      </w:r>
      <w:r>
        <w:t xml:space="preserve">supervision, where fuel magnitude alone is at chance.</w:t>
      </w:r>
    </w:p>
    <w:p>
      <w:pPr>
        <w:pStyle w:val="Compact"/>
        <w:numPr>
          <w:ilvl w:val="0"/>
          <w:numId w:val="1001"/>
        </w:numPr>
      </w:pPr>
      <w:r>
        <w:t xml:space="preserve">A documented survey of the joint fuel + fault + behaviour data gap, and a reproducible pipeline and paper in which every number traces to a script.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Overview. Two public datasets each carry one ground truth (driver</w:t>
      </w:r>
      <w:r>
        <w:t xml:space="preserve"> </w:t>
      </w:r>
      <w:r>
        <w:t xml:space="preserve">behaviour in VED, engine faults on the bench); an independent dataset validates the behaviour axis.</w:t>
      </w:r>
      <w:r>
        <w:t xml:space="preserve"> </w:t>
      </w:r>
      <w:r>
        <w:t xml:space="preserve">Excess fuel is resolved onto a kinematic and a combustion axis, and a semi-synthetic bridge measures</w:t>
      </w:r>
      <w:r>
        <w:t xml:space="preserve"> </w:t>
      </w:r>
      <w:r>
        <w:t xml:space="preserve">attribution accuracy where no single real dataset can.</w:t>
      </w:r>
    </w:p>
    <w:bookmarkEnd w:id="24"/>
    <w:bookmarkEnd w:id="25"/>
    <w:bookmarkStart w:id="26" w:name="intro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Fuel is the largest controllable operating cost of a commercial vehicle fleet and a direct source</w:t>
      </w:r>
      <w:r>
        <w:t xml:space="preserve"> </w:t>
      </w:r>
      <w:r>
        <w:t xml:space="preserve">of tailpipe emissions. When a vehicle consistently burns more than expected, an operator faces a</w:t>
      </w:r>
      <w:r>
        <w:t xml:space="preserve"> </w:t>
      </w:r>
      <w:r>
        <w:t xml:space="preserve">decision with two very different remedies: coach the driver, or service the vehicle. The remedies are</w:t>
      </w:r>
      <w:r>
        <w:t xml:space="preserve"> </w:t>
      </w:r>
      <w:r>
        <w:t xml:space="preserve">not interchangeable. Sending an efficient driver to remedial training wastes time and erodes trust,</w:t>
      </w:r>
      <w:r>
        <w:t xml:space="preserve"> </w:t>
      </w:r>
      <w:r>
        <w:t xml:space="preserve">and dispatching a mechanically sound vehicle to the workshop wastes a service slot; conversely, a</w:t>
      </w:r>
      <w:r>
        <w:t xml:space="preserve"> </w:t>
      </w:r>
      <w:r>
        <w:t xml:space="preserve">genuine fault left uncorrected keeps burning fuel and may worsen. The decision therefore rests on</w:t>
      </w:r>
      <w:r>
        <w:t xml:space="preserve"> </w:t>
      </w:r>
      <w:r>
        <w:t xml:space="preserve">knowing the cause of the excess, not merely its size.</w:t>
      </w:r>
    </w:p>
    <w:p>
      <w:pPr>
        <w:pStyle w:val="BodyText"/>
      </w:pPr>
      <w:r>
        <w:t xml:space="preserve">We treat this as an attribution problem. For a trip that consumed more fuel than its route and</w:t>
      </w:r>
      <w:r>
        <w:t xml:space="preserve"> </w:t>
      </w:r>
      <w:r>
        <w:t xml:space="preserve">conditions warrant, let the excess be the difference between observed and expected consumption; the</w:t>
      </w:r>
      <w:r>
        <w:t xml:space="preserve"> </w:t>
      </w:r>
      <w:r>
        <w:t xml:space="preserve">task is to decompose that excess into a driver-behaviour component and a vehicle component (the vehicle-baseline defined in Section 4.3). Raw fuel</w:t>
      </w:r>
      <w:r>
        <w:t xml:space="preserve"> </w:t>
      </w:r>
      <w:r>
        <w:t xml:space="preserve">per distance cannot perform this decomposition, because both an aggressive driving style and a</w:t>
      </w:r>
      <w:r>
        <w:t xml:space="preserve"> </w:t>
      </w:r>
      <w:r>
        <w:t xml:space="preserve">degraded engine inflate the same scalar. The question is operationally valuable and, on public data,</w:t>
      </w:r>
      <w:r>
        <w:t xml:space="preserve"> </w:t>
      </w:r>
      <w:r>
        <w:t xml:space="preserve">largely unanswered: fuel-consumption models predict the scalar accurately without decomposing its</w:t>
      </w:r>
      <w:r>
        <w:t xml:space="preserve"> </w:t>
      </w:r>
      <w:r>
        <w:t xml:space="preserve">causes; eco-driving and behaviour-scoring work quantifies the driver in isolation; and</w:t>
      </w:r>
      <w:r>
        <w:t xml:space="preserve"> </w:t>
      </w:r>
      <w:r>
        <w:t xml:space="preserve">predictive-maintenance work targets the fault directly but rarely treats fuel efficiency as the</w:t>
      </w:r>
      <w:r>
        <w:t xml:space="preserve"> </w:t>
      </w:r>
      <w:r>
        <w:t xml:space="preserve">symptom to explain.</w:t>
      </w:r>
    </w:p>
    <w:p>
      <w:pPr>
        <w:pStyle w:val="BodyText"/>
      </w:pPr>
      <w:r>
        <w:t xml:space="preserve">Our approach rests on a physical observation about how the two causes express themselves.</w:t>
      </w:r>
      <w:r>
        <w:t xml:space="preserve"> </w:t>
      </w:r>
      <w:r>
        <w:t xml:space="preserve">Driver-caused excess is transient and kinematic: it lives in acceleration, jerk, and harsh</w:t>
      </w:r>
      <w:r>
        <w:t xml:space="preserve"> </w:t>
      </w:r>
      <w:r>
        <w:t xml:space="preserve">acceleration or braking events, while the engine continues to run at its normal, near-stoichiometric</w:t>
      </w:r>
      <w:r>
        <w:t xml:space="preserve"> </w:t>
      </w:r>
      <w:r>
        <w:t xml:space="preserve">air-fuel ratio. Malfunction-caused excess, taking the rich-mixture fault as the canonical</w:t>
      </w:r>
      <w:r>
        <w:t xml:space="preserve"> </w:t>
      </w:r>
      <w:r>
        <w:t xml:space="preserve">fuel-relevant case, is steady-state and combustion-linked: it shifts the air-fuel ratio away from</w:t>
      </w:r>
      <w:r>
        <w:t xml:space="preserve"> </w:t>
      </w:r>
      <w:r>
        <w:t xml:space="preserve">stoichiometric and leaves its trace in the exhaust chemistry, in elevated carbon monoxide and</w:t>
      </w:r>
      <w:r>
        <w:t xml:space="preserve"> </w:t>
      </w:r>
      <w:r>
        <w:t xml:space="preserve">unburnt hydrocarbons. Crucially, both signatures are observable on standard on-board-diagnostics</w:t>
      </w:r>
      <w:r>
        <w:t xml:space="preserve"> </w:t>
      </w:r>
      <w:r>
        <w:t xml:space="preserve">hardware. The kinematic axis derives from GPS and inertial channels; the combustion axis derives from</w:t>
      </w:r>
      <w:r>
        <w:t xml:space="preserve"> </w:t>
      </w:r>
      <w:r>
        <w:t xml:space="preserve">the short- and long-term fuel trims that every closed-loop engine reports, and, on a bench, from the</w:t>
      </w:r>
      <w:r>
        <w:t xml:space="preserve"> </w:t>
      </w:r>
      <w:r>
        <w:t xml:space="preserve">air-fuel ratio directly.</w:t>
      </w:r>
    </w:p>
    <w:p>
      <w:pPr>
        <w:pStyle w:val="BodyText"/>
      </w:pPr>
      <w:r>
        <w:t xml:space="preserve">The obstacle to demonstrating this on real data is that no public dataset carries fuel consumption,</w:t>
      </w:r>
      <w:r>
        <w:t xml:space="preserve"> </w:t>
      </w:r>
      <w:r>
        <w:t xml:space="preserve">mechanical-fault labels, and driver behaviour together. A dedicated search (Section 3.4) confirms the</w:t>
      </w:r>
      <w:r>
        <w:t xml:space="preserve"> </w:t>
      </w:r>
      <w:r>
        <w:t xml:space="preserve">gap: the datasets that pair fuel with fault labels lack driver context or ship only dimensionality-reduced features,</w:t>
      </w:r>
      <w:r>
        <w:t xml:space="preserve"> </w:t>
      </w:r>
      <w:r>
        <w:t xml:space="preserve">and the driving-behaviour datasets lack fuel. We therefore adopt a two-arm design on the datasets that</w:t>
      </w:r>
      <w:r>
        <w:t xml:space="preserve"> </w:t>
      </w:r>
      <w:r>
        <w:t xml:space="preserve">each carry one ground truth, and bridge them with a semi-synthetic experiment that supplies the</w:t>
      </w:r>
      <w:r>
        <w:t xml:space="preserve"> </w:t>
      </w:r>
      <w:r>
        <w:t xml:space="preserve">competing-cause labels no real dataset provides. The fleet-telemetry arm (VED) grounds the</w:t>
      </w:r>
      <w:r>
        <w:t xml:space="preserve"> </w:t>
      </w:r>
      <w:r>
        <w:t xml:space="preserve">decomposition and the driver side; the engine-fault arm (EngineFaultDB) grounds the malfunction</w:t>
      </w:r>
      <w:r>
        <w:t xml:space="preserve"> </w:t>
      </w:r>
      <w:r>
        <w:t xml:space="preserve">signature; an independent labelled driving dataset validates the kinematic axis; and the</w:t>
      </w:r>
      <w:r>
        <w:t xml:space="preserve"> </w:t>
      </w:r>
      <w:r>
        <w:t xml:space="preserve">semi-synthetic injection measures attribution accuracy directly.</w:t>
      </w:r>
    </w:p>
    <w:p>
      <w:pPr>
        <w:pStyle w:val="BodyText"/>
      </w:pPr>
      <w:r>
        <w:t xml:space="preserve">The evidence chain (Figure 1) runs as follows: an expected-fuel model and its variance decomposition establish</w:t>
      </w:r>
      <w:r>
        <w:t xml:space="preserve"> </w:t>
      </w:r>
      <w:r>
        <w:t xml:space="preserve">that behaviour and a persistent vehicle-baseline are separable, measurable shares of trip fuel; the</w:t>
      </w:r>
      <w:r>
        <w:t xml:space="preserve"> </w:t>
      </w:r>
      <w:r>
        <w:t xml:space="preserve">behaviour axis is validated to transfer to an independent dataset; the rich-mixture fault is shown to</w:t>
      </w:r>
      <w:r>
        <w:t xml:space="preserve"> </w:t>
      </w:r>
      <w:r>
        <w:t xml:space="preserve">produce measurable excess fuel with an emissions signature; a signature contrast shows the combustion</w:t>
      </w:r>
      <w:r>
        <w:t xml:space="preserve"> </w:t>
      </w:r>
      <w:r>
        <w:t xml:space="preserve">axis is silent for driver-caused excess; and the semi-synthetic experiment shows that, when fuel</w:t>
      </w:r>
      <w:r>
        <w:t xml:space="preserve"> </w:t>
      </w:r>
      <w:r>
        <w:t xml:space="preserve">magnitude is made uninformative, the signature recovers the cause at 95.9% accuracy. The remainder of</w:t>
      </w:r>
      <w:r>
        <w:t xml:space="preserve"> </w:t>
      </w:r>
      <w:r>
        <w:t xml:space="preserve">the paper is organized as related work (Section 2), data (Section 3), method and equations</w:t>
      </w:r>
      <w:r>
        <w:t xml:space="preserve"> </w:t>
      </w:r>
      <w:r>
        <w:t xml:space="preserve">(Section 4), experimental setup (Section 5), results for the two arms and the attribution</w:t>
      </w:r>
      <w:r>
        <w:t xml:space="preserve"> </w:t>
      </w:r>
      <w:r>
        <w:t xml:space="preserve">(Sections 6-8), discussion (Section 9), limitations (Section 10), and conclusion (Section 11).</w:t>
      </w:r>
    </w:p>
    <w:bookmarkEnd w:id="26"/>
    <w:bookmarkStart w:id="32" w:name="related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Four largely separate literatures meet in this problem: fuel-consumption modelling, eco-driving and</w:t>
      </w:r>
      <w:r>
        <w:t xml:space="preserve"> </w:t>
      </w:r>
      <w:r>
        <w:t xml:space="preserve">behaviour scoring, predictive maintenance and engine-fault diagnosis, and telemetry anomaly detection.</w:t>
      </w:r>
      <w:r>
        <w:t xml:space="preserve"> </w:t>
      </w:r>
      <w:r>
        <w:t xml:space="preserve">A fifth thread, explainable attribution, contains the nearest prior work. We review each and state</w:t>
      </w:r>
      <w:r>
        <w:t xml:space="preserve"> </w:t>
      </w:r>
      <w:r>
        <w:t xml:space="preserve">where our contribution sits; the positioning is summarized in Table 1.</w:t>
      </w:r>
    </w:p>
    <w:bookmarkStart w:id="27" w:name="fuel-consumption-modelling"/>
    <w:p>
      <w:pPr>
        <w:pStyle w:val="Heading3"/>
      </w:pPr>
      <w:r>
        <w:t xml:space="preserve">2.1 Fuel-consumption modelling</w:t>
      </w:r>
    </w:p>
    <w:p>
      <w:pPr>
        <w:pStyle w:val="FirstParagraph"/>
      </w:pPr>
      <w:r>
        <w:t xml:space="preserve">Physics-based models map instantaneous kinematics to fuel and emissions. Vehicle specific power</w:t>
      </w:r>
      <w:r>
        <w:t xml:space="preserve"> </w:t>
      </w:r>
      <w:r>
        <w:t xml:space="preserve">[</w:t>
      </w:r>
      <w:hyperlink w:anchor="r7">
        <w:r>
          <w:rPr>
            <w:rStyle w:val="Hyperlink"/>
          </w:rPr>
          <w:t xml:space="preserve">7</w:t>
        </w:r>
      </w:hyperlink>
      <w:r>
        <w:t xml:space="preserve">] expresses the tractive power demand per unit mass and underlies many modal</w:t>
      </w:r>
      <w:r>
        <w:t xml:space="preserve"> </w:t>
      </w:r>
      <w:r>
        <w:t xml:space="preserve">emission models; the VT-Micro family [</w:t>
      </w:r>
      <w:hyperlink w:anchor="r8">
        <w:r>
          <w:rPr>
            <w:rStyle w:val="Hyperlink"/>
          </w:rPr>
          <w:t xml:space="preserve">8</w:t>
        </w:r>
      </w:hyperlink>
      <w:r>
        <w:t xml:space="preserve">] fits polynomials in speed and acceleration</w:t>
      </w:r>
      <w:r>
        <w:t xml:space="preserve"> </w:t>
      </w:r>
      <w:r>
        <w:t xml:space="preserve">to instantaneous fuel and emission rates; and the power-based VT-CPFM [</w:t>
      </w:r>
      <w:hyperlink w:anchor="r11">
        <w:r>
          <w:rPr>
            <w:rStyle w:val="Hyperlink"/>
          </w:rPr>
          <w:t xml:space="preserve">11</w:t>
        </w:r>
      </w:hyperlink>
      <w:r>
        <w:t xml:space="preserve">] derives</w:t>
      </w:r>
      <w:r>
        <w:t xml:space="preserve"> </w:t>
      </w:r>
      <w:r>
        <w:t xml:space="preserve">consumption from a physical power formulation with few calibrated parameters. Data-driven models now</w:t>
      </w:r>
      <w:r>
        <w:t xml:space="preserve"> </w:t>
      </w:r>
      <w:r>
        <w:t xml:space="preserve">lead on on-board-diagnostics and telematics inputs: tree ensembles are the reliable workhorse and</w:t>
      </w:r>
      <w:r>
        <w:t xml:space="preserve"> </w:t>
      </w:r>
      <w:r>
        <w:t xml:space="preserve">have been shown to beat both neural baselines and the engine-control-unit estimate against</w:t>
      </w:r>
      <w:r>
        <w:t xml:space="preserve"> </w:t>
      </w:r>
      <w:r>
        <w:t xml:space="preserve">ground-truth fuel meters [</w:t>
      </w:r>
      <w:hyperlink w:anchor="r4">
        <w:r>
          <w:rPr>
            <w:rStyle w:val="Hyperlink"/>
          </w:rPr>
          <w:t xml:space="preserve">4</w:t>
        </w:r>
      </w:hyperlink>
      <w:r>
        <w:t xml:space="preserve">], and kernel methods map engine parameters to fuel rate</w:t>
      </w:r>
      <w:r>
        <w:t xml:space="preserve"> </w:t>
      </w:r>
      <w:r>
        <w:t xml:space="preserve">from OBD-II [</w:t>
      </w:r>
      <w:hyperlink w:anchor="r9">
        <w:r>
          <w:rPr>
            <w:rStyle w:val="Hyperlink"/>
          </w:rPr>
          <w:t xml:space="preserve">9</w:t>
        </w:r>
      </w:hyperlink>
      <w:r>
        <w:t xml:space="preserve">]. These models predict consumption accurately, but they estimate a</w:t>
      </w:r>
      <w:r>
        <w:t xml:space="preserve"> </w:t>
      </w:r>
      <w:r>
        <w:t xml:space="preserve">single quantity; none decomposes that quantity into the driver and vehicle contributions that an</w:t>
      </w:r>
      <w:r>
        <w:t xml:space="preserve"> </w:t>
      </w:r>
      <w:r>
        <w:t xml:space="preserve">operator must separate.</w:t>
      </w:r>
    </w:p>
    <w:bookmarkEnd w:id="27"/>
    <w:bookmarkStart w:id="28" w:name="X6992fdee0ebc893242a85b3ad8ff5c38d9c321b"/>
    <w:p>
      <w:pPr>
        <w:pStyle w:val="Heading3"/>
      </w:pPr>
      <w:r>
        <w:t xml:space="preserve">2.2 Eco-driving and driving-behaviour scoring</w:t>
      </w:r>
    </w:p>
    <w:p>
      <w:pPr>
        <w:pStyle w:val="FirstParagraph"/>
      </w:pPr>
      <w:r>
        <w:t xml:space="preserve">Driving style moves fuel use substantially; data-driven eco-driving reviews report savings of</w:t>
      </w:r>
      <w:r>
        <w:t xml:space="preserve"> </w:t>
      </w:r>
      <w:r>
        <w:t xml:space="preserve">roughly 5-15% from smoother driving [</w:t>
      </w:r>
      <w:hyperlink w:anchor="r5">
        <w:r>
          <w:rPr>
            <w:rStyle w:val="Hyperlink"/>
          </w:rPr>
          <w:t xml:space="preserve">5</w:t>
        </w:r>
      </w:hyperlink>
      <w:r>
        <w:t xml:space="preserve">], a range our behaviour counterfactual</w:t>
      </w:r>
      <w:r>
        <w:t xml:space="preserve"> </w:t>
      </w:r>
      <w:r>
        <w:t xml:space="preserve">reproduces (Section 6.2), and recent reviews survey behaviour-to-fuel machine learning specifically</w:t>
      </w:r>
      <w:r>
        <w:t xml:space="preserve"> </w:t>
      </w:r>
      <w:r>
        <w:t xml:space="preserve">[</w:t>
      </w:r>
      <w:hyperlink w:anchor="r15">
        <w:r>
          <w:rPr>
            <w:rStyle w:val="Hyperlink"/>
          </w:rPr>
          <w:t xml:space="preserve">15</w:t>
        </w:r>
      </w:hyperlink>
      <w:r>
        <w:t xml:space="preserve">]. Driver behaviour has been classified from OBD signals and used to predict</w:t>
      </w:r>
      <w:r>
        <w:t xml:space="preserve"> </w:t>
      </w:r>
      <w:r>
        <w:t xml:space="preserve">fuel consumption [</w:t>
      </w:r>
      <w:hyperlink w:anchor="r12">
        <w:r>
          <w:rPr>
            <w:rStyle w:val="Hyperlink"/>
          </w:rPr>
          <w:t xml:space="preserve">12</w:t>
        </w:r>
      </w:hyperlink>
      <w:r>
        <w:t xml:space="preserve">], recognized as a driving style from smartphone inertial</w:t>
      </w:r>
      <w:r>
        <w:t xml:space="preserve"> </w:t>
      </w:r>
      <w:r>
        <w:t xml:space="preserve">sensors [</w:t>
      </w:r>
      <w:hyperlink w:anchor="r14">
        <w:r>
          <w:rPr>
            <w:rStyle w:val="Hyperlink"/>
          </w:rPr>
          <w:t xml:space="preserve">14</w:t>
        </w:r>
      </w:hyperlink>
      <w:r>
        <w:t xml:space="preserve">], and linked to efficiency through drive-cycle simulation</w:t>
      </w:r>
      <w:r>
        <w:t xml:space="preserve"> </w:t>
      </w:r>
      <w:r>
        <w:t xml:space="preserve">[</w:t>
      </w:r>
      <w:hyperlink w:anchor="r13">
        <w:r>
          <w:rPr>
            <w:rStyle w:val="Hyperlink"/>
          </w:rPr>
          <w:t xml:space="preserve">13</w:t>
        </w:r>
      </w:hyperlink>
      <w:r>
        <w:t xml:space="preserve">]. This literature scores the driver in isolation. It does not separate the</w:t>
      </w:r>
      <w:r>
        <w:t xml:space="preserve"> </w:t>
      </w:r>
      <w:r>
        <w:t xml:space="preserve">driver's contribution from the vehicle's, and in single-driver-per-vehicle data the two are</w:t>
      </w:r>
      <w:r>
        <w:t xml:space="preserve"> </w:t>
      </w:r>
      <w:r>
        <w:t xml:space="preserve">confounded unless a model controls for one.</w:t>
      </w:r>
    </w:p>
    <w:bookmarkEnd w:id="28"/>
    <w:bookmarkStart w:id="29" w:name="X6494f8a412f2745e45f60a6b6822fee6623206b"/>
    <w:p>
      <w:pPr>
        <w:pStyle w:val="Heading3"/>
      </w:pPr>
      <w:r>
        <w:t xml:space="preserve">2.3 Predictive maintenance and engine-fault diagnosis</w:t>
      </w:r>
    </w:p>
    <w:p>
      <w:pPr>
        <w:pStyle w:val="FirstParagraph"/>
      </w:pPr>
      <w:r>
        <w:t xml:space="preserve">Fault-diagnosis work detects sensor and actuator faults in the air-fuel path from telemetry:</w:t>
      </w:r>
      <w:r>
        <w:t xml:space="preserve"> </w:t>
      </w:r>
      <w:r>
        <w:t xml:space="preserve">neural detection and isolation of multiple engine-sensor faults [</w:t>
      </w:r>
      <w:hyperlink w:anchor="r16">
        <w:r>
          <w:rPr>
            <w:rStyle w:val="Hyperlink"/>
          </w:rPr>
          <w:t xml:space="preserve">16</w:t>
        </w:r>
      </w:hyperlink>
      <w:r>
        <w:t xml:space="preserve">],</w:t>
      </w:r>
      <w:r>
        <w:t xml:space="preserve"> </w:t>
      </w:r>
      <w:r>
        <w:t xml:space="preserve">fault-tolerant handling of the mass-air-flow sensor whose signal we use to derive fuel</w:t>
      </w:r>
      <w:r>
        <w:t xml:space="preserve"> </w:t>
      </w:r>
      <w:r>
        <w:t xml:space="preserve">[</w:t>
      </w:r>
      <w:hyperlink w:anchor="r17">
        <w:r>
          <w:rPr>
            <w:rStyle w:val="Hyperlink"/>
          </w:rPr>
          <w:t xml:space="preserve">17</w:t>
        </w:r>
      </w:hyperlink>
      <w:r>
        <w:t xml:space="preserve">], and deep-learning fault diagnosis from driving signals [</w:t>
      </w:r>
      <w:hyperlink w:anchor="r18">
        <w:r>
          <w:rPr>
            <w:rStyle w:val="Hyperlink"/>
          </w:rPr>
          <w:t xml:space="preserve">18</w:t>
        </w:r>
      </w:hyperlink>
      <w:r>
        <w:t xml:space="preserve">].</w:t>
      </w:r>
      <w:r>
        <w:t xml:space="preserve"> </w:t>
      </w:r>
      <w:r>
        <w:t xml:space="preserve">The EngineFaultDB dataset we use as our malfunction arm was released with a fault-classification</w:t>
      </w:r>
      <w:r>
        <w:t xml:space="preserve"> </w:t>
      </w:r>
      <w:r>
        <w:t xml:space="preserve">baseline [</w:t>
      </w:r>
      <w:hyperlink w:anchor="r2">
        <w:r>
          <w:rPr>
            <w:rStyle w:val="Hyperlink"/>
          </w:rPr>
          <w:t xml:space="preserve">2</w:t>
        </w:r>
      </w:hyperlink>
      <w:r>
        <w:t xml:space="preserve">]; we repurpose it to quantify the fuel signature of a fault rather than</w:t>
      </w:r>
      <w:r>
        <w:t xml:space="preserve"> </w:t>
      </w:r>
      <w:r>
        <w:t xml:space="preserve">to classify faults. These methods target the fault directly and treat fuel efficiency as an input,</w:t>
      </w:r>
      <w:r>
        <w:t xml:space="preserve"> </w:t>
      </w:r>
      <w:r>
        <w:t xml:space="preserve">not as the symptom to be attributed.</w:t>
      </w:r>
    </w:p>
    <w:bookmarkEnd w:id="29"/>
    <w:bookmarkStart w:id="30" w:name="telemetry-anomaly-detection"/>
    <w:p>
      <w:pPr>
        <w:pStyle w:val="Heading3"/>
      </w:pPr>
      <w:r>
        <w:t xml:space="preserve">2.4 Telemetry anomaly detection</w:t>
      </w:r>
    </w:p>
    <w:p>
      <w:pPr>
        <w:pStyle w:val="FirstParagraph"/>
      </w:pPr>
      <w:r>
        <w:t xml:space="preserve">The detector toolbox is mature: isolation forest [</w:t>
      </w:r>
      <w:hyperlink w:anchor="r19">
        <w:r>
          <w:rPr>
            <w:rStyle w:val="Hyperlink"/>
          </w:rPr>
          <w:t xml:space="preserve">19</w:t>
        </w:r>
      </w:hyperlink>
      <w:r>
        <w:t xml:space="preserve">], one-class methods, and</w:t>
      </w:r>
      <w:r>
        <w:t xml:space="preserve"> </w:t>
      </w:r>
      <w:r>
        <w:t xml:space="preserve">autoencoder or recurrent models. In the automotive setting, however, most of this work targets</w:t>
      </w:r>
      <w:r>
        <w:t xml:space="preserve"> </w:t>
      </w:r>
      <w:r>
        <w:t xml:space="preserve">controller-area-network intrusion and safety rather than fuel efficiency, for example LSTM</w:t>
      </w:r>
      <w:r>
        <w:t xml:space="preserve"> </w:t>
      </w:r>
      <w:r>
        <w:t xml:space="preserve">autoencoders [</w:t>
      </w:r>
      <w:hyperlink w:anchor="r20">
        <w:r>
          <w:rPr>
            <w:rStyle w:val="Hyperlink"/>
          </w:rPr>
          <w:t xml:space="preserve">20</w:t>
        </w:r>
      </w:hyperlink>
      <w:r>
        <w:t xml:space="preserve">], recurrent autoencoders for embedded intrusion detection</w:t>
      </w:r>
      <w:r>
        <w:t xml:space="preserve"> </w:t>
      </w:r>
      <w:r>
        <w:t xml:space="preserve">[</w:t>
      </w:r>
      <w:hyperlink w:anchor="r21">
        <w:r>
          <w:rPr>
            <w:rStyle w:val="Hyperlink"/>
          </w:rPr>
          <w:t xml:space="preserve">21</w:t>
        </w:r>
      </w:hyperlink>
      <w:r>
        <w:t xml:space="preserve">], and spatiotemporal detection for connected vehicles [</w:t>
      </w:r>
      <w:hyperlink w:anchor="r22">
        <w:r>
          <w:rPr>
            <w:rStyle w:val="Hyperlink"/>
          </w:rPr>
          <w:t xml:space="preserve">22</w:t>
        </w:r>
      </w:hyperlink>
      <w:r>
        <w:t xml:space="preserve">].</w:t>
      </w:r>
      <w:r>
        <w:t xml:space="preserve"> </w:t>
      </w:r>
      <w:r>
        <w:t xml:space="preserve">These methods flag that a trip is anomalous; they do not assign a fuel anomaly to a driver-versus</w:t>
      </w:r>
      <w:r>
        <w:t xml:space="preserve"> </w:t>
      </w:r>
      <w:r>
        <w:t xml:space="preserve">-vehicle cause. Closest in spirit, recent work detects anomalies in OBD snapshots and adds a</w:t>
      </w:r>
      <w:r>
        <w:t xml:space="preserve"> </w:t>
      </w:r>
      <w:r>
        <w:t xml:space="preserve">SHAP-based cause investigation with synthetically generated anomalies [</w:t>
      </w:r>
      <w:hyperlink w:anchor="r24">
        <w:r>
          <w:rPr>
            <w:rStyle w:val="Hyperlink"/>
          </w:rPr>
          <w:t xml:space="preserve">24</w:t>
        </w:r>
      </w:hyperlink>
      <w:r>
        <w:t xml:space="preserve">]; it</w:t>
      </w:r>
      <w:r>
        <w:t xml:space="preserve"> </w:t>
      </w:r>
      <w:r>
        <w:t xml:space="preserve">investigates which features drive a flagged anomaly, whereas we attribute the competing driver-versus</w:t>
      </w:r>
      <w:r>
        <w:t xml:space="preserve"> </w:t>
      </w:r>
      <w:r>
        <w:t xml:space="preserve">-vehicle cause across heterogeneous datasets that carry no joint naturalistic cause labels. Fuel theft</w:t>
      </w:r>
      <w:r>
        <w:t xml:space="preserve"> </w:t>
      </w:r>
      <w:r>
        <w:t xml:space="preserve">or leakage is a related but distinct anomaly, detected as an abrupt change point [</w:t>
      </w:r>
      <w:hyperlink w:anchor="r10">
        <w:r>
          <w:rPr>
            <w:rStyle w:val="Hyperlink"/>
          </w:rPr>
          <w:t xml:space="preserve">10</w:t>
        </w:r>
      </w:hyperlink>
      <w:r>
        <w:t xml:space="preserve">];</w:t>
      </w:r>
      <w:r>
        <w:t xml:space="preserve"> </w:t>
      </w:r>
      <w:r>
        <w:t xml:space="preserve">that is a sudden step in fuel level, whereas the excess we attribute is a sustained efficiency shift.</w:t>
      </w:r>
    </w:p>
    <w:bookmarkEnd w:id="30"/>
    <w:bookmarkStart w:id="31" w:name="X68c278e63560ab04ce737abc47e3b1b4ad4808b"/>
    <w:p>
      <w:pPr>
        <w:pStyle w:val="Heading3"/>
      </w:pPr>
      <w:r>
        <w:t xml:space="preserve">2.5 Explainable attribution and the nearest prior work</w:t>
      </w:r>
    </w:p>
    <w:p>
      <w:pPr>
        <w:pStyle w:val="FirstParagraph"/>
      </w:pPr>
      <w:r>
        <w:t xml:space="preserve">Feature-attribution methods such as SHAP [</w:t>
      </w:r>
      <w:hyperlink w:anchor="r23">
        <w:r>
          <w:rPr>
            <w:rStyle w:val="Hyperlink"/>
          </w:rPr>
          <w:t xml:space="preserve">23</w:t>
        </w:r>
      </w:hyperlink>
      <w:r>
        <w:t xml:space="preserve">] explain a model's output in terms of</w:t>
      </w:r>
      <w:r>
        <w:t xml:space="preserve"> </w:t>
      </w:r>
      <w:r>
        <w:t xml:space="preserve">its input features. The nearest prior work applies explainability to our exact problem: Barbado and</w:t>
      </w:r>
      <w:r>
        <w:t xml:space="preserve"> </w:t>
      </w:r>
      <w:r>
        <w:t xml:space="preserve">Corcho detect fuel-consumption anomalies on fleet telematics with interpretable feature relevance and</w:t>
      </w:r>
      <w:r>
        <w:t xml:space="preserve"> </w:t>
      </w:r>
      <w:r>
        <w:t xml:space="preserve">counterfactual recommendations [</w:t>
      </w:r>
      <w:hyperlink w:anchor="r3">
        <w:r>
          <w:rPr>
            <w:rStyle w:val="Hyperlink"/>
          </w:rPr>
          <w:t xml:space="preserve">3</w:t>
        </w:r>
      </w:hyperlink>
      <w:r>
        <w:t xml:space="preserve">]. Their method identifies which features co-occur</w:t>
      </w:r>
      <w:r>
        <w:t xml:space="preserve"> </w:t>
      </w:r>
      <w:r>
        <w:t xml:space="preserve">with an anomaly and what change would return an outlier to normal. It attributes an anomaly to</w:t>
      </w:r>
      <w:r>
        <w:t xml:space="preserve"> </w:t>
      </w:r>
      <w:r>
        <w:rPr>
          <w:i/>
          <w:iCs/>
        </w:rPr>
        <w:t xml:space="preserve">features</w:t>
      </w:r>
      <w:r>
        <w:t xml:space="preserve">, not to a</w:t>
      </w:r>
      <w:r>
        <w:t xml:space="preserve"> </w:t>
      </w:r>
      <w:r>
        <w:rPr>
          <w:i/>
          <w:iCs/>
        </w:rPr>
        <w:t xml:space="preserve">cause class</w:t>
      </w:r>
      <w:r>
        <w:t xml:space="preserve">: it does not say whether the excess is the driver or</w:t>
      </w:r>
      <w:r>
        <w:t xml:space="preserve"> </w:t>
      </w:r>
      <w:r>
        <w:t xml:space="preserve">the vehicle, and its feature relevances are not validated against an external ground truth for either</w:t>
      </w:r>
      <w:r>
        <w:t xml:space="preserve"> </w:t>
      </w:r>
      <w:r>
        <w:t xml:space="preserve">cause. Our signature-based decomposition is the increment: we group observables into two physically</w:t>
      </w:r>
      <w:r>
        <w:t xml:space="preserve"> </w:t>
      </w:r>
      <w:r>
        <w:t xml:space="preserve">motivated axes, validate each against an independent signal, and measure the resulting cause</w:t>
      </w:r>
      <w:r>
        <w:t xml:space="preserve"> </w:t>
      </w:r>
      <w:r>
        <w:t xml:space="preserve">attribution. Methodologically the setting is a form of weak supervision [</w:t>
      </w:r>
      <w:hyperlink w:anchor="r25">
        <w:r>
          <w:rPr>
            <w:rStyle w:val="Hyperlink"/>
          </w:rPr>
          <w:t xml:space="preserve">25</w:t>
        </w:r>
      </w:hyperlink>
      <w:r>
        <w:t xml:space="preserve">]: the</w:t>
      </w:r>
      <w:r>
        <w:t xml:space="preserve"> </w:t>
      </w:r>
      <w:r>
        <w:t xml:space="preserve">target fleet carries the outcome but no cause labels, while each competing cause is labelled only in a</w:t>
      </w:r>
      <w:r>
        <w:t xml:space="preserve"> </w:t>
      </w:r>
      <w:r>
        <w:t xml:space="preserve">separate source domain with its own feature space, so cause-specific signatures must be learned from</w:t>
      </w:r>
      <w:r>
        <w:t xml:space="preserve"> </w:t>
      </w:r>
      <w:r>
        <w:t xml:space="preserve">the sources and combined on the target without joint supervision.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Ranks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Attributes</w:t>
            </w:r>
            <w:r>
              <w:br/>
            </w:r>
            <w:r>
              <w:t xml:space="preserve">driver vs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Externally</w:t>
            </w:r>
            <w:r>
              <w:br/>
            </w: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modelling + residual threshold [</w:t>
            </w:r>
            <w:hyperlink w:anchor="r4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Eco-driving / behaviour scoring [</w:t>
            </w:r>
            <w:hyperlink w:anchor="r5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12">
              <w:r>
                <w:rPr>
                  <w:rStyle w:val="Hyperlink"/>
                </w:rPr>
                <w:t xml:space="preserve">12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Engine-fault diagnosis [</w:t>
            </w:r>
            <w:hyperlink w:anchor="r16">
              <w:r>
                <w:rPr>
                  <w:rStyle w:val="Hyperlink"/>
                </w:rPr>
                <w:t xml:space="preserve">16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 + feature relevance [</w:t>
            </w:r>
            <w:hyperlink w:anchor="r3">
              <w:r>
                <w:rPr>
                  <w:rStyle w:val="Hyperlink"/>
                </w:rPr>
                <w:t xml:space="preserve">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(measured, 95.9%)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Positioning against the four adjacent literatures and the nearest prior</w:t>
      </w:r>
      <w:r>
        <w:t xml:space="preserve"> </w:t>
      </w:r>
      <w:r>
        <w:t xml:space="preserve">work. Only the present method both attributes the driver-versus-vehicle cause and validates its</w:t>
      </w:r>
      <w:r>
        <w:t xml:space="preserve"> </w:t>
      </w:r>
      <w:r>
        <w:t xml:space="preserve">components externally.</w:t>
      </w:r>
    </w:p>
    <w:bookmarkEnd w:id="31"/>
    <w:bookmarkEnd w:id="32"/>
    <w:bookmarkStart w:id="37" w:name="data"/>
    <w:p>
      <w:pPr>
        <w:pStyle w:val="Heading2"/>
      </w:pPr>
      <w:r>
        <w:t xml:space="preserve">3. Data</w:t>
      </w:r>
    </w:p>
    <w:bookmarkStart w:id="33" w:name="vehicle-energy-dataset-driver-arm"/>
    <w:p>
      <w:pPr>
        <w:pStyle w:val="Heading3"/>
      </w:pPr>
      <w:r>
        <w:t xml:space="preserve">3.1 Vehicle Energy Dataset (driver arm)</w:t>
      </w:r>
    </w:p>
    <w:p>
      <w:pPr>
        <w:pStyle w:val="FirstParagraph"/>
      </w:pPr>
      <w:r>
        <w:t xml:space="preserve">VED [</w:t>
      </w:r>
      <w:hyperlink w:anchor="r1">
        <w:r>
          <w:rPr>
            <w:rStyle w:val="Hyperlink"/>
          </w:rPr>
          <w:t xml:space="preserve">1</w:t>
        </w:r>
      </w:hyperlink>
      <w:r>
        <w:t xml:space="preserve">] is a naturalistic driving dataset collected in Ann Arbor, Michigan from</w:t>
      </w:r>
      <w:r>
        <w:t xml:space="preserve"> </w:t>
      </w:r>
      <w:r>
        <w:t xml:space="preserve">November 2017 to November 2018, comprising 383 personal vehicles logged over roughly 374,000 miles</w:t>
      </w:r>
      <w:r>
        <w:t xml:space="preserve"> </w:t>
      </w:r>
      <w:r>
        <w:t xml:space="preserve">through OBD-II loggers, with synchronized GPS trajectories and engine channels. Each record carries a</w:t>
      </w:r>
      <w:r>
        <w:t xml:space="preserve"> </w:t>
      </w:r>
      <w:r>
        <w:t xml:space="preserve">timestamp, latitude and longitude, vehicle speed, mass air-flow, engine RPM, absolute load, outside</w:t>
      </w:r>
      <w:r>
        <w:t xml:space="preserve"> </w:t>
      </w:r>
      <w:r>
        <w:t xml:space="preserve">air temperature, auxiliary power, and, for gasoline vehicles, the short- and long-term fuel trims;</w:t>
      </w:r>
      <w:r>
        <w:t xml:space="preserve"> </w:t>
      </w:r>
      <w:r>
        <w:t xml:space="preserve">records are keyed by a unique vehicle and trip identifier. We restrict the analysis to the 264</w:t>
      </w:r>
      <w:r>
        <w:t xml:space="preserve"> </w:t>
      </w:r>
      <w:r>
        <w:t xml:space="preserve">internal-combustion (gasoline) vehicles, excluding hybrids and electric vehicles whose fuel path is</w:t>
      </w:r>
      <w:r>
        <w:t xml:space="preserve"> </w:t>
      </w:r>
      <w:r>
        <w:t xml:space="preserve">confounded by the electric drive. The dedicated OBD fuel-rate parameter is essentially unpopulated in</w:t>
      </w:r>
      <w:r>
        <w:t xml:space="preserve"> </w:t>
      </w:r>
      <w:r>
        <w:t xml:space="preserve">VED, so fuel is derived from mass air-flow (Eq. 1), the standard practice for this dataset. After</w:t>
      </w:r>
      <w:r>
        <w:t xml:space="preserve"> </w:t>
      </w:r>
      <w:r>
        <w:t xml:space="preserve">resampling each trip to a uniform 1 Hz grid and applying quality filters (a minimum trip distance of</w:t>
      </w:r>
      <w:r>
        <w:t xml:space="preserve"> </w:t>
      </w:r>
      <w:r>
        <w:t xml:space="preserve">0.5 km, a minimum duration of 60 s, and at least 50% valid mass air-flow coverage), the pipeline</w:t>
      </w:r>
      <w:r>
        <w:t xml:space="preserve"> </w:t>
      </w:r>
      <w:r>
        <w:t xml:space="preserve">yields</w:t>
      </w:r>
      <w:r>
        <w:t xml:space="preserve"> </w:t>
      </w:r>
      <w:r>
        <w:rPr>
          <w:b/>
          <w:bCs/>
        </w:rPr>
        <w:t xml:space="preserve">14,460 trips across 197 vehicles</w:t>
      </w:r>
      <w:r>
        <w:t xml:space="preserve">. The variance decomposition and attribution analyses</w:t>
      </w:r>
      <w:r>
        <w:t xml:space="preserve"> </w:t>
      </w:r>
      <w:r>
        <w:t xml:space="preserve">further clip the fuel target at its 1st and 99th percentiles to remove sensor glitches, leaving</w:t>
      </w:r>
      <w:r>
        <w:t xml:space="preserve"> </w:t>
      </w:r>
      <w:r>
        <w:t xml:space="preserve">14,170 trips across 194 vehicles; the semi-synthetic study restricts to the 139 vehicles with at least</w:t>
      </w:r>
      <w:r>
        <w:t xml:space="preserve"> </w:t>
      </w:r>
      <w:r>
        <w:t xml:space="preserve">15 trips carrying usable fuel-trim coverage, so that per-vehicle baselines are stable. Median trip</w:t>
      </w:r>
      <w:r>
        <w:t xml:space="preserve"> </w:t>
      </w:r>
      <w:r>
        <w:t xml:space="preserve">length is about 7 minutes.</w:t>
      </w:r>
    </w:p>
    <w:bookmarkEnd w:id="33"/>
    <w:bookmarkStart w:id="34" w:name="enginefaultdb-malfunction-arm"/>
    <w:p>
      <w:pPr>
        <w:pStyle w:val="Heading3"/>
      </w:pPr>
      <w:r>
        <w:t xml:space="preserve">3.2 EngineFaultDB (malfunction arm)</w:t>
      </w:r>
    </w:p>
    <w:p>
      <w:pPr>
        <w:pStyle w:val="FirstParagraph"/>
      </w:pPr>
      <w:r>
        <w:t xml:space="preserve">EngineFaultDB [</w:t>
      </w:r>
      <w:hyperlink w:anchor="r2">
        <w:r>
          <w:rPr>
            <w:rStyle w:val="Hyperlink"/>
          </w:rPr>
          <w:t xml:space="preserve">2</w:t>
        </w:r>
      </w:hyperlink>
      <w:r>
        <w:t xml:space="preserve">] is a controlled test-bench dataset built around a C14NE</w:t>
      </w:r>
      <w:r>
        <w:t xml:space="preserve"> </w:t>
      </w:r>
      <w:r>
        <w:t xml:space="preserve">spark-ignition engine, with 55,999 records over 14 variables: manifold absolute pressure, throttle</w:t>
      </w:r>
      <w:r>
        <w:t xml:space="preserve"> </w:t>
      </w:r>
      <w:r>
        <w:t xml:space="preserve">position, torque, power, RPM, vehicle speed, exhaust concentrations of carbon monoxide, hydrocarbons,</w:t>
      </w:r>
      <w:r>
        <w:t xml:space="preserve"> </w:t>
      </w:r>
      <w:r>
        <w:t xml:space="preserve">carbon dioxide and oxygen, the air-fuel equivalence ratio lambda, the air-fuel ratio, and fuel</w:t>
      </w:r>
      <w:r>
        <w:t xml:space="preserve"> </w:t>
      </w:r>
      <w:r>
        <w:t xml:space="preserve">consumption in both litres per hour and litres per 100 km. A fault label takes four values: 0 normal,</w:t>
      </w:r>
      <w:r>
        <w:t xml:space="preserve"> </w:t>
      </w:r>
      <w:r>
        <w:t xml:space="preserve">1 rich mixture, 2 lean mixture, and 3 low-voltage ignition. The rich-mixture label is confidently</w:t>
      </w:r>
      <w:r>
        <w:t xml:space="preserve"> </w:t>
      </w:r>
      <w:r>
        <w:t xml:space="preserve">identified from its emission signature (elevated carbon monoxide); the lean-versus-ignition mapping</w:t>
      </w:r>
      <w:r>
        <w:t xml:space="preserve"> </w:t>
      </w:r>
      <w:r>
        <w:t xml:space="preserve">of labels 2 and 3 is taken from the source paper's listing order, as the definitive mapping resides in</w:t>
      </w:r>
      <w:r>
        <w:t xml:space="preserve"> </w:t>
      </w:r>
      <w:r>
        <w:t xml:space="preserve">a table published only as an image. This uncertainty does not affect our result, which concerns the</w:t>
      </w:r>
      <w:r>
        <w:t xml:space="preserve"> </w:t>
      </w:r>
      <w:r>
        <w:t xml:space="preserve">rich-mixture fault. The bench carries no driver context, so it grounds the malfunction fuel signature</w:t>
      </w:r>
      <w:r>
        <w:t xml:space="preserve"> </w:t>
      </w:r>
      <w:r>
        <w:t xml:space="preserve">but not driving behaviour.</w:t>
      </w:r>
    </w:p>
    <w:bookmarkEnd w:id="34"/>
    <w:bookmarkStart w:id="35" w:name="driving-events-behaviour-validation"/>
    <w:p>
      <w:pPr>
        <w:pStyle w:val="Heading3"/>
      </w:pPr>
      <w:r>
        <w:t xml:space="preserve">3.3 Driving Events (behaviour validation)</w:t>
      </w:r>
    </w:p>
    <w:p>
      <w:pPr>
        <w:pStyle w:val="FirstParagraph"/>
      </w:pPr>
      <w:r>
        <w:t xml:space="preserve">The Driving Events dataset [</w:t>
      </w:r>
      <w:hyperlink w:anchor="r6">
        <w:r>
          <w:rPr>
            <w:rStyle w:val="Hyperlink"/>
          </w:rPr>
          <w:t xml:space="preserve">6</w:t>
        </w:r>
      </w:hyperlink>
      <w:r>
        <w:t xml:space="preserve">] provides smartphone inertial recordings from three</w:t>
      </w:r>
      <w:r>
        <w:t xml:space="preserve"> </w:t>
      </w:r>
      <w:r>
        <w:t xml:space="preserve">drivers, with a linear-acceleration stream at approximately 400 Hz and a companion file labelling</w:t>
      </w:r>
      <w:r>
        <w:t xml:space="preserve"> </w:t>
      </w:r>
      <w:r>
        <w:t xml:space="preserve">time windows as aggressive manoeuvres (right or left turn, braking, acceleration, lane change) or</w:t>
      </w:r>
      <w:r>
        <w:t xml:space="preserve"> </w:t>
      </w:r>
      <w:r>
        <w:t xml:space="preserve">non-aggressive events. After joining sensor rows to labelled windows we obtain</w:t>
      </w:r>
      <w:r>
        <w:t xml:space="preserve"> </w:t>
      </w:r>
      <w:r>
        <w:rPr>
          <w:b/>
          <w:bCs/>
        </w:rPr>
        <w:t xml:space="preserve">169 events, 143</w:t>
      </w:r>
      <w:r>
        <w:rPr>
          <w:b/>
          <w:bCs/>
        </w:rPr>
        <w:t xml:space="preserve"> </w:t>
      </w:r>
      <w:r>
        <w:rPr>
          <w:b/>
          <w:bCs/>
        </w:rPr>
        <w:t xml:space="preserve">aggressive and 26 non-aggressive</w:t>
      </w:r>
      <w:r>
        <w:t xml:space="preserve">. Two properties matter for interpretation and are stated up</w:t>
      </w:r>
      <w:r>
        <w:t xml:space="preserve"> </w:t>
      </w:r>
      <w:r>
        <w:t xml:space="preserve">front: the sensing regime differs from VED (400 Hz smartphone inertial versus 1 Hz OBD kinematics),</w:t>
      </w:r>
      <w:r>
        <w:t xml:space="preserve"> </w:t>
      </w:r>
      <w:r>
        <w:t xml:space="preserve">and the class balance is skewed toward aggressive events.</w:t>
      </w:r>
    </w:p>
    <w:bookmarkEnd w:id="35"/>
    <w:bookmarkStart w:id="36" w:name="the-joint-data-gap"/>
    <w:p>
      <w:pPr>
        <w:pStyle w:val="Heading3"/>
      </w:pPr>
      <w:r>
        <w:t xml:space="preserve">3.4 The joint-data gap</w:t>
      </w:r>
    </w:p>
    <w:p>
      <w:pPr>
        <w:pStyle w:val="FirstParagraph"/>
      </w:pPr>
      <w:r>
        <w:t xml:space="preserve">No public dataset carries fuel consumption, mechanical-fault labels, and driver behaviour jointly,</w:t>
      </w:r>
      <w:r>
        <w:t xml:space="preserve"> </w:t>
      </w:r>
      <w:r>
        <w:t xml:space="preserve">which is precisely what a single-dataset attribution study would need. Our search of the candidates</w:t>
      </w:r>
      <w:r>
        <w:t xml:space="preserve"> </w:t>
      </w:r>
      <w:r>
        <w:t xml:space="preserve">substantiates this. EngineAD pairs a real-fleet fuel-rate channel with technician fault labels but is</w:t>
      </w:r>
      <w:r>
        <w:t xml:space="preserve"> </w:t>
      </w:r>
      <w:r>
        <w:t xml:space="preserve">released as eight principal components, so the raw fuel signal is not recoverable, and access is</w:t>
      </w:r>
      <w:r>
        <w:t xml:space="preserve"> </w:t>
      </w:r>
      <w:r>
        <w:t xml:space="preserve">gated. The diesel-fault dataset DEFault carries fault labels but no fuel-consumption channel, only</w:t>
      </w:r>
      <w:r>
        <w:t xml:space="preserve"> </w:t>
      </w:r>
      <w:r>
        <w:t xml:space="preserve">in-cylinder pressure and vibration. SCANIA Component X provides real heavy-truck maintenance records</w:t>
      </w:r>
      <w:r>
        <w:t xml:space="preserve"> </w:t>
      </w:r>
      <w:r>
        <w:t xml:space="preserve">but fully anonymized signals with no identifiable fuel variable, and the NASA C-MAPSS prognostics</w:t>
      </w:r>
      <w:r>
        <w:t xml:space="preserve"> </w:t>
      </w:r>
      <w:r>
        <w:t xml:space="preserve">benchmark is a simulated turbofan with no real malfunction and no driver context. EngineFaultDB is the</w:t>
      </w:r>
      <w:r>
        <w:t xml:space="preserve"> </w:t>
      </w:r>
      <w:r>
        <w:t xml:space="preserve">only openly downloadable dataset that pairs fuel consumption with fault labels, and it is a bench</w:t>
      </w:r>
      <w:r>
        <w:t xml:space="preserve"> </w:t>
      </w:r>
      <w:r>
        <w:t xml:space="preserve">without drivers. This documented gap (Table 2) is the reason for the two-arm design and the semi-synthetic bridge.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 [</w:t>
            </w:r>
            <w:hyperlink w:anchor="r1">
              <w:r>
                <w:rPr>
                  <w:rStyle w:val="Hyperlink"/>
                </w:rPr>
                <w:t xml:space="preserve">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fleet,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 cars / 14,460 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EngineFaultDB [</w:t>
            </w:r>
            <w:hyperlink w:anchor="r2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Malfunction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engine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55,999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Driving Events [</w:t>
            </w:r>
            <w:hyperlink w:anchor="r6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vs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drivers / 169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The three public datasets, none of which carries fuel, fault, and</w:t>
      </w:r>
      <w:r>
        <w:t xml:space="preserve"> </w:t>
      </w:r>
      <w:r>
        <w:t xml:space="preserve">behaviour ground truth together.</w:t>
      </w:r>
    </w:p>
    <w:bookmarkEnd w:id="36"/>
    <w:bookmarkEnd w:id="37"/>
    <w:bookmarkStart w:id="44" w:name="method"/>
    <w:p>
      <w:pPr>
        <w:pStyle w:val="Heading2"/>
      </w:pPr>
      <w:r>
        <w:t xml:space="preserve">4. Method</w:t>
      </w:r>
    </w:p>
    <w:bookmarkStart w:id="38" w:name="fuel-target"/>
    <w:p>
      <w:pPr>
        <w:pStyle w:val="Heading3"/>
      </w:pPr>
      <w:r>
        <w:t xml:space="preserve">4.1 Fuel target</w:t>
      </w:r>
    </w:p>
    <w:p>
      <w:pPr>
        <w:pStyle w:val="FirstParagraph"/>
      </w:pPr>
      <w:r>
        <w:t xml:space="preserve">Because the OBD fuel-rate parameter is unpopulated in VED, we derive the instantaneous fuel rate</w:t>
      </w:r>
      <w:r>
        <w:t xml:space="preserve"> </w:t>
      </w:r>
      <w:r>
        <w:t xml:space="preserve">from mass air-flow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rPr>
                <m:nor/>
                <m:sty m:val="p"/>
              </m:rPr>
              <m:t>air</m:t>
            </m:r>
          </m:sub>
        </m:sSub>
      </m:oMath>
      <w:r>
        <w:t xml:space="preserve"> </w:t>
      </w:r>
      <w:r>
        <w:t xml:space="preserve">(g/s) assuming a stoichiometric gasoline air-fuel ratio of</w:t>
      </w:r>
      <w:r>
        <w:t xml:space="preserve"> </w:t>
      </w:r>
      <w:r>
        <w:t xml:space="preserve">14.7 and a fuel density of 745 g/L,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m:t>fuel</m:t>
              </m:r>
            </m:sub>
          </m:sSub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L/h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air</m:t>
                  </m:r>
                </m:sub>
              </m:sSub>
            </m:num>
            <m:den>
              <m:r>
                <m:t>14.7</m:t>
              </m:r>
              <m:r>
                <m:rPr>
                  <m:sty m:val="p"/>
                </m:rPr>
                <m:t>×</m:t>
              </m:r>
              <m:r>
                <m:t>745</m:t>
              </m:r>
            </m:den>
          </m:f>
          <m:r>
            <m:rPr>
              <m:sty m:val="p"/>
            </m:rPr>
            <m:t>×</m:t>
          </m:r>
          <m:r>
            <m:t>3600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integrate over the 1 Hz trip grid, normalizing by trip distance to obtain the trip target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litres per 100 km. For the robustness analysis of Section 8.5 we also form a trim-corrected</w:t>
      </w:r>
      <w:r>
        <w:t xml:space="preserve"> </w:t>
      </w:r>
      <w:r>
        <w:t xml:space="preserve">target that restores the fuel the stoichiometric assumption ignores,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m:t>fuel</m:t>
              </m:r>
            </m:sub>
            <m:sup>
              <m:r>
                <m:rPr>
                  <m:nor/>
                  <m:sty m:val="p"/>
                </m:rPr>
                <m:t>corr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m:t>fuel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STFT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LTFT</m:t>
                  </m:r>
                </m:num>
                <m:den>
                  <m:r>
                    <m:t>100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STFT and LTFT are the short- and long-term fuel trims in percent.</w:t>
      </w:r>
    </w:p>
    <w:bookmarkEnd w:id="38"/>
    <w:bookmarkStart w:id="39" w:name="expected-fuel-model-and-excess"/>
    <w:p>
      <w:pPr>
        <w:pStyle w:val="Heading3"/>
      </w:pPr>
      <w:r>
        <w:t xml:space="preserve">4.2 Expected-fuel model and excess</w:t>
      </w:r>
    </w:p>
    <w:p>
      <w:pPr>
        <w:pStyle w:val="FirstParagraph"/>
      </w:pPr>
      <w:r>
        <w:t xml:space="preserve">We predict trip fuel from a behaviour feature block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nor/>
                <m:sty m:val="p"/>
              </m:rPr>
              <m:t>beh</m:t>
            </m:r>
          </m:sup>
        </m:sSup>
      </m:oMath>
      <w:r>
        <w:t xml:space="preserve"> </w:t>
      </w:r>
      <w:r>
        <w:t xml:space="preserve">and a conditions block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nor/>
                <m:sty m:val="p"/>
              </m:rPr>
              <m:t>env</m:t>
            </m:r>
          </m:sup>
        </m:sSup>
      </m:oMath>
      <w:r>
        <w:t xml:space="preserve"> </w:t>
      </w:r>
      <w:r>
        <w:t xml:space="preserve">(Table 3) with a gradient-boosted regression tree ensemble</w:t>
      </w:r>
      <w:r>
        <w:t xml:space="preserve"> </w:t>
      </w:r>
      <m:oMath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M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beh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env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 trip excess as the out-of-fold residual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 predictions are out-of-fold under a GroupKFold split by vehicle, so no vehicle is ever scored by</w:t>
      </w:r>
      <w:r>
        <w:t xml:space="preserve"> </w:t>
      </w:r>
      <w:r>
        <w:t xml:space="preserve">a model that has seen any of its trips; this prevents the model from memorizing a vehicle's identity</w:t>
      </w:r>
      <w:r>
        <w:t xml:space="preserve"> </w:t>
      </w:r>
      <w:r>
        <w:t xml:space="preserve">and ensures the residual reflects deviation from the fleet, not from the vehicle itself. Behaviour</w:t>
      </w:r>
      <w:r>
        <w:t xml:space="preserve"> </w:t>
      </w:r>
      <w:r>
        <w:t xml:space="preserve">features include mean and dispersion of speed, mean positive acceleration and its 95th percentile,</w:t>
      </w:r>
      <w:r>
        <w:t xml:space="preserve"> </w:t>
      </w:r>
      <w:r>
        <w:t xml:space="preserve">jerk, harsh-acceleration and harsh-braking rates (events exceeding</w:t>
      </w:r>
      <w:r>
        <w:t xml:space="preserve"> </w:t>
      </w:r>
      <m:oMath>
        <m:r>
          <m:rPr>
            <m:sty m:val="p"/>
          </m:rPr>
          <m:t>±</m:t>
        </m:r>
        <m:r>
          <m:t>2.5</m:t>
        </m:r>
        <m:r>
          <m:t> 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, counted</w:t>
      </w:r>
      <w:r>
        <w:t xml:space="preserve"> </w:t>
      </w:r>
      <w:r>
        <w:t xml:space="preserve">per km), idle fraction (speed below 3 km/h), stops per km, highway fraction, and vehicle specific</w:t>
      </w:r>
      <w:r>
        <w:t xml:space="preserve"> </w:t>
      </w:r>
      <w:r>
        <w:t xml:space="preserve">power computed with zero road grade; conditions include outside air temperature, air-conditioning and</w:t>
      </w:r>
      <w:r>
        <w:t xml:space="preserve"> </w:t>
      </w:r>
      <w:r>
        <w:t xml:space="preserve">heater power, vehicle weight, distance, and duration.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nor/>
                      <m:sty m:val="p"/>
                    </m:rPr>
                    <m:t>beh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speed mean, speed SD, speed p85, mean positive</w:t>
            </w:r>
            <w:r>
              <w:t xml:space="preserve"> </w:t>
            </w:r>
            <w:r>
              <w:t xml:space="preserve">acceleration, acceleration p95, deceleration p05, jerk RMS, harsh-accel/km, harsh-brake/km, idle</w:t>
            </w:r>
            <w:r>
              <w:t xml:space="preserve"> </w:t>
            </w:r>
            <w:r>
              <w:t xml:space="preserve">fraction, stops/km, highway fraction, vehicle specific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nor/>
                      <m:sty m:val="p"/>
                    </m:rPr>
                    <m:t>env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outside air temperature, AC power, heater power, weight,</w:t>
            </w:r>
            <w:r>
              <w:t xml:space="preserve"> </w:t>
            </w:r>
            <w:r>
              <w:t xml:space="preserve">distance,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Combustion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fuel trim, long-term fuel trim (VED); air-fuel ratio,</w:t>
            </w:r>
            <w:r>
              <w:t xml:space="preserve"> </w:t>
            </w:r>
            <w:r>
              <w:t xml:space="preserve">lambda, CO, HC (bench)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Feature blocks. Harsh events use a</w:t>
      </w:r>
      <w:r>
        <w:t xml:space="preserve"> </w:t>
      </w:r>
      <m:oMath>
        <m:r>
          <m:rPr>
            <m:sty m:val="p"/>
          </m:rPr>
          <m:t>±</m:t>
        </m:r>
        <m:r>
          <m:t>2.5</m:t>
        </m:r>
        <m:r>
          <m:t> 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threshold; idle is speed below 3 km/h. Engine-state channels (RPM, load) are deliberately excluded</w:t>
      </w:r>
      <w:r>
        <w:t xml:space="preserve"> </w:t>
      </w:r>
      <w:r>
        <w:t xml:space="preserve">from the expected-fuel model so that the residual is free to reflect vehicle condition.</w:t>
      </w:r>
    </w:p>
    <w:bookmarkEnd w:id="39"/>
    <w:bookmarkStart w:id="40" w:name="decomposition"/>
    <w:p>
      <w:pPr>
        <w:pStyle w:val="Heading3"/>
      </w:pPr>
      <w:r>
        <w:t xml:space="preserve">4.3 Decomposition</w:t>
      </w:r>
    </w:p>
    <w:p>
      <w:pPr>
        <w:pStyle w:val="FirstParagraph"/>
      </w:pPr>
      <w:r>
        <w:t xml:space="preserve">The persistent per-vehicle deviation, the</w:t>
      </w:r>
      <w:r>
        <w:t xml:space="preserve"> </w:t>
      </w:r>
      <w:r>
        <w:rPr>
          <w:i/>
          <w:iCs/>
        </w:rPr>
        <w:t xml:space="preserve">vehicle-baseline</w:t>
      </w:r>
      <w:r>
        <w:t xml:space="preserve">, is the mean out-of-fold</w:t>
      </w:r>
      <w:r>
        <w:t xml:space="preserve"> </w:t>
      </w:r>
      <w:r>
        <w:t xml:space="preserve">residual of vehicle</w:t>
      </w:r>
      <w:r>
        <w:t xml:space="preserve"> </w:t>
      </w:r>
      <m:oMath>
        <m:r>
          <m:t>j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behaviour component</w:t>
      </w:r>
      <w:r>
        <w:t xml:space="preserve"> </w:t>
      </w:r>
      <w:r>
        <w:t xml:space="preserve">of a trip is a counterfactual: the model's prediction for the</w:t>
      </w:r>
      <w:r>
        <w:t xml:space="preserve"> </w:t>
      </w:r>
      <w:r>
        <w:t xml:space="preserve">observed driving minus its prediction when the aggression features are set to a gentle reference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nor/>
                <m:sty m:val="p"/>
              </m:rPr>
              <m:t>ref</m:t>
            </m:r>
          </m:sup>
        </m:sSup>
      </m:oMath>
      <w:r>
        <w:t xml:space="preserve"> </w:t>
      </w:r>
      <w:r>
        <w:t xml:space="preserve">(the population 20th percentile of each aggression feature), holding conditions</w:t>
      </w:r>
      <w:r>
        <w:t xml:space="preserve"> </w:t>
      </w:r>
      <w:r>
        <w:t xml:space="preserve">fixed,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M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beh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env</m:t>
                  </m:r>
                </m:sup>
              </m:sSubSup>
            </m:e>
          </m:d>
          <m:r>
            <m:rPr>
              <m:sty m:val="p"/>
            </m:rPr>
            <m:t>−</m:t>
          </m:r>
          <m:r>
            <m:t>M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nor/>
                      <m:sty m:val="p"/>
                    </m:rPr>
                    <m:t>ref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env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size the components at the population level we decompose the variance of</w:t>
      </w:r>
      <w:r>
        <w:t xml:space="preserve"> </w:t>
      </w:r>
      <m:oMath>
        <m:r>
          <m:t>f</m:t>
        </m:r>
      </m:oMath>
      <w:r>
        <w:t xml:space="preserve">. With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env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 coefficient of determination of a conditions-only model and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full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that of the full</w:t>
      </w:r>
      <w:r>
        <w:t xml:space="preserve"> </w:t>
      </w:r>
      <w:r>
        <w:t xml:space="preserve">model, the unique (marginal) behaviour share is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full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env</m:t>
            </m:r>
          </m:sub>
          <m:sup>
            <m:r>
              <m:t>2</m:t>
            </m:r>
          </m:sup>
        </m:sSubSup>
      </m:oMath>
      <w:r>
        <w:t xml:space="preserve">; the</w:t>
      </w:r>
      <w:r>
        <w:t xml:space="preserve"> </w:t>
      </w:r>
      <w:r>
        <w:t xml:space="preserve">vehicle-baseline share is the between-vehicle sum of squares of the residual expanded over trips,</w:t>
      </w:r>
      <w:r>
        <w:t xml:space="preserve"> </w:t>
      </w:r>
      <w:r>
        <w:t xml:space="preserve">divided by the total sum of squares,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veh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j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e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f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unexplained share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full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veh</m:t>
            </m:r>
          </m:sub>
        </m:sSub>
      </m:oMath>
      <w:r>
        <w:t xml:space="preserve">; here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</m:oMath>
      <w:r>
        <w:t xml:space="preserve"> </w:t>
      </w:r>
      <w:r>
        <w:t xml:space="preserve">are the fleet-mean residual and fleet-mean trip fuel.</w:t>
      </w:r>
    </w:p>
    <w:bookmarkEnd w:id="40"/>
    <w:bookmarkStart w:id="41" w:name="the-two-axes-and-the-signature-contrast"/>
    <w:p>
      <w:pPr>
        <w:pStyle w:val="Heading3"/>
      </w:pPr>
      <w:r>
        <w:t xml:space="preserve">4.4 The two axes and the signature contrast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kinematic axis</w:t>
      </w:r>
      <w:r>
        <w:t xml:space="preserve"> </w:t>
      </w:r>
      <w:r>
        <w:t xml:space="preserve">summarizes transient aggression through the behaviour features above;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combustion axis</w:t>
      </w:r>
      <w:r>
        <w:t xml:space="preserve"> </w:t>
      </w:r>
      <w:r>
        <w:t xml:space="preserve">measures the deviation of the air-fuel ratio from stoichiometric. On the bench the axis is the air-fuel-ratio deviation directly. In VED the observable is the short- and long-term fuel trims, which are the engine control unit's feedback corrections to the base fuel schedule rather than a direct air-fuel-ratio measurement; we therefore treat the VED side as a fueling-correction signal,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nor/>
                <m:sty m:val="p"/>
              </m:rPr>
              <m:t>VED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STFT</m:t>
        </m:r>
        <m:r>
          <m:rPr>
            <m:sty m:val="p"/>
          </m:rPr>
          <m:t>+</m:t>
        </m:r>
        <m:r>
          <m:rPr>
            <m:nor/>
            <m:sty m:val="p"/>
          </m:rPr>
          <m:t>LTFT</m:t>
        </m:r>
      </m:oMath>
      <w:r>
        <w:t xml:space="preserve">, placed on a common percent-fuel-per-air scale with the bench,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nor/>
                  <m:sty m:val="p"/>
                </m:rPr>
                <m:t>bench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14.7</m:t>
                  </m:r>
                </m:num>
                <m:den>
                  <m:r>
                    <m:rPr>
                      <m:nor/>
                      <m:sty m:val="p"/>
                    </m:rPr>
                    <m:t>AFR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signature contrast regresses each excess on each axis, reporting the held-out coefficient of</w:t>
      </w:r>
      <w:r>
        <w:t xml:space="preserve"> </w:t>
      </w:r>
      <w:r>
        <w:t xml:space="preserve">determination. The informative comparison is whether the combustion axis, which by construction tracks</w:t>
      </w:r>
      <w:r>
        <w:t xml:space="preserve"> </w:t>
      </w:r>
      <w:r>
        <w:t xml:space="preserve">fault-caused excess, also tracks driver-caused excess; the claim is that it does not.</w:t>
      </w:r>
    </w:p>
    <w:bookmarkEnd w:id="41"/>
    <w:bookmarkStart w:id="42" w:name="semi-synthetic-attribution"/>
    <w:p>
      <w:pPr>
        <w:pStyle w:val="Heading3"/>
      </w:pPr>
      <w:r>
        <w:t xml:space="preserve">4.5 Semi-synthetic attribution</w:t>
      </w:r>
    </w:p>
    <w:p>
      <w:pPr>
        <w:pStyle w:val="FirstParagraph"/>
      </w:pPr>
      <w:r>
        <w:t xml:space="preserve">Because no real dataset labels a trip's excess by cause, we construct ground truth by injection. From</w:t>
      </w:r>
      <w:r>
        <w:t xml:space="preserve"> </w:t>
      </w:r>
      <w:r>
        <w:t xml:space="preserve">each real base trip we form a driver-caused and a fault-caused variant that raise fuel by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amount</w:t>
      </w:r>
      <w:r>
        <w:t xml:space="preserve"> </w:t>
      </w:r>
      <m:oMath>
        <m:r>
          <m:t>Δ</m:t>
        </m:r>
        <m:r>
          <m:t>f</m:t>
        </m:r>
      </m:oMath>
      <w:r>
        <w:t xml:space="preserve">, so that fuel magnitude carries no information about the cause. The</w:t>
      </w:r>
      <w:r>
        <w:t xml:space="preserve"> </w:t>
      </w:r>
      <w:r>
        <w:t xml:space="preserve">driver variant adds signal to the kinematic axis and leaves the combustion axis at its real value; the</w:t>
      </w:r>
      <w:r>
        <w:t xml:space="preserve"> </w:t>
      </w:r>
      <w:r>
        <w:t xml:space="preserve">fault variant adds signal to the combustion axis and leaves kinematics unchanged. The injected strength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expressed in units of the natural within-vehicle standard deviation of the axis, so that real</w:t>
      </w:r>
      <w:r>
        <w:t xml:space="preserve"> </w:t>
      </w:r>
      <w:r>
        <w:t xml:space="preserve">trip-to-trip variation supplies the confounding noise. Writing</w:t>
      </w:r>
      <w:r>
        <w:t xml:space="preserve"> </w:t>
      </w:r>
      <m:oMath>
        <m:sSup>
          <m:e>
            <m:r>
              <m:t>z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for the real</w:t>
      </w:r>
      <w:r>
        <w:t xml:space="preserve"> </w:t>
      </w:r>
      <w:r>
        <w:t xml:space="preserve">within-vehicle-standardized kinematic and combustion deviations,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driver: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z</m:t>
                  </m:r>
                </m:e>
                <m:sup>
                  <m:r>
                    <m:t>c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fault: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z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calibrate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measured rich-mixture fault: its combustion shift of 3.0% fuel-per-air,</w:t>
      </w:r>
      <w:r>
        <w:t xml:space="preserve"> </w:t>
      </w:r>
      <w:r>
        <w:t xml:space="preserve">divided by the median within-vehicle long-term-trim standard deviation of 1.79%, gives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bench</m:t>
            </m:r>
          </m:sub>
        </m:sSub>
        <m:r>
          <m:rPr>
            <m:sty m:val="p"/>
          </m:rPr>
          <m:t>=</m:t>
        </m:r>
        <m:r>
          <m:t>1.66</m:t>
        </m:r>
      </m:oMath>
      <w:r>
        <w:t xml:space="preserve"> </w:t>
      </w:r>
      <w:r>
        <w:t xml:space="preserve">(from the unrounded shift and standard deviation). A logistic attributor is trained on the two axis-deviations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z</m:t>
                </m:r>
              </m:e>
              <m:sup>
                <m:r>
                  <m:t>c</m:t>
                </m:r>
              </m:sup>
            </m:sSup>
          </m:e>
        </m:d>
      </m:oMath>
      <w:r>
        <w:t xml:space="preserve"> </w:t>
      </w:r>
      <w:r>
        <w:t xml:space="preserve">together with the vehicle baseline, under GroupKFold by vehicle; a control classifier that sees only the fuel excess</w:t>
      </w:r>
      <w:r>
        <w:t xml:space="preserve"> </w:t>
      </w:r>
      <m:oMath>
        <m:r>
          <m:t>Δ</m:t>
        </m:r>
        <m:r>
          <m:t>f</m:t>
        </m:r>
      </m:oMath>
      <w:r>
        <w:t xml:space="preserve"> </w:t>
      </w:r>
      <w:r>
        <w:t xml:space="preserve">is the chance baseline.</w:t>
      </w:r>
    </w:p>
    <w:bookmarkEnd w:id="42"/>
    <w:bookmarkStart w:id="43" w:name="baselines"/>
    <w:p>
      <w:pPr>
        <w:pStyle w:val="Heading3"/>
      </w:pPr>
      <w:r>
        <w:t xml:space="preserve">4.6 Baselines</w:t>
      </w:r>
    </w:p>
    <w:p>
      <w:pPr>
        <w:pStyle w:val="FirstParagraph"/>
      </w:pPr>
      <w:r>
        <w:t xml:space="preserve">We compare against the detection and feature-relevance methods the literature offers: an isolation</w:t>
      </w:r>
      <w:r>
        <w:t xml:space="preserve"> </w:t>
      </w:r>
      <w:r>
        <w:t xml:space="preserve">forest [</w:t>
      </w:r>
      <w:hyperlink w:anchor="r19">
        <w:r>
          <w:rPr>
            <w:rStyle w:val="Hyperlink"/>
          </w:rPr>
          <w:t xml:space="preserve">19</w:t>
        </w:r>
      </w:hyperlink>
      <w:r>
        <w:t xml:space="preserve">] over trip features as an unsupervised anomaly detector; permutation</w:t>
      </w:r>
      <w:r>
        <w:t xml:space="preserve"> </w:t>
      </w:r>
      <w:r>
        <w:t xml:space="preserve">importance over the fuel model as the feature-relevance surrogate used by explainable anomaly work</w:t>
      </w:r>
      <w:r>
        <w:t xml:space="preserve"> </w:t>
      </w:r>
      <w:r>
        <w:t xml:space="preserve">[</w:t>
      </w:r>
      <w:hyperlink w:anchor="r3">
        <w:r>
          <w:rPr>
            <w:rStyle w:val="Hyperlink"/>
          </w:rPr>
          <w:t xml:space="preserve">3</w:t>
        </w:r>
      </w:hyperlink>
      <w:r>
        <w:t xml:space="preserve">]; and a pooled model that omits any vehicle term, to show how much per-vehicle</w:t>
      </w:r>
      <w:r>
        <w:t xml:space="preserve"> </w:t>
      </w:r>
      <w:r>
        <w:t xml:space="preserve">systematic effect is left unattributed when the vehicle is not modelled.</w:t>
      </w:r>
    </w:p>
    <w:bookmarkEnd w:id="43"/>
    <w:bookmarkEnd w:id="44"/>
    <w:bookmarkStart w:id="45" w:name="setup"/>
    <w:p>
      <w:pPr>
        <w:pStyle w:val="Heading2"/>
      </w:pPr>
      <w:r>
        <w:t xml:space="preserve">5. Experimental setup</w:t>
      </w:r>
    </w:p>
    <w:p>
      <w:pPr>
        <w:pStyle w:val="FirstParagraph"/>
      </w:pPr>
      <w:r>
        <w:t xml:space="preserve">The expected-fuel model is a histogram gradient-boosted regression tree ensemble (400 boosting</w:t>
      </w:r>
      <w:r>
        <w:t xml:space="preserve"> </w:t>
      </w:r>
      <w:r>
        <w:t xml:space="preserve">iterations, learning rate 0.05, maximum depth 6; the auxiliary conditions-only and behaviour-only</w:t>
      </w:r>
      <w:r>
        <w:t xml:space="preserve"> </w:t>
      </w:r>
      <w:r>
        <w:t xml:space="preserve">models use 300 iterations and depth 5), trained under 5-fold GroupKFold by vehicle with a fixed random</w:t>
      </w:r>
      <w:r>
        <w:t xml:space="preserve"> </w:t>
      </w:r>
      <w:r>
        <w:t xml:space="preserve">seed. The fuel-model coefficient of determination is stable across five seeds, ranging 0.672 to 0.676.</w:t>
      </w:r>
      <w:r>
        <w:t xml:space="preserve"> </w:t>
      </w:r>
      <w:r>
        <w:t xml:space="preserve">Confidence intervals throughout are cluster bootstraps that resample whole vehicles with replacement</w:t>
      </w:r>
      <w:r>
        <w:t xml:space="preserve"> </w:t>
      </w:r>
      <w:r>
        <w:t xml:space="preserve">over 1,000 draws and report the 2.5th and 97.5th percentiles; for the behaviour-validation study the</w:t>
      </w:r>
      <w:r>
        <w:t xml:space="preserve"> </w:t>
      </w:r>
      <w:r>
        <w:t xml:space="preserve">bootstrap resamples events, and the permutation test uses 1,000 label permutations with the</w:t>
      </w:r>
      <w:r>
        <w:t xml:space="preserve"> </w:t>
      </w:r>
      <w:r>
        <w:t xml:space="preserve">leave-one-driver-out cross-validation repeated inside each. On the bench, cross-validation must shuffle</w:t>
      </w:r>
      <w:r>
        <w:t xml:space="preserve"> </w:t>
      </w:r>
      <w:r>
        <w:t xml:space="preserve">folds: the records are grouped by fault and ordered within each group, so a non-shuffled 5-fold split</w:t>
      </w:r>
      <w:r>
        <w:t xml:space="preserve"> </w:t>
      </w:r>
      <w:r>
        <w:t xml:space="preserve">partitions the rich subset into disjoint operating ranges and the model, forced to extrapolate,</w:t>
      </w:r>
      <w:r>
        <w:t xml:space="preserve"> </w:t>
      </w:r>
      <w:r>
        <w:t xml:space="preserve">returns a spuriously negative coefficient of determination; the rows are exchangeable for this</w:t>
      </w:r>
      <w:r>
        <w:t xml:space="preserve"> </w:t>
      </w:r>
      <w:r>
        <w:t xml:space="preserve">regression, so shuffled folds are correct. Software: Python 3.14, scikit-learn 1.8, pandas 2.3, scipy</w:t>
      </w:r>
      <w:r>
        <w:t xml:space="preserve"> </w:t>
      </w:r>
      <w:r>
        <w:t xml:space="preserve">1.17, and pyarrow. Datasets are obtained from their original sources and are not redistributed; the</w:t>
      </w:r>
      <w:r>
        <w:t xml:space="preserve"> </w:t>
      </w:r>
      <w:r>
        <w:t xml:space="preserve">pipeline scripts regenerate every number. The expected-fuel conclusions are not specific to the</w:t>
      </w:r>
      <w:r>
        <w:t xml:space="preserve"> </w:t>
      </w:r>
      <w:r>
        <w:t xml:space="preserve">gradient-boosted model: under the same vehicle-grouped protocol a ridge baseline reaches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0.663</m:t>
        </m:r>
      </m:oMath>
      <w:r>
        <w:t xml:space="preserve"> </w:t>
      </w:r>
      <w:r>
        <w:t xml:space="preserve">and a random forest 0.640, against the boosted model's 0.673 and a mean predictor's</w:t>
      </w:r>
      <w:r>
        <w:t xml:space="preserve"> </w:t>
      </w:r>
      <w:r>
        <w:t xml:space="preserve">0.00. Engine-state channels (RPM, load) are deliberately excluded from the expected-fuel model; adding</w:t>
      </w:r>
      <w:r>
        <w:t xml:space="preserve"> </w:t>
      </w:r>
      <w:r>
        <w:t xml:space="preserve">them raises predictive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0.738 but they are engine outputs rather than driver inputs, and</w:t>
      </w:r>
      <w:r>
        <w:t xml:space="preserve"> </w:t>
      </w:r>
      <w:r>
        <w:t xml:space="preserve">their inclusion would let the predictor absorb part of the diagnostic signature we aim to isolate.</w:t>
      </w:r>
    </w:p>
    <w:bookmarkEnd w:id="45"/>
    <w:bookmarkStart w:id="58" w:name="arm1"/>
    <w:p>
      <w:pPr>
        <w:pStyle w:val="Heading2"/>
      </w:pPr>
      <w:r>
        <w:t xml:space="preserve">6. Results: driver arm (VED)</w:t>
      </w:r>
    </w:p>
    <w:bookmarkStart w:id="46" w:name="expected-fuel-model"/>
    <w:p>
      <w:pPr>
        <w:pStyle w:val="Heading3"/>
      </w:pPr>
      <w:r>
        <w:t xml:space="preserve">6.1 Expected-fuel model</w:t>
      </w:r>
    </w:p>
    <w:p>
      <w:pPr>
        <w:pStyle w:val="FirstParagraph"/>
      </w:pPr>
      <w:r>
        <w:t xml:space="preserve">The expected-fuel model reaches a held-out coefficient of determination of</w:t>
      </w:r>
      <w:r>
        <w:t xml:space="preserve"> </w:t>
      </w:r>
      <w:r>
        <w:rPr>
          <w:b/>
          <w:bCs/>
        </w:rPr>
        <w:t xml:space="preserve">0.673</w:t>
      </w:r>
      <w:r>
        <w:t xml:space="preserve"> </w:t>
      </w:r>
      <w:r>
        <w:t xml:space="preserve">(95% CI</w:t>
      </w:r>
      <w:r>
        <w:t xml:space="preserve"> </w:t>
      </w:r>
      <w:r>
        <w:t xml:space="preserve">[0.628, 0.709]) with a mean absolute percentage error of 13.3% (95% CI [12.3, 14.3]), stable across</w:t>
      </w:r>
      <w:r>
        <w:t xml:space="preserve"> </w:t>
      </w:r>
      <w:r>
        <w:t xml:space="preserve">seeds. This accuracy is in the range reported for OBD-based fuel models on other fleets</w:t>
      </w:r>
      <w:r>
        <w:t xml:space="preserve"> </w:t>
      </w:r>
      <w:r>
        <w:t xml:space="preserve">[</w:t>
      </w:r>
      <w:hyperlink w:anchor="r4">
        <w:r>
          <w:rPr>
            <w:rStyle w:val="Hyperlink"/>
          </w:rPr>
          <w:t xml:space="preserve">4</w:t>
        </w:r>
      </w:hyperlink>
      <w:r>
        <w:t xml:space="preserve">,</w:t>
      </w:r>
      <w:hyperlink w:anchor="r9">
        <w:r>
          <w:rPr>
            <w:rStyle w:val="Hyperlink"/>
          </w:rPr>
          <w:t xml:space="preserve">9</w:t>
        </w:r>
      </w:hyperlink>
      <w:r>
        <w:t xml:space="preserve">], though the datasets differ and the numbers are not directly</w:t>
      </w:r>
      <w:r>
        <w:t xml:space="preserve"> </w:t>
      </w:r>
      <w:r>
        <w:t xml:space="preserve">comparable; the model's role here is to define a well-calibrated expectation from which excess is</w:t>
      </w:r>
      <w:r>
        <w:t xml:space="preserve"> </w:t>
      </w:r>
      <w:r>
        <w:t xml:space="preserve">measured, not to set a new accuracy record.</w:t>
      </w:r>
    </w:p>
    <w:bookmarkEnd w:id="46"/>
    <w:bookmarkStart w:id="53" w:name="X0c9c6a5585f3441bffbba7f54edeae90ceeedfb"/>
    <w:p>
      <w:pPr>
        <w:pStyle w:val="Heading3"/>
      </w:pPr>
      <w:r>
        <w:t xml:space="preserve">6.2 Variance decomposition and the vehicle-baseline</w:t>
      </w:r>
    </w:p>
    <w:p>
      <w:pPr>
        <w:pStyle w:val="FirstParagraph"/>
      </w:pPr>
      <w:r>
        <w:t xml:space="preserve">Decomposing the variance of trip fuel (Table 4, Figure 2) shows that route and environment dominate, that</w:t>
      </w:r>
      <w:r>
        <w:t xml:space="preserve"> </w:t>
      </w:r>
      <w:r>
        <w:t xml:space="preserve">driving behaviour contributes a unique 8% beyond conditions and up to 37% counting the variance it</w:t>
      </w:r>
      <w:r>
        <w:t xml:space="preserve"> </w:t>
      </w:r>
      <w:r>
        <w:t xml:space="preserve">shares with route, and that a persistent vehicle-baseline accounts for a further 14%. The</w:t>
      </w:r>
      <w:r>
        <w:t xml:space="preserve"> </w:t>
      </w:r>
      <w:r>
        <w:t xml:space="preserve">vehicle-baseline is a real, size-independent effect: regressing the per-vehicle fixed effect on engine</w:t>
      </w:r>
      <w:r>
        <w:t xml:space="preserve"> </w:t>
      </w:r>
      <w:r>
        <w:t xml:space="preserve">displacement and weight explains only 23% of it, leaving roughly three-quarters unexplained by vehicle</w:t>
      </w:r>
      <w:r>
        <w:t xml:space="preserve"> </w:t>
      </w:r>
      <w:r>
        <w:t xml:space="preserve">size. This is the component that an operator would want to route to inspection, and it is invisible to</w:t>
      </w:r>
      <w:r>
        <w:t xml:space="preserve"> </w:t>
      </w:r>
      <w:r>
        <w:t xml:space="preserve">a model that does not represent the vehicle.</w:t>
      </w:r>
    </w:p>
    <w:p>
      <w:pPr>
        <w:pStyle w:val="BodyText"/>
      </w:pPr>
      <w:r>
        <w:t xml:space="preserve">The vehicle-baseline is not an in-sample artifact of estimating a group mean from the same trips it is</w:t>
      </w:r>
      <w:r>
        <w:t xml:space="preserve"> </w:t>
      </w:r>
      <w:r>
        <w:t xml:space="preserve">scored on. Estimating each vehicle's offset on one random half of its trips and evaluating the fuel</w:t>
      </w:r>
      <w:r>
        <w:t xml:space="preserve"> </w:t>
      </w:r>
      <w:r>
        <w:t xml:space="preserve">variance it explains on the held-out half gives a cross-fitted share of</w:t>
      </w:r>
      <w:r>
        <w:t xml:space="preserve"> </w:t>
      </w:r>
      <w:r>
        <w:rPr>
          <w:b/>
          <w:bCs/>
        </w:rPr>
        <w:t xml:space="preserve">0.136–0.138</w:t>
      </w:r>
      <w:r>
        <w:t xml:space="preserve"> </w:t>
      </w:r>
      <w:r>
        <w:t xml:space="preserve">(stable across a minimum of 5, 10, 15, or 20 trips per vehicle), essentially unchanged from the</w:t>
      </w:r>
      <w:r>
        <w:t xml:space="preserve"> </w:t>
      </w:r>
      <w:r>
        <w:t xml:space="preserve">0.143 in-sample value, and an empirical-Bayes shrinkage estimate agrees (0.138). The offsets are</w:t>
      </w:r>
      <w:r>
        <w:t xml:space="preserve"> </w:t>
      </w:r>
      <w:r>
        <w:t xml:space="preserve">highly reliable: the split-half correlation of per-vehicle baselines is</w:t>
      </w:r>
      <w:r>
        <w:t xml:space="preserve"> </w:t>
      </w:r>
      <w:r>
        <w:rPr>
          <w:b/>
          <w:bCs/>
        </w:rPr>
        <w:t xml:space="preserve">r = 0.95</w:t>
      </w:r>
      <w:r>
        <w:t xml:space="preserve"> </w:t>
      </w:r>
      <w:r>
        <w:t xml:space="preserve">(160 vehicles</w:t>
      </w:r>
      <w:r>
        <w:t xml:space="preserve"> </w:t>
      </w:r>
      <w:r>
        <w:t xml:space="preserve">with at least ten trips). A persistent, statistically stable per-vehicle component therefore survives</w:t>
      </w:r>
      <w:r>
        <w:t xml:space="preserve"> </w:t>
      </w:r>
      <w:r>
        <w:t xml:space="preserve">honest out-of-sample estimation. We label it a persistent vehicle-associated residual, not a verified</w:t>
      </w:r>
      <w:r>
        <w:t xml:space="preserve"> </w:t>
      </w:r>
      <w:r>
        <w:t xml:space="preserve">malfunction: VED has effectively one driver per vehicle, so it cannot separate a vehicle's mechanical</w:t>
      </w:r>
      <w:r>
        <w:t xml:space="preserve"> </w:t>
      </w:r>
      <w:r>
        <w:t xml:space="preserve">state from its habitual driver and routes (Section 10); the malfunction side of the attribution is</w:t>
      </w:r>
      <w:r>
        <w:t xml:space="preserve"> </w:t>
      </w:r>
      <w:r>
        <w:t xml:space="preserve">anchored on the controlled bench, where the fault is actually induced.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fuel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/ route (conditions only,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env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[0.542, 0.636]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 only (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beh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model (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[0.628, 0.709]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Behaviour, unique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[0.060, 0.102]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Environment, unique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Vehicle-baseline (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veh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[0.114, 0.174]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Variance decomposition of trip fuel (14,170 trips, 194 vehicles),</w:t>
      </w:r>
      <w:r>
        <w:t xml:space="preserve"> </w:t>
      </w:r>
      <w:r>
        <w:t xml:space="preserve">computed in one pass so the environment, unique-behaviour, vehicle-baseline, and unexplained shares</w:t>
      </w:r>
      <w:r>
        <w:t xml:space="preserve"> </w:t>
      </w:r>
      <w:r>
        <w:t xml:space="preserve">sum to one. Behaviour and route share variance, so the unique 8% understates behaviour's total</w:t>
      </w:r>
      <w:r>
        <w:t xml:space="preserve"> </w:t>
      </w:r>
      <w:r>
        <w:t xml:space="preserve">association; the vehicle-baseline is a separate 14%. Point estimates; 95% CIs are cluster bootstraps.</w:t>
      </w:r>
    </w:p>
    <w:p>
      <w:pPr>
        <w:pStyle w:val="BodyText"/>
      </w:pPr>
      <w:r>
        <w:t xml:space="preserve">The behaviour counterfactual quantifies the driver component in physical units. Relative to a</w:t>
      </w:r>
      <w:r>
        <w:t xml:space="preserve"> </w:t>
      </w:r>
      <w:r>
        <w:t xml:space="preserve">gentle-driving reference, the median trip carries an excess of</w:t>
      </w:r>
      <w:r>
        <w:t xml:space="preserve"> </w:t>
      </w:r>
      <w:r>
        <w:rPr>
          <w:b/>
          <w:bCs/>
        </w:rPr>
        <w:t xml:space="preserve">0.47 L/100km</w:t>
      </w:r>
      <w:r>
        <w:t xml:space="preserve"> </w:t>
      </w:r>
      <w:r>
        <w:t xml:space="preserve">(about 5% of median</w:t>
      </w:r>
      <w:r>
        <w:t xml:space="preserve"> </w:t>
      </w:r>
      <w:r>
        <w:t xml:space="preserve">fuel), rising to 1.59 at the 90th percentile. The component increases across deciles of the harsh-event rate (Figure 3): its mean rises from 0.34 to 1.55 L/100km, monotone from the median upward, with a Spearman rank correlation of 0.96 across deciles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Because the harsh-event rate is itself an input to the behaviour features, this is an internal face-validity check; the independent validation is the external dataset of Section 6.3. The magnitude is consistent with the 5-15% eco-driving range in the literature</w:t>
      </w:r>
      <w:r>
        <w:t xml:space="preserve"> </w:t>
      </w:r>
      <w:r>
        <w:t xml:space="preserve">[</w:t>
      </w:r>
      <w:hyperlink w:anchor="r5">
        <w:r>
          <w:rPr>
            <w:rStyle w:val="Hyperlink"/>
          </w:rPr>
          <w:t xml:space="preserve">5</w:t>
        </w:r>
      </w:hyperlink>
      <w:r>
        <w:t xml:space="preserve">,</w:t>
      </w:r>
      <w:hyperlink w:anchor="r15">
        <w:r>
          <w:rPr>
            <w:rStyle w:val="Hyperlink"/>
          </w:rPr>
          <w:t xml:space="preserve">15</w:t>
        </w:r>
      </w:hyperlink>
      <w:r>
        <w:t xml:space="preserve">].</w:t>
      </w:r>
    </w:p>
    <w:p>
      <w:pPr>
        <w:pStyle w:val="CaptionedFigure"/>
      </w:pPr>
      <w:r>
        <w:drawing>
          <wp:inline>
            <wp:extent cx="5334000" cy="1201444"/>
            <wp:effectExtent b="0" l="0" r="0" t="0"/>
            <wp:docPr descr="Variance decomposition of trip fuel" title="" id="48" name="Picture"/>
            <a:graphic>
              <a:graphicData uri="http://schemas.openxmlformats.org/drawingml/2006/picture">
                <pic:pic>
                  <pic:nvPicPr>
                    <pic:cNvPr descr="figures/fig1_variance_decomposi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Variance decomposition of trip fuel. Route and environment dominate;</w:t>
      </w:r>
      <w:r>
        <w:t xml:space="preserve"> </w:t>
      </w:r>
      <w:r>
        <w:t xml:space="preserve">driving behaviour adds a unique 8%, and a persistent vehicle-baseline accounts for 14%.</w:t>
      </w:r>
    </w:p>
    <w:p>
      <w:pPr>
        <w:pStyle w:val="CaptionedFigure"/>
      </w:pPr>
      <w:r>
        <w:drawing>
          <wp:inline>
            <wp:extent cx="5004816" cy="2804160"/>
            <wp:effectExtent b="0" l="0" r="0" t="0"/>
            <wp:docPr descr="Behaviour component by aggression decile" title="" id="51" name="Picture"/>
            <a:graphic>
              <a:graphicData uri="http://schemas.openxmlformats.org/drawingml/2006/picture">
                <pic:pic>
                  <pic:nvPicPr>
                    <pic:cNvPr descr="figures/fig3_behaviour_monotonicit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16" cy="280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The counterfactual behaviour component rises with independently measured</w:t>
      </w:r>
      <w:r>
        <w:t xml:space="preserve"> </w:t>
      </w:r>
      <w:r>
        <w:t xml:space="preserve">aggression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0.96</m:t>
        </m:r>
      </m:oMath>
      <w:r>
        <w:t xml:space="preserve">).</w:t>
      </w:r>
    </w:p>
    <w:bookmarkEnd w:id="53"/>
    <w:bookmarkStart w:id="57" w:name="behaviour-axis-external-validation"/>
    <w:p>
      <w:pPr>
        <w:pStyle w:val="Heading3"/>
      </w:pPr>
      <w:r>
        <w:t xml:space="preserve">6.3 Behaviour-axis external validation</w:t>
      </w:r>
    </w:p>
    <w:p>
      <w:pPr>
        <w:pStyle w:val="FirstParagraph"/>
      </w:pPr>
      <w:r>
        <w:t xml:space="preserve">On the Driving Events dataset the kinematic amplitude features separate aggressive from</w:t>
      </w:r>
      <w:r>
        <w:t xml:space="preserve"> </w:t>
      </w:r>
      <w:r>
        <w:t xml:space="preserve">non-aggressive events with the driver held out. Individually, the strongest features already</w:t>
      </w:r>
      <w:r>
        <w:t xml:space="preserve"> </w:t>
      </w:r>
      <w:r>
        <w:t xml:space="preserve">discriminate (acceleration-magnitude dispersion AUC 0.672, 95th percentile 0.657, energy 0.646, harsh</w:t>
      </w:r>
      <w:r>
        <w:t xml:space="preserve"> </w:t>
      </w:r>
      <w:r>
        <w:t xml:space="preserve">rate 0.639; all Mann-Whitney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), while raw jerk at 400 Hz does not (AUC 0.48), consistent</w:t>
      </w:r>
      <w:r>
        <w:t xml:space="preserve"> </w:t>
      </w:r>
      <w:r>
        <w:t xml:space="preserve">with amplitude rather than derivative carrying the signal at that sampling rate. A logistic classifier</w:t>
      </w:r>
      <w:r>
        <w:t xml:space="preserve"> </w:t>
      </w:r>
      <w:r>
        <w:t xml:space="preserve">over the amplitude features reaches a leave-one-driver-out AUC of</w:t>
      </w:r>
      <w:r>
        <w:t xml:space="preserve"> </w:t>
      </w:r>
      <w:r>
        <w:rPr>
          <w:b/>
          <w:bCs/>
        </w:rPr>
        <w:t xml:space="preserve">0.958</w:t>
      </w:r>
      <w:r>
        <w:t xml:space="preserve"> </w:t>
      </w:r>
      <w:r>
        <w:t xml:space="preserve">(95% CI [0.927, 0.981];</w:t>
      </w:r>
      <w:r>
        <w:t xml:space="preserve"> </w:t>
      </w:r>
      <w:r>
        <w:t xml:space="preserve">per-driver 0.984, 0.934, 0.992; Figure 4). A random forest reaches 0.79; with only two training drivers per fold</w:t>
      </w:r>
      <w:r>
        <w:t xml:space="preserve"> </w:t>
      </w:r>
      <w:r>
        <w:t xml:space="preserve">the linear model generalizes across drivers better, and we report both. Under a 1,000-permutation test the label-permuted AUC falls to chance (mean 0.471), placing the real AUC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. This validates that the kinematic</w:t>
      </w:r>
      <w:r>
        <w:t xml:space="preserve"> </w:t>
      </w:r>
      <w:r>
        <w:t xml:space="preserve">amplitude features transfer to an independent accelerometer dataset; it is a different sensing regime</w:t>
      </w:r>
      <w:r>
        <w:t xml:space="preserve"> </w:t>
      </w:r>
      <w:r>
        <w:t xml:space="preserve">(400 Hz smartphone inertial versus 1 Hz OBD), so it corroborates the axis rather than the exact VED</w:t>
      </w:r>
      <w:r>
        <w:t xml:space="preserve"> </w:t>
      </w:r>
      <w:r>
        <w:t xml:space="preserve">feature set or the counterfactual magnitude.</w:t>
      </w:r>
    </w:p>
    <w:p>
      <w:pPr>
        <w:pStyle w:val="CaptionedFigure"/>
      </w:pPr>
      <w:r>
        <w:drawing>
          <wp:inline>
            <wp:extent cx="3907536" cy="3706367"/>
            <wp:effectExtent b="0" l="0" r="0" t="0"/>
            <wp:docPr descr="Behaviour-axis ROC curve" title="" id="55" name="Picture"/>
            <a:graphic>
              <a:graphicData uri="http://schemas.openxmlformats.org/drawingml/2006/picture">
                <pic:pic>
                  <pic:nvPicPr>
                    <pic:cNvPr descr="figures/fig4_behaviour_roc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536" cy="3706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Kinematic features separate aggressive from normal driving on an</w:t>
      </w:r>
      <w:r>
        <w:t xml:space="preserve"> </w:t>
      </w:r>
      <w:r>
        <w:t xml:space="preserve">independent dataset with the driver held out (AUC 0.958, 95% CI [0.927, 0.981]).</w:t>
      </w:r>
    </w:p>
    <w:bookmarkEnd w:id="57"/>
    <w:bookmarkEnd w:id="58"/>
    <w:bookmarkStart w:id="62" w:name="arm2"/>
    <w:p>
      <w:pPr>
        <w:pStyle w:val="Heading2"/>
      </w:pPr>
      <w:r>
        <w:t xml:space="preserve">7. Results: malfunction arm (EngineFaultDB)</w:t>
      </w:r>
    </w:p>
    <w:p>
      <w:pPr>
        <w:pStyle w:val="FirstParagraph"/>
      </w:pPr>
      <w:r>
        <w:t xml:space="preserve">We fit the expected-fuel model on the normal (fault-0) operating points only and score the faults at</w:t>
      </w:r>
      <w:r>
        <w:t xml:space="preserve"> </w:t>
      </w:r>
      <w:r>
        <w:t xml:space="preserve">matched operating point. On normal data the out-of-fold residual is centred at zero with a standard</w:t>
      </w:r>
      <w:r>
        <w:t xml:space="preserve"> </w:t>
      </w:r>
      <w:r>
        <w:t xml:space="preserve">deviation of 0.20 L/100km, so the baseline is well calibrated. Scoring the faults (Table 5, Figure 5), only the rich mixture burns measurably more:</w:t>
      </w:r>
      <w:r>
        <w:t xml:space="preserve"> </w:t>
      </w:r>
      <w:r>
        <w:rPr>
          <w:b/>
          <w:bCs/>
        </w:rPr>
        <w:t xml:space="preserve">+0.50 L/100km, or +6.2%</w:t>
      </w:r>
      <w:r>
        <w:t xml:space="preserve"> </w:t>
      </w:r>
      <w:r>
        <w:t xml:space="preserve">of median fuel, consistent with its</w:t>
      </w:r>
      <w:r>
        <w:t xml:space="preserve"> </w:t>
      </w:r>
      <w:r>
        <w:t xml:space="preserve">air-fuel ratio of 13.68 against the normal 14.07 (a 7.5% enrichment of fuel per unit air) and a</w:t>
      </w:r>
      <w:r>
        <w:t xml:space="preserve"> </w:t>
      </w:r>
      <w:r>
        <w:t xml:space="preserve">brake-specific fuel consumption 10.6% above normal. The lean and low-voltage-ignition faults are not</w:t>
      </w:r>
      <w:r>
        <w:t xml:space="preserve"> </w:t>
      </w:r>
      <w:r>
        <w:t xml:space="preserve">excess-fuel faults. The rich-fault excess correlates with the combustion signature, not with</w:t>
      </w:r>
      <w:r>
        <w:t xml:space="preserve"> </w:t>
      </w:r>
      <w:r>
        <w:t xml:space="preserve">kinematics: with carbon monoxide 0.32, hydrocarbons 0.27, and the air-fuel ratio</w:t>
      </w:r>
      <w:r>
        <w:t xml:space="preserve"> </w:t>
      </w:r>
      <m:oMath>
        <m:r>
          <m:rPr>
            <m:sty m:val="p"/>
          </m:rPr>
          <m:t>−</m:t>
        </m:r>
        <m:r>
          <m:t>0.32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(L/100km)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median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BSFC vs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mixture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 mixture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Ignition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Excess fuel at matched operating point by fault class. Only the rich</w:t>
      </w:r>
      <w:r>
        <w:t xml:space="preserve"> </w:t>
      </w:r>
      <w:r>
        <w:t xml:space="preserve">mixture is a fuel-relevant fault. Brake-specific fuel consumption is reported for the rich fault only;</w:t>
      </w:r>
      <w:r>
        <w:t xml:space="preserve"> </w:t>
      </w:r>
      <w:r>
        <w:t xml:space="preserve">the lean and ignition faults were sampled at systematically lower power on the bench, so their</w:t>
      </w:r>
      <w:r>
        <w:t xml:space="preserve"> </w:t>
      </w:r>
      <w:r>
        <w:t xml:space="preserve">per-work figures are not comparable and are omitted.</w:t>
      </w:r>
    </w:p>
    <w:p>
      <w:pPr>
        <w:pStyle w:val="BodyText"/>
      </w:pPr>
      <w:r>
        <w:t xml:space="preserve">Two checks guard the comparison. The source dataset reports that the rich fault consumes less fuel</w:t>
      </w:r>
      <w:r>
        <w:t xml:space="preserve"> </w:t>
      </w:r>
      <w:r>
        <w:rPr>
          <w:i/>
          <w:iCs/>
        </w:rPr>
        <w:t xml:space="preserve">per hour</w:t>
      </w:r>
      <w:r>
        <w:t xml:space="preserve">; this reverses under our matched analysis because the rich records were sampled at</w:t>
      </w:r>
      <w:r>
        <w:t xml:space="preserve"> </w:t>
      </w:r>
      <w:r>
        <w:t xml:space="preserve">lower power, so their per-hour consumption is low while their per-distance and per-work consumption is</w:t>
      </w:r>
      <w:r>
        <w:t xml:space="preserve"> </w:t>
      </w:r>
      <w:r>
        <w:t xml:space="preserve">high. Matching on operating point isolates the true penalty. Second, the normal and rich samples</w:t>
      </w:r>
      <w:r>
        <w:t xml:space="preserve"> </w:t>
      </w:r>
      <w:r>
        <w:t xml:space="preserve">overlap closely in operating point (standardized mean differences: RPM 0.09, power 0.27, speed 0.09),</w:t>
      </w:r>
      <w:r>
        <w:t xml:space="preserve"> </w:t>
      </w:r>
      <w:r>
        <w:t xml:space="preserve">so the comparison is not driven by regime imbalance, and the normal reference is itself moderately</w:t>
      </w:r>
      <w:r>
        <w:t xml:space="preserve"> </w:t>
      </w:r>
      <w:r>
        <w:t xml:space="preserve">rich (lambda 0.957, carbon monoxide 2.16%), which biases the +6.2% estimate conservatively downward.</w:t>
      </w:r>
    </w:p>
    <w:p>
      <w:pPr>
        <w:pStyle w:val="CaptionedFigure"/>
      </w:pPr>
      <w:r>
        <w:drawing>
          <wp:inline>
            <wp:extent cx="5077968" cy="2980944"/>
            <wp:effectExtent b="0" l="0" r="0" t="0"/>
            <wp:docPr descr="Excess fuel by fault class" title="" id="60" name="Picture"/>
            <a:graphic>
              <a:graphicData uri="http://schemas.openxmlformats.org/drawingml/2006/picture">
                <pic:pic>
                  <pic:nvPicPr>
                    <pic:cNvPr descr="figures/fig5_fault_signatur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968" cy="298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Excess fuel at matched operating point by fault class; only the rich</w:t>
      </w:r>
      <w:r>
        <w:t xml:space="preserve"> </w:t>
      </w:r>
      <w:r>
        <w:t xml:space="preserve">mixture (low air-fuel ratio) burns measurably more.</w:t>
      </w:r>
    </w:p>
    <w:bookmarkEnd w:id="62"/>
    <w:bookmarkStart w:id="83" w:name="attrib"/>
    <w:p>
      <w:pPr>
        <w:pStyle w:val="Heading2"/>
      </w:pPr>
      <w:r>
        <w:t xml:space="preserve">8. Attribution</w:t>
      </w:r>
    </w:p>
    <w:bookmarkStart w:id="66" w:name="signature-contrast"/>
    <w:p>
      <w:pPr>
        <w:pStyle w:val="Heading3"/>
      </w:pPr>
      <w:r>
        <w:t xml:space="preserve">8.1 Signature contrast</w:t>
      </w:r>
    </w:p>
    <w:p>
      <w:pPr>
        <w:pStyle w:val="FirstParagraph"/>
      </w:pPr>
      <w:r>
        <w:t xml:space="preserve">Regressing each excess on each axis (Table 6, Figure 6) gives the central qualitative result. The kinematic axis explains driver-caused excess (held-out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0.084</m:t>
        </m:r>
      </m:oMath>
      <w:r>
        <w:t xml:space="preserve">) but is structurally unavailable on the</w:t>
      </w:r>
      <w:r>
        <w:t xml:space="preserve"> </w:t>
      </w:r>
      <w:r>
        <w:t xml:space="preserve">steady-state bench. The combustion axis explains fault-caused excess strongly, but this cell is</w:t>
      </w:r>
      <w:r>
        <w:t xml:space="preserve"> </w:t>
      </w:r>
      <w:r>
        <w:t xml:space="preserve">physically forced rather than discovered, and the informative cell is its counterpart: the combustion</w:t>
      </w:r>
      <w:r>
        <w:t xml:space="preserve"> </w:t>
      </w:r>
      <w:r>
        <w:t xml:space="preserve">axis is</w:t>
      </w:r>
      <w:r>
        <w:t xml:space="preserve"> </w:t>
      </w:r>
      <w:r>
        <w:rPr>
          <w:b/>
          <w:bCs/>
        </w:rPr>
        <w:t xml:space="preserve">silent for driver-caused excess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</m:oMath>
      <w:r>
        <w:t xml:space="preserve">; univariate correlation</w:t>
      </w:r>
      <w:r>
        <w:t xml:space="preserve"> </w:t>
      </w:r>
      <m:oMath>
        <m:r>
          <m:rPr>
            <m:sty m:val="p"/>
          </m:rPr>
          <m:t>−</m:t>
        </m:r>
        <m:r>
          <m:t>0.106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Driver-excess (VED)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Fault-excess (bench)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Kinematic (transient aggression)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(steady-state)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Combustion (AFR / fuel trim)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univariate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+0.333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Signature contrast: variance of excess explained (held-out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by</w:t>
      </w:r>
      <w:r>
        <w:t xml:space="preserve"> </w:t>
      </w:r>
      <w:r>
        <w:t xml:space="preserve">each axis. *The bench combustion cell is physically forced (a rich mixture is extra fuel) and is not</w:t>
      </w:r>
      <w:r>
        <w:t xml:space="preserve"> </w:t>
      </w:r>
      <w:r>
        <w:t xml:space="preserve">the claim; see below.</w:t>
      </w:r>
    </w:p>
    <w:p>
      <w:pPr>
        <w:pStyle w:val="BodyText"/>
      </w:pPr>
      <w:r>
        <w:t xml:space="preserve">Why the bench cell is not the claim. On the bench, air-fuel ratio and fuel are physically coupled, so</w:t>
      </w:r>
      <w:r>
        <w:t xml:space="preserve"> </w:t>
      </w:r>
      <w:r>
        <w:t xml:space="preserve">a combustion axis explaining fault-excess is expected rather than discovered. The multivariate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0.903 is carried mainly by carbon monoxide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0.73</m:t>
        </m:r>
      </m:oMath>
      <w:r>
        <w:t xml:space="preserve">) and hydrocarbons (0.44), the</w:t>
      </w:r>
      <w:r>
        <w:t xml:space="preserve"> </w:t>
      </w:r>
      <w:r>
        <w:t xml:space="preserve">unburnt-fuel emission products, with air-fuel ratio and lambda perfectly collinear (</w:t>
      </w:r>
      <m:oMath>
        <m:r>
          <m:t>r</m:t>
        </m:r>
        <m:r>
          <m:rPr>
            <m:sty m:val="p"/>
          </m:rPr>
          <m:t>=</m:t>
        </m:r>
        <m:r>
          <m:t>1.0</m:t>
        </m:r>
      </m:oMath>
      <w:r>
        <w:t xml:space="preserve">) at</w:t>
      </w:r>
      <w:r>
        <w:t xml:space="preserve"> </w:t>
      </w:r>
      <w:r>
        <w:t xml:space="preserve">0.12 each; the univariate correlation of 0.33 understates the multivariate fit because a single</w:t>
      </w:r>
      <w:r>
        <w:t xml:space="preserve"> </w:t>
      </w:r>
      <w:r>
        <w:t xml:space="preserve">air-fuel-ratio transform misses the emission channels. It is also interpolation, not generalization:</w:t>
      </w:r>
      <w:r>
        <w:t xml:space="preserve"> </w:t>
      </w:r>
      <w:r>
        <w:t xml:space="preserve">under leave-operating-region-out cross-validation (RPM×power terciles) the all-sensor fit falls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0.48</m:t>
        </m:r>
      </m:oMath>
      <w:r>
        <w:t xml:space="preserve"> </w:t>
      </w:r>
      <w:r>
        <w:t xml:space="preserve">and a deployment-transferable subset (air-fuel ratio, lambda, oxygen; excluding the</w:t>
      </w:r>
      <w:r>
        <w:t xml:space="preserve"> </w:t>
      </w:r>
      <w:r>
        <w:t xml:space="preserve">bench-only CO and HC analyzers) to 0.12, so the 0.903 reflects near-neighbour operating points rather</w:t>
      </w:r>
      <w:r>
        <w:t xml:space="preserve"> </w:t>
      </w:r>
      <w:r>
        <w:t xml:space="preserve">than a portable predictor. We therefore treat this cell as a physical</w:t>
      </w:r>
      <w:r>
        <w:t xml:space="preserve"> </w:t>
      </w:r>
      <w:r>
        <w:t xml:space="preserve">consistency check and rest the claim on the silent driver-excess cell and the attribution accuracy</w:t>
      </w:r>
      <w:r>
        <w:t xml:space="preserve"> </w:t>
      </w:r>
      <w:r>
        <w:t xml:space="preserve">below.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one cell is physically forced, one is structurally absent, and the two</w:t>
      </w:r>
      <w:r>
        <w:t xml:space="preserve"> </w:t>
      </w:r>
      <w:r>
        <w:t xml:space="preserve">evidential cells are the silent combustion axis on driver-excess and the kinematic axis carrying the</w:t>
      </w:r>
      <w:r>
        <w:t xml:space="preserve"> </w:t>
      </w:r>
      <w:r>
        <w:t xml:space="preserve">driver signal; we therefore call this a signature contrast rather than a full double dissociation.</w:t>
      </w:r>
    </w:p>
    <w:p>
      <w:pPr>
        <w:pStyle w:val="CaptionedFigure"/>
      </w:pPr>
      <w:r>
        <w:drawing>
          <wp:inline>
            <wp:extent cx="5004816" cy="3169920"/>
            <wp:effectExtent b="0" l="0" r="0" t="0"/>
            <wp:docPr descr="Signature contrast" title="" id="64" name="Picture"/>
            <a:graphic>
              <a:graphicData uri="http://schemas.openxmlformats.org/drawingml/2006/picture">
                <pic:pic>
                  <pic:nvPicPr>
                    <pic:cNvPr descr="figures/signature_contras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16" cy="31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Signature contrast. The combustion axis is silent for driver-caused</w:t>
      </w:r>
      <w:r>
        <w:t xml:space="preserve"> </w:t>
      </w:r>
      <w:r>
        <w:t xml:space="preserve">excess while the kinematic axis carries it; the starred bench cell is physically expected.</w:t>
      </w:r>
    </w:p>
    <w:bookmarkEnd w:id="66"/>
    <w:bookmarkStart w:id="67" w:name="Xd6fc0166739812c3871d7dee08ed8f862b94f1f"/>
    <w:p>
      <w:pPr>
        <w:pStyle w:val="Heading3"/>
      </w:pPr>
      <w:r>
        <w:t xml:space="preserve">8.2 Comparison to detection and feature-relevance baselines</w:t>
      </w:r>
    </w:p>
    <w:p>
      <w:pPr>
        <w:pStyle w:val="FirstParagraph"/>
      </w:pPr>
      <w:r>
        <w:t xml:space="preserve">Existing methods detect and rank but do not attribute. The isolation forest tracks excess only weakly</w:t>
      </w:r>
      <w:r>
        <w:t xml:space="preserve"> </w:t>
      </w:r>
      <w:r>
        <w:t xml:space="preserve">(correlation 0.16 with excess), aligns with the behaviour component (0.22) but not the vehicle-baseline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0.01</m:t>
        </m:r>
      </m:oMath>
      <w:r>
        <w:t xml:space="preserve">), and returns a single anomaly score with no cause label. Permutation-importance feature</w:t>
      </w:r>
      <w:r>
        <w:t xml:space="preserve"> </w:t>
      </w:r>
      <w:r>
        <w:t xml:space="preserve">relevance ranks mean speed (0.95) and weight (0.69) highest, physical determinants of consumption but</w:t>
      </w:r>
      <w:r>
        <w:t xml:space="preserve"> </w:t>
      </w:r>
      <w:r>
        <w:t xml:space="preserve">not a per-trip driver-versus-vehicle split. A pooled model that omits the vehicle term leaves</w:t>
      </w:r>
      <w:r>
        <w:t xml:space="preserve"> </w:t>
      </w:r>
      <w:r>
        <w:t xml:space="preserve">1.23 L/100km of per-vehicle systematic effect unattributed. None of these produces the decomposition</w:t>
      </w:r>
      <w:r>
        <w:t xml:space="preserve"> </w:t>
      </w:r>
      <w:r>
        <w:t xml:space="preserve">our method does; because there is no cause-labelled real benchmark, this is a capability contrast, and</w:t>
      </w:r>
      <w:r>
        <w:t xml:space="preserve"> </w:t>
      </w:r>
      <w:r>
        <w:t xml:space="preserve">the quantitative evaluation is next.</w:t>
      </w:r>
    </w:p>
    <w:bookmarkEnd w:id="67"/>
    <w:bookmarkStart w:id="71" w:name="Xb1501bb4601b4931c307d9f0cff37d918ea1833"/>
    <w:p>
      <w:pPr>
        <w:pStyle w:val="Heading3"/>
      </w:pPr>
      <w:r>
        <w:t xml:space="preserve">8.3 Attribution accuracy on semi-synthetic ground truth</w:t>
      </w:r>
    </w:p>
    <w:p>
      <w:pPr>
        <w:pStyle w:val="FirstParagraph"/>
      </w:pPr>
      <w:r>
        <w:t xml:space="preserve">Injecting driver-caused and fault-caused excess into 11,520 real VED trips (139 vehicles) with the</w:t>
      </w:r>
      <w:r>
        <w:t xml:space="preserve"> </w:t>
      </w:r>
      <w:r>
        <w:t xml:space="preserve">same fuel increase for both, so that magnitude is uninformative, the signature attributor recovers the</w:t>
      </w:r>
      <w:r>
        <w:t xml:space="preserve"> </w:t>
      </w:r>
      <w:r>
        <w:t xml:space="preserve">cause with accuracy that rises with signature strength: 0.713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0.866 at 1.0, 0.946 at</w:t>
      </w:r>
      <w:r>
        <w:t xml:space="preserve"> </w:t>
      </w:r>
      <w:r>
        <w:t xml:space="preserve">1.5, 0.979 at 2.0, and 0.998 at 3.0, while the fuel-only baseline stays at chance (about 0.50)</w:t>
      </w:r>
      <w:r>
        <w:t xml:space="preserve"> </w:t>
      </w:r>
      <w:r>
        <w:t xml:space="preserve">throughout (Figure 7). At the bench-calibrated magnitude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bench</m:t>
            </m:r>
          </m:sub>
        </m:sSub>
        <m:r>
          <m:rPr>
            <m:sty m:val="p"/>
          </m:rPr>
          <m:t>≈</m:t>
        </m:r>
        <m:r>
          <m:t>1.66</m:t>
        </m:r>
      </m:oMath>
      <w:r>
        <w:t xml:space="preserve"> </w:t>
      </w:r>
      <w:r>
        <w:t xml:space="preserve">the accuracy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0.959</w:t>
      </w:r>
      <w:r>
        <w:t xml:space="preserve"> </w:t>
      </w:r>
      <w:r>
        <w:t xml:space="preserve">(95% CI [0.956, 0.962], F1 0.959, with near-symmetric errors of about 4% each way).</w:t>
      </w:r>
      <w:r>
        <w:t xml:space="preserve"> </w:t>
      </w:r>
      <w:r>
        <w:t xml:space="preserve">This measures attribution rather than asserting it: the design makes fuel magnitude uninformative by</w:t>
      </w:r>
      <w:r>
        <w:t xml:space="preserve"> </w:t>
      </w:r>
      <w:r>
        <w:t xml:space="preserve">construction, so the accuracy comes entirely from the signature, and by controlling the injected</w:t>
      </w:r>
      <w:r>
        <w:t xml:space="preserve"> </w:t>
      </w:r>
      <w:r>
        <w:t xml:space="preserve">magnitude it sidesteps the trim-blindness of the fleet fuel target and the healthy-fleet range</w:t>
      </w:r>
      <w:r>
        <w:t xml:space="preserve"> </w:t>
      </w:r>
      <w:r>
        <w:t xml:space="preserve">restriction examined next. Two caveats on scope. The injection places each cause purely on its own</w:t>
      </w:r>
      <w:r>
        <w:t xml:space="preserve"> </w:t>
      </w:r>
      <w:r>
        <w:t xml:space="preserve">axis, so the experiment measures how detectable that separation is against real trip-to-trip noise; it</w:t>
      </w:r>
      <w:r>
        <w:t xml:space="preserve"> </w:t>
      </w:r>
      <w:r>
        <w:t xml:space="preserve">presumes rather than proves axis-separability, which rests instead on the bench signature and the</w:t>
      </w:r>
      <w:r>
        <w:t xml:space="preserve"> </w:t>
      </w:r>
      <w:r>
        <w:t xml:space="preserve">silent driver-excess cell. And the measured accuracy sits above the Gaussian-optimal bound of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≈</m:t>
        </m:r>
        <m:r>
          <m:t>0.88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bench</m:t>
            </m:r>
          </m:sub>
        </m:sSub>
      </m:oMath>
      <w:r>
        <w:t xml:space="preserve">, because the real within-vehicle deviations are</w:t>
      </w:r>
      <w:r>
        <w:t xml:space="preserve"> </w:t>
      </w:r>
      <w:r>
        <w:t xml:space="preserve">tighter than the median standard deviation used for calibration and the attributor also sees each</w:t>
      </w:r>
      <w:r>
        <w:t xml:space="preserve"> </w:t>
      </w:r>
      <w:r>
        <w:t xml:space="preserve">vehicle's baseline; the two axes are in fact near-independent in the fleet (trip-level correlation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), which is what makes them separable.</w:t>
      </w:r>
    </w:p>
    <w:p>
      <w:pPr>
        <w:pStyle w:val="CaptionedFigure"/>
      </w:pPr>
      <w:r>
        <w:drawing>
          <wp:inline>
            <wp:extent cx="5187696" cy="3176016"/>
            <wp:effectExtent b="0" l="0" r="0" t="0"/>
            <wp:docPr descr="Attribution accuracy vs signature strength" title="" id="69" name="Picture"/>
            <a:graphic>
              <a:graphicData uri="http://schemas.openxmlformats.org/drawingml/2006/picture">
                <pic:pic>
                  <pic:nvPicPr>
                    <pic:cNvPr descr="figures/fig6_attribution_accurac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69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Attribution accuracy versus signature strength, reaching 95.9% at the</w:t>
      </w:r>
      <w:r>
        <w:t xml:space="preserve"> </w:t>
      </w:r>
      <w:r>
        <w:t xml:space="preserve">bench-calibrated fault magnitude while the fuel-magnitude baseline stays at chance. This classifier</w:t>
      </w:r>
      <w:r>
        <w:t xml:space="preserve"> </w:t>
      </w:r>
      <w:r>
        <w:t xml:space="preserve">is trained on the injected labels and is therefore an upper bound; Section 8.4 reports the transfer</w:t>
      </w:r>
      <w:r>
        <w:t xml:space="preserve"> </w:t>
      </w:r>
      <w:r>
        <w:t xml:space="preserve">result that does not use them.</w:t>
      </w:r>
    </w:p>
    <w:bookmarkEnd w:id="71"/>
    <w:bookmarkStart w:id="75" w:name="X0770e934613aa954cded40406b703862608b6b5"/>
    <w:p>
      <w:pPr>
        <w:pStyle w:val="Heading3"/>
      </w:pPr>
      <w:r>
        <w:t xml:space="preserve">8.4 Transfer with frozen source-derived signatures</w:t>
      </w:r>
    </w:p>
    <w:p>
      <w:pPr>
        <w:pStyle w:val="FirstParagraph"/>
      </w:pPr>
      <w:r>
        <w:t xml:space="preserve">The classifier above is trained on the same injection labels it recovers, so it measures</w:t>
      </w:r>
      <w:r>
        <w:t xml:space="preserve"> </w:t>
      </w:r>
      <w:r>
        <w:t xml:space="preserve">recoverability rather than transfer. We therefore repeat the evaluation with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signatures</w:t>
      </w:r>
      <w:r>
        <w:t xml:space="preserve"> </w:t>
      </w:r>
      <w:r>
        <w:t xml:space="preserve">that never see the VED injection labels: the driver signature is a logistic model learned only on the</w:t>
      </w:r>
      <w:r>
        <w:t xml:space="preserve"> </w:t>
      </w:r>
      <w:r>
        <w:t xml:space="preserve">external aggressive-driving dataset (over kinematic features matched to VED: acceleration variability,</w:t>
      </w:r>
      <w:r>
        <w:t xml:space="preserve"> </w:t>
      </w:r>
      <w:r>
        <w:t xml:space="preserve">its 95th percentile, and harsh-event rate), and the fault signature is the combustion axis, whose</w:t>
      </w:r>
      <w:r>
        <w:t xml:space="preserve"> </w:t>
      </w:r>
      <w:r>
        <w:t xml:space="preserve">direction and effect size come from the bench. Each VED trip receives a frozen kinematic score and a</w:t>
      </w:r>
      <w:r>
        <w:t xml:space="preserve"> </w:t>
      </w:r>
      <w:r>
        <w:t xml:space="preserve">frozen combustion score, and the attribution rule is simply which standardized score is larger, a</w:t>
      </w:r>
      <w:r>
        <w:t xml:space="preserve"> </w:t>
      </w:r>
      <w:r>
        <w:t xml:space="preserve">fixed rule with no fitted parameters. At the bench-calibrated magnitude this zero-shot rule reaches</w:t>
      </w:r>
      <w:r>
        <w:t xml:space="preserve"> </w:t>
      </w:r>
      <w:r>
        <w:rPr>
          <w:b/>
          <w:bCs/>
        </w:rPr>
        <w:t xml:space="preserve">88.6% accuracy</w:t>
      </w:r>
      <w:r>
        <w:t xml:space="preserve">, essentially equal to the trained upper bound (0.886 vs 0.886) and far above the</w:t>
      </w:r>
      <w:r>
        <w:t xml:space="preserve"> </w:t>
      </w:r>
      <w:r>
        <w:t xml:space="preserve">fuel-only chance level; the two track across effect sizes (0.86 at S = 1.5, 0.92 at S = 2.0). Because</w:t>
      </w:r>
      <w:r>
        <w:t xml:space="preserve"> </w:t>
      </w:r>
      <w:r>
        <w:t xml:space="preserve">the scoring functions are learned in their source domains and combined on the target without joint</w:t>
      </w:r>
      <w:r>
        <w:t xml:space="preserve"> </w:t>
      </w:r>
      <w:r>
        <w:t xml:space="preserve">supervision, this is the multi-source transfer the framework claims, not a rediscovery of the</w:t>
      </w:r>
      <w:r>
        <w:t xml:space="preserve"> </w:t>
      </w:r>
      <w:r>
        <w:t xml:space="preserve">injection rule.</w:t>
      </w:r>
    </w:p>
    <w:p>
      <w:pPr>
        <w:pStyle w:val="BodyText"/>
      </w:pPr>
      <w:r>
        <w:t xml:space="preserve">The frozen rule also supports abstention. Withholding a decision when the two scores are close trades</w:t>
      </w:r>
      <w:r>
        <w:t xml:space="preserve"> </w:t>
      </w:r>
      <w:r>
        <w:t xml:space="preserve">coverage for accuracy: at the bench magnitude, deciding on the 71% of trips with the clearest evidence</w:t>
      </w:r>
      <w:r>
        <w:t xml:space="preserve"> </w:t>
      </w:r>
      <w:r>
        <w:t xml:space="preserve">raises accuracy from 88.6% to 95.7%, and on the clearest 41% to 98.2%. In a maintenance setting an</w:t>
      </w:r>
      <w:r>
        <w:t xml:space="preserve"> </w:t>
      </w:r>
      <w:r>
        <w:t xml:space="preserve">explicit "uncertain" verdict is preferable to a confident wrong intervention.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Signature strength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upper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1.66 (bench)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Attribution accuracy by signature strength. The frozen source-derived rule</w:t>
      </w:r>
      <w:r>
        <w:t xml:space="preserve"> </w:t>
      </w:r>
      <w:r>
        <w:t xml:space="preserve">(no injection-label training) matches the trained upper bound; fuel magnitude alone stays at chance.</w:t>
      </w:r>
    </w:p>
    <w:p>
      <w:pPr>
        <w:pStyle w:val="BodyText"/>
      </w:pPr>
      <w:r>
        <w:t xml:space="preserve">The real world does not present pure one-axis changes, so we stress the frozen rule. When both causes</w:t>
      </w:r>
      <w:r>
        <w:t xml:space="preserve"> </w:t>
      </w:r>
      <w:r>
        <w:t xml:space="preserve">act at once, we score dominant-cause accuracy over a grid of driver and fault effect sizes (Figure 8):</w:t>
      </w:r>
      <w:r>
        <w:t xml:space="preserve"> </w:t>
      </w:r>
      <w:r>
        <w:t xml:space="preserve">attribution is accurate off the diagonal and degrades to chance only where the two effects are equal</w:t>
      </w:r>
      <w:r>
        <w:t xml:space="preserve"> </w:t>
      </w:r>
      <w:r>
        <w:t xml:space="preserve">and the cause is genuinely ambiguous. The rule degrades gracefully under departures from ideal</w:t>
      </w:r>
      <w:r>
        <w:t xml:space="preserve"> </w:t>
      </w:r>
      <w:r>
        <w:t xml:space="preserve">conditions at the bench magnitude: additive Gaussian score noise takes accuracy from 0.886 to 0.80</w:t>
      </w:r>
      <w:r>
        <w:t xml:space="preserve"> </w:t>
      </w:r>
      <w:r>
        <w:t xml:space="preserve">(1 SD) and 0.74 (1.5 SD); a systematic combustion-score bias to 0.83 (1 SD); and dropping the</w:t>
      </w:r>
      <w:r>
        <w:t xml:space="preserve"> </w:t>
      </w:r>
      <w:r>
        <w:t xml:space="preserve">fuel-trim channel for a fraction of trips to 0.85 (20% missing) and 0.80 (50%). As a probabilistic</w:t>
      </w:r>
      <w:r>
        <w:t xml:space="preserve"> </w:t>
      </w:r>
      <w:r>
        <w:t xml:space="preserve">scorer (the sigmoid of the score margin) the frozen rule reaches AUROC 0.951, average precision 0.945,</w:t>
      </w:r>
      <w:r>
        <w:t xml:space="preserve"> </w:t>
      </w:r>
      <w:r>
        <w:t xml:space="preserve">and a Brier score of 0.092 at the bench magnitude.</w:t>
      </w:r>
    </w:p>
    <w:p>
      <w:pPr>
        <w:pStyle w:val="CaptionedFigure"/>
      </w:pPr>
      <w:r>
        <w:drawing>
          <wp:inline>
            <wp:extent cx="4261104" cy="3608832"/>
            <wp:effectExtent b="0" l="0" r="0" t="0"/>
            <wp:docPr descr="Mixed-cause dominant-cause accuracy grid" title="" id="73" name="Picture"/>
            <a:graphic>
              <a:graphicData uri="http://schemas.openxmlformats.org/drawingml/2006/picture">
                <pic:pic>
                  <pic:nvPicPr>
                    <pic:cNvPr descr="figures/mixed_cause_gri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04" cy="360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8.</w:t>
      </w:r>
      <w:r>
        <w:t xml:space="preserve"> </w:t>
      </w:r>
      <w:r>
        <w:t xml:space="preserve">Dominant-cause accuracy when both causes act, over driver effect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 fault effect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. Attribution is reliable off the diagonal and falls to chance only</w:t>
      </w:r>
      <w:r>
        <w:t xml:space="preserve"> </w:t>
      </w:r>
      <w:r>
        <w:t xml:space="preserve">where the two effects are equal.</w:t>
      </w:r>
    </w:p>
    <w:p>
      <w:pPr>
        <w:pStyle w:val="BodyText"/>
      </w:pPr>
      <w:r>
        <w:t xml:space="preserve">Attribution is not an artifact of one classifier. At the bench magnitude, task-aligned baselines all</w:t>
      </w:r>
      <w:r>
        <w:t xml:space="preserve"> </w:t>
      </w:r>
      <w:r>
        <w:t xml:space="preserve">cluster near the frozen rule and far above chance (Table 8): a raw-threshold rule on harsh-event rate</w:t>
      </w:r>
      <w:r>
        <w:t xml:space="preserve"> </w:t>
      </w:r>
      <w:r>
        <w:t xml:space="preserve">versus fuel trim reaches 0.89, a likelihood-ratio prototype against source-calibrated signature</w:t>
      </w:r>
      <w:r>
        <w:t xml:space="preserve"> </w:t>
      </w:r>
      <w:r>
        <w:t xml:space="preserve">distributions 0.89, and a classifier trained on all features and the injection labels sets the upper</w:t>
      </w:r>
      <w:r>
        <w:t xml:space="preserve"> </w:t>
      </w:r>
      <w:r>
        <w:t xml:space="preserve">bound at 0.95, while the fuel-only baseline stays at 0.51. The signature separation, not the choice of</w:t>
      </w:r>
      <w:r>
        <w:t xml:space="preserve"> </w:t>
      </w:r>
      <w:r>
        <w:t xml:space="preserve">attributor, is what carries the 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Attributor (at bench magnitude)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injection labels?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magnitude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(chance)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source-derived argmax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Raw-threshold rule (harsh rate vs trim)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Likelihood-ratio prototype (source-calibrated)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 full-feature logistic (upper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Task-aligned attribution baselines. Every signature-based attributor</w:t>
      </w:r>
      <w:r>
        <w:t xml:space="preserve"> </w:t>
      </w:r>
      <w:r>
        <w:t xml:space="preserve">reaches ~0.89 without injection labels; only the trained upper bound uses them; fuel magnitude is at</w:t>
      </w:r>
      <w:r>
        <w:t xml:space="preserve"> </w:t>
      </w:r>
      <w:r>
        <w:t xml:space="preserve">chance.</w:t>
      </w:r>
    </w:p>
    <w:bookmarkEnd w:id="75"/>
    <w:bookmarkStart w:id="78" w:name="Xb70b62c2f344913f38fcc3ac71a67668c178b99"/>
    <w:p>
      <w:pPr>
        <w:pStyle w:val="Heading3"/>
      </w:pPr>
      <w:r>
        <w:t xml:space="preserve">8.5 Robustness of the silent-combustion result</w:t>
      </w:r>
    </w:p>
    <w:p>
      <w:pPr>
        <w:pStyle w:val="FirstParagraph"/>
      </w:pPr>
      <w:r>
        <w:t xml:space="preserve">Two threats could make the silent combustion cell an artifact rather than a finding; both are ruled</w:t>
      </w:r>
      <w:r>
        <w:t xml:space="preserve"> </w:t>
      </w:r>
      <w:r>
        <w:t xml:space="preserve">out.</w:t>
      </w:r>
    </w:p>
    <w:bookmarkStart w:id="76" w:name="trim-blindness-of-the-fuel-target"/>
    <w:p>
      <w:pPr>
        <w:pStyle w:val="Heading4"/>
      </w:pPr>
      <w:r>
        <w:t xml:space="preserve">Trim-blindness of the fuel target</w:t>
      </w:r>
    </w:p>
    <w:p>
      <w:pPr>
        <w:pStyle w:val="FirstParagraph"/>
      </w:pPr>
      <w:r>
        <w:t xml:space="preserve">The fleet fuel target is derived from mass air-flow at stoichiometric ratio (Eq. 1), which ignores</w:t>
      </w:r>
      <w:r>
        <w:t xml:space="preserve"> </w:t>
      </w:r>
      <w:r>
        <w:t xml:space="preserve">the trim-driven fuel fraction and could suppress the combustion axis by construction. Re-deriving fuel</w:t>
      </w:r>
      <w:r>
        <w:t xml:space="preserve"> </w:t>
      </w:r>
      <w:r>
        <w:t xml:space="preserve">with the trim correction of Eq. 2 moves the combustion axis on driver-excess only from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0.012</m:t>
        </m:r>
      </m:oMath>
      <w:r>
        <w:t xml:space="preserve">; it stays silent, because the ignored fraction is small in this healthy</w:t>
      </w:r>
      <w:r>
        <w:t xml:space="preserve"> </w:t>
      </w:r>
      <w:r>
        <w:t xml:space="preserve">fleet (median 1.5%, 90th percentile 11%). The result is also robust to how the fueling-correction</w:t>
      </w:r>
      <w:r>
        <w:t xml:space="preserve"> </w:t>
      </w:r>
      <w:r>
        <w:t xml:space="preserve">signal is treated: the short- and long-term trims are individually uninformative for driver-excess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0.051</m:t>
        </m:r>
      </m:oMath>
      <w:r>
        <w:t xml:space="preserve">), and an additive versus multiplicative trim correction changes the</w:t>
      </w:r>
      <w:r>
        <w:t xml:space="preserve"> </w:t>
      </w:r>
      <w:r>
        <w:t xml:space="preserve">fuel target by a median of 0.002 L/100km and the combustion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 less than 0.01.</w:t>
      </w:r>
    </w:p>
    <w:bookmarkEnd w:id="76"/>
    <w:bookmarkStart w:id="77" w:name="range-restriction"/>
    <w:p>
      <w:pPr>
        <w:pStyle w:val="Heading4"/>
      </w:pPr>
      <w:r>
        <w:t xml:space="preserve">Range restriction</w:t>
      </w:r>
    </w:p>
    <w:p>
      <w:pPr>
        <w:pStyle w:val="FirstParagraph"/>
      </w:pPr>
      <w:r>
        <w:t xml:space="preserve">If VED simply had no combustion variance, the axis could not correlate with anything. It does have</w:t>
      </w:r>
      <w:r>
        <w:t xml:space="preserve"> </w:t>
      </w:r>
      <w:r>
        <w:t xml:space="preserve">variance (within-vehicle long-term-trim standard deviation 1.79%, between-vehicle 4.41%). Restricting</w:t>
      </w:r>
      <w:r>
        <w:t xml:space="preserve"> </w:t>
      </w:r>
      <w:r>
        <w:t xml:space="preserve">to the highest-trim quartile of vehicles (47 vehicles) still gives a near-zero excess-versus-trim</w:t>
      </w:r>
      <w:r>
        <w:t xml:space="preserve"> </w:t>
      </w:r>
      <w:r>
        <w:t xml:space="preserve">correlation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0.14</m:t>
        </m:r>
      </m:oMath>
      <w:r>
        <w:t xml:space="preserve">). The silence therefore reflects that driver-caused excess is genuinely not</w:t>
      </w:r>
      <w:r>
        <w:t xml:space="preserve"> </w:t>
      </w:r>
      <w:r>
        <w:t xml:space="preserve">combustion-linked, not a measurement or sampling artifact.</w:t>
      </w:r>
    </w:p>
    <w:bookmarkEnd w:id="77"/>
    <w:bookmarkEnd w:id="78"/>
    <w:bookmarkStart w:id="82" w:name="a-worked-example"/>
    <w:p>
      <w:pPr>
        <w:pStyle w:val="Heading3"/>
      </w:pPr>
      <w:r>
        <w:t xml:space="preserve">8.6 A worked example</w:t>
      </w:r>
    </w:p>
    <w:p>
      <w:pPr>
        <w:pStyle w:val="FirstParagraph"/>
      </w:pPr>
      <w:r>
        <w:t xml:space="preserve">Figure 9 shows the method's per-trip product on two real trips with the same symptom and opposite</w:t>
      </w:r>
      <w:r>
        <w:t xml:space="preserve"> </w:t>
      </w:r>
      <w:r>
        <w:t xml:space="preserve">causes. Trip A burns 5.2 L/100km above its gentle-driving baseline, almost all of it driving</w:t>
      </w:r>
      <w:r>
        <w:t xml:space="preserve"> </w:t>
      </w:r>
      <w:r>
        <w:t xml:space="preserve">behaviour, with a negligible vehicle-baseline; Trip B burns 2.8 above baseline, almost all of it a</w:t>
      </w:r>
      <w:r>
        <w:t xml:space="preserve"> </w:t>
      </w:r>
      <w:r>
        <w:t xml:space="preserve">persistent vehicle-baseline offset, with negligible behaviour. Fuel per distance alone would flag both</w:t>
      </w:r>
      <w:r>
        <w:t xml:space="preserve"> </w:t>
      </w:r>
      <w:r>
        <w:t xml:space="preserve">and explain neither; the decomposition attributes each to its cause.</w:t>
      </w:r>
    </w:p>
    <w:p>
      <w:pPr>
        <w:pStyle w:val="CaptionedFigure"/>
      </w:pPr>
      <w:r>
        <w:drawing>
          <wp:inline>
            <wp:extent cx="5334000" cy="2380462"/>
            <wp:effectExtent b="0" l="0" r="0" t="0"/>
            <wp:docPr descr="Per-trip decomposition, two example trips" title="" id="80" name="Picture"/>
            <a:graphic>
              <a:graphicData uri="http://schemas.openxmlformats.org/drawingml/2006/picture">
                <pic:pic>
                  <pic:nvPicPr>
                    <pic:cNvPr descr="figures/fig7_worked_exampl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9.</w:t>
      </w:r>
      <w:r>
        <w:t xml:space="preserve"> </w:t>
      </w:r>
      <w:r>
        <w:t xml:space="preserve">Two real trips, same elevated fuel, opposite cause. The decomposition</w:t>
      </w:r>
      <w:r>
        <w:t xml:space="preserve"> </w:t>
      </w:r>
      <w:r>
        <w:t xml:space="preserve">separates a driver-dominated trip (A) from a vehicle-dominated trip (B).</w:t>
      </w:r>
    </w:p>
    <w:bookmarkEnd w:id="82"/>
    <w:bookmarkEnd w:id="83"/>
    <w:bookmarkStart w:id="88" w:name="discuss"/>
    <w:p>
      <w:pPr>
        <w:pStyle w:val="Heading2"/>
      </w:pPr>
      <w:r>
        <w:t xml:space="preserve">9. Discussion</w:t>
      </w:r>
    </w:p>
    <w:bookmarkStart w:id="84" w:name="why-signature-based-attribution-works"/>
    <w:p>
      <w:pPr>
        <w:pStyle w:val="Heading3"/>
      </w:pPr>
      <w:r>
        <w:t xml:space="preserve">9.1 Why signature-based attribution works</w:t>
      </w:r>
    </w:p>
    <w:p>
      <w:pPr>
        <w:pStyle w:val="FirstParagraph"/>
      </w:pPr>
      <w:r>
        <w:t xml:space="preserve">Fuel per distance is a sum over causes, and summation destroys the information needed to separate</w:t>
      </w:r>
      <w:r>
        <w:t xml:space="preserve"> </w:t>
      </w:r>
      <w:r>
        <w:t xml:space="preserve">them: two trips with identical excess can arise from opposite mechanisms. The signature survives</w:t>
      </w:r>
      <w:r>
        <w:t xml:space="preserve"> </w:t>
      </w:r>
      <w:r>
        <w:t xml:space="preserve">because each cause perturbs the channel it physically acts on. Aggressive driving raises the tractive</w:t>
      </w:r>
      <w:r>
        <w:t xml:space="preserve"> </w:t>
      </w:r>
      <w:r>
        <w:t xml:space="preserve">power demand while the engine holds a normal air-fuel ratio, so the excess appears in kinematics and</w:t>
      </w:r>
      <w:r>
        <w:t xml:space="preserve"> </w:t>
      </w:r>
      <w:r>
        <w:t xml:space="preserve">not in the trims; a rich mixture over-fuels at a given air-flow, so the excess appears in the air-fuel</w:t>
      </w:r>
      <w:r>
        <w:t xml:space="preserve"> </w:t>
      </w:r>
      <w:r>
        <w:t xml:space="preserve">ratio and the unburnt-fuel emissions and not in kinematics. In a healthy fleet the two axes are nearly</w:t>
      </w:r>
      <w:r>
        <w:t xml:space="preserve"> </w:t>
      </w:r>
      <w:r>
        <w:t xml:space="preserve">orthogonal (trip-level correlation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), which is exactly why the combustion axis is silent for</w:t>
      </w:r>
      <w:r>
        <w:t xml:space="preserve"> </w:t>
      </w:r>
      <w:r>
        <w:t xml:space="preserve">driver-caused excess and why attribution is possible from standard channels.</w:t>
      </w:r>
    </w:p>
    <w:bookmarkEnd w:id="84"/>
    <w:bookmarkStart w:id="85" w:name="deployment"/>
    <w:p>
      <w:pPr>
        <w:pStyle w:val="Heading3"/>
      </w:pPr>
      <w:r>
        <w:t xml:space="preserve">9.2 Deployment</w:t>
      </w:r>
    </w:p>
    <w:p>
      <w:pPr>
        <w:pStyle w:val="FirstParagraph"/>
      </w:pPr>
      <w:r>
        <w:t xml:space="preserve">Both axes come from signals a fleet telematics unit already collects: GPS and inertial derivatives</w:t>
      </w:r>
      <w:r>
        <w:t xml:space="preserve"> </w:t>
      </w:r>
      <w:r>
        <w:t xml:space="preserve">for the kinematic axis, and the short- and long-term fuel trims for the combustion axis. The per-trip</w:t>
      </w:r>
      <w:r>
        <w:t xml:space="preserve"> </w:t>
      </w:r>
      <w:r>
        <w:t xml:space="preserve">decomposition can therefore be computed online and routed: a persistent vehicle-baseline offset feeds</w:t>
      </w:r>
      <w:r>
        <w:t xml:space="preserve"> </w:t>
      </w:r>
      <w:r>
        <w:t xml:space="preserve">an inspection queue, while a large behaviour component feeds driver coaching, in both cases with the</w:t>
      </w:r>
      <w:r>
        <w:t xml:space="preserve"> </w:t>
      </w:r>
      <w:r>
        <w:t xml:space="preserve">attribution's uncertainty attached and a human in the loop. The accuracy curve of Section 8.3 sets</w:t>
      </w:r>
      <w:r>
        <w:t xml:space="preserve"> </w:t>
      </w:r>
      <w:r>
        <w:t xml:space="preserve">expectations for smaller faults: real degradations weaker than the bench rich fault correspond to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1.66</m:t>
        </m:r>
      </m:oMath>
      <w:r>
        <w:t xml:space="preserve"> </w:t>
      </w:r>
      <w:r>
        <w:t xml:space="preserve">and are attributed less confidently, degrading gracefully rather than failing abruptly.</w:t>
      </w:r>
    </w:p>
    <w:bookmarkEnd w:id="85"/>
    <w:bookmarkStart w:id="86" w:name="what-the-vehicle-baseline-is"/>
    <w:p>
      <w:pPr>
        <w:pStyle w:val="Heading3"/>
      </w:pPr>
      <w:r>
        <w:t xml:space="preserve">9.3 What the vehicle-baseline is</w:t>
      </w:r>
    </w:p>
    <w:p>
      <w:pPr>
        <w:pStyle w:val="FirstParagraph"/>
      </w:pPr>
      <w:r>
        <w:t xml:space="preserve">The vehicle-baseline is a real 14% of trip-fuel variance, three-quarters of it unexplained by engine</w:t>
      </w:r>
      <w:r>
        <w:t xml:space="preserve"> </w:t>
      </w:r>
      <w:r>
        <w:t xml:space="preserve">size or weight. Its mechanism is not labelled in VED and plausibly bundles tuning, tire pressure,</w:t>
      </w:r>
      <w:r>
        <w:t xml:space="preserve"> </w:t>
      </w:r>
      <w:r>
        <w:t xml:space="preserve">accumulated wear, and accessory load. That VED cannot resolve this further is itself informative: the fleet is healthy, which is why the malfunction side of the attribution is anchored on a controlled bench rather than observed in the fleet. Attribution here identifies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vehicle deviates persistently, not the specific</w:t>
      </w:r>
      <w:r>
        <w:t xml:space="preserve"> </w:t>
      </w:r>
      <w:r>
        <w:t xml:space="preserve">mechanical fault, which remains a diagnosis step.</w:t>
      </w:r>
    </w:p>
    <w:bookmarkEnd w:id="86"/>
    <w:bookmarkStart w:id="87" w:name="the-benchmark-the-field-needs"/>
    <w:p>
      <w:pPr>
        <w:pStyle w:val="Heading3"/>
      </w:pPr>
      <w:r>
        <w:t xml:space="preserve">9.4 The benchmark the field needs</w:t>
      </w:r>
    </w:p>
    <w:p>
      <w:pPr>
        <w:pStyle w:val="FirstParagraph"/>
      </w:pPr>
      <w:r>
        <w:t xml:space="preserve">Naming what would close the joint-data gap (Section 3.4) turns it into an agenda: a fleet logged with true fuel-flow meters, OBD trims, driver identifiers,</w:t>
      </w:r>
      <w:r>
        <w:t xml:space="preserve"> </w:t>
      </w:r>
      <w:r>
        <w:t xml:space="preserve">and verified maintenance or fault records on the same vehicles and trips. Such a dataset would allow</w:t>
      </w:r>
      <w:r>
        <w:t xml:space="preserve"> </w:t>
      </w:r>
      <w:r>
        <w:t xml:space="preserve">single-trip competing-cause attribution to be trained and measured directly, and the semi-synthetic</w:t>
      </w:r>
      <w:r>
        <w:t xml:space="preserve"> </w:t>
      </w:r>
      <w:r>
        <w:t xml:space="preserve">bridge to be replaced by real ground truth.</w:t>
      </w:r>
    </w:p>
    <w:bookmarkEnd w:id="87"/>
    <w:bookmarkEnd w:id="88"/>
    <w:bookmarkStart w:id="90" w:name="limits"/>
    <w:p>
      <w:pPr>
        <w:pStyle w:val="Heading2"/>
      </w:pPr>
      <w:r>
        <w:t xml:space="preserve">10. Scope and limitations</w:t>
      </w:r>
    </w:p>
    <w:p>
      <w:pPr>
        <w:pStyle w:val="FirstParagraph"/>
      </w:pPr>
      <w:r>
        <w:t xml:space="preserve">Driver and fault ground truths live in different datasets, so the signature contrast is</w:t>
      </w:r>
      <w:r>
        <w:t xml:space="preserve"> </w:t>
      </w:r>
      <w:r>
        <w:t xml:space="preserve">cross-dataset; the semi-synthetic experiment provides the single-trip competing-cause evaluation that</w:t>
      </w:r>
      <w:r>
        <w:t xml:space="preserve"> </w:t>
      </w:r>
      <w:r>
        <w:t xml:space="preserve">no real dataset supports, but it assumes additive, axis-separable effects, and a real fault that</w:t>
      </w:r>
      <w:r>
        <w:t xml:space="preserve"> </w:t>
      </w:r>
      <w:r>
        <w:t xml:space="preserve">co-moved both axes would make attribution harder than the controlled estimate. VED has effectively one</w:t>
      </w:r>
      <w:r>
        <w:t xml:space="preserve"> </w:t>
      </w:r>
      <w:r>
        <w:t xml:space="preserve">driver per vehicle, so per-trip driver-versus-vehicle causation is not identifiable from observation</w:t>
      </w:r>
      <w:r>
        <w:t xml:space="preserve"> </w:t>
      </w:r>
      <w:r>
        <w:t xml:space="preserve">alone; the decomposition is model-based and its attribution is validated on injected ground truth. The</w:t>
      </w:r>
      <w:r>
        <w:t xml:space="preserve"> </w:t>
      </w:r>
      <w:r>
        <w:t xml:space="preserve">malfunction arm is a controlled test bench with no driver context, and its fuel-relevant fault is the</w:t>
      </w:r>
      <w:r>
        <w:t xml:space="preserve"> </w:t>
      </w:r>
      <w:r>
        <w:t xml:space="preserve">rich mixture; the lean-versus-ignition label mapping follows the source paper. VED is a single-city,</w:t>
      </w:r>
      <w:r>
        <w:t xml:space="preserve"> </w:t>
      </w:r>
      <w:r>
        <w:t xml:space="preserve">single-climate, gasoline-only fleet, and its telematics are resampled to 1 Hz, so fine transient</w:t>
      </w:r>
      <w:r>
        <w:t xml:space="preserve"> </w:t>
      </w:r>
      <w:r>
        <w:t xml:space="preserve">dynamics are smoothed; the behaviour-axis transfer is shown for amplitude features across sensing</w:t>
      </w:r>
      <w:r>
        <w:t xml:space="preserve"> </w:t>
      </w:r>
      <w:r>
        <w:t xml:space="preserve">regimes rather than for the exact VED feature set, and a dedicated 1 Hz-versus-high-rate sensitivity</w:t>
      </w:r>
      <w:r>
        <w:t xml:space="preserve"> </w:t>
      </w:r>
      <w:r>
        <w:t xml:space="preserve">analysis is left to future work.</w:t>
      </w:r>
    </w:p>
    <w:bookmarkStart w:id="89" w:name="responsible-use"/>
    <w:p>
      <w:pPr>
        <w:pStyle w:val="Heading3"/>
      </w:pPr>
      <w:r>
        <w:t xml:space="preserve">10.1 Responsible use</w:t>
      </w:r>
    </w:p>
    <w:p>
      <w:pPr>
        <w:pStyle w:val="FirstParagraph"/>
      </w:pPr>
      <w:r>
        <w:t xml:space="preserve">Driver-side attribution is, in fleet practice, a form of worker monitoring, and an attribution error</w:t>
      </w:r>
      <w:r>
        <w:t xml:space="preserve"> </w:t>
      </w:r>
      <w:r>
        <w:t xml:space="preserve">that blames a driver for a mechanical fault, or the reverse, has real consequences for pay and</w:t>
      </w:r>
      <w:r>
        <w:t xml:space="preserve"> </w:t>
      </w:r>
      <w:r>
        <w:t xml:space="preserve">employment. The method should be used with calibrated uncertainty and human review, never as an</w:t>
      </w:r>
      <w:r>
        <w:t xml:space="preserve"> </w:t>
      </w:r>
      <w:r>
        <w:t xml:space="preserve">automatic verdict; the per-trip output is a decomposition with error bars, not a judgment.</w:t>
      </w:r>
    </w:p>
    <w:bookmarkEnd w:id="89"/>
    <w:bookmarkEnd w:id="90"/>
    <w:bookmarkStart w:id="91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Excess fuel consumption has two causes with one symptom, and a fuel-per-distance figure cannot tell</w:t>
      </w:r>
      <w:r>
        <w:t xml:space="preserve"> </w:t>
      </w:r>
      <w:r>
        <w:t xml:space="preserve">a heavy-footed driver from a thirsty vehicle. We showed that the causes separate by signature: driver</w:t>
      </w:r>
      <w:r>
        <w:t xml:space="preserve"> </w:t>
      </w:r>
      <w:r>
        <w:t xml:space="preserve">excess is transient and kinematic, malfunction excess is steady-state and combustion-linked. On a 194-vehicle public fleet, behaviour and a persistent vehicle-baseline account for measurable 8% and 14% shares of trip-fuel variance; on a controlled bench, a rich-mixture fault burns 6.2% more with an</w:t>
      </w:r>
      <w:r>
        <w:t xml:space="preserve"> </w:t>
      </w:r>
      <w:r>
        <w:t xml:space="preserve">emissions signature; the combustion axis is silent for driver-caused excess, and that silence survives</w:t>
      </w:r>
      <w:r>
        <w:t xml:space="preserve"> </w:t>
      </w:r>
      <w:r>
        <w:t xml:space="preserve">both a trim-corrected fuel target and the highest-trim vehicles. When fuel magnitude is made</w:t>
      </w:r>
      <w:r>
        <w:t xml:space="preserve"> </w:t>
      </w:r>
      <w:r>
        <w:t xml:space="preserve">uninformative, frozen signatures learned in separate source domains attribute the cause at 88.6% in a calibrated semi-synthetic transfer test (trained upper bound 95.9%), where magnitude alone is at chance.</w:t>
      </w:r>
      <w:r>
        <w:t xml:space="preserve"> </w:t>
      </w:r>
      <w:r>
        <w:t xml:space="preserve">Because both axes derive from standard on-board-diagnostics channels, per-trip attribution is</w:t>
      </w:r>
      <w:r>
        <w:t xml:space="preserve"> </w:t>
      </w:r>
      <w:r>
        <w:t xml:space="preserve">deployable on existing telematics, and the main obstacle to pushing it further is the absence of a</w:t>
      </w:r>
      <w:r>
        <w:t xml:space="preserve"> </w:t>
      </w:r>
      <w:r>
        <w:t xml:space="preserve">public dataset that carries fuel, faults, and behaviour together.</w:t>
      </w:r>
    </w:p>
    <w:bookmarkEnd w:id="91"/>
    <w:bookmarkStart w:id="95" w:name="repro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Datasets are obtained from their original sources and not redistributed: VED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github.com/gsoh/VED</w:t>
        </w:r>
      </w:hyperlink>
      <w:r>
        <w:t xml:space="preserve">, Apache-2.0); EngineFaultDB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github.com/leoxthomas/EngineFaultDB</w:t>
        </w:r>
      </w:hyperlink>
      <w:r>
        <w:t xml:space="preserve">,</w:t>
      </w:r>
      <w:r>
        <w:t xml:space="preserve"> </w:t>
      </w:r>
      <w:r>
        <w:t xml:space="preserve">GPL-3.0); Driving Events (</w:t>
      </w:r>
      <w:hyperlink r:id="rId94">
        <w:r>
          <w:rPr>
            <w:rStyle w:val="Hyperlink"/>
          </w:rPr>
          <w:t xml:space="preserve">zenodo.org/records/6570972</w:t>
        </w:r>
      </w:hyperlink>
      <w:r>
        <w:t xml:space="preserve">,</w:t>
      </w:r>
      <w:r>
        <w:t xml:space="preserve"> </w:t>
      </w:r>
      <w:r>
        <w:t xml:space="preserve">CC-BY-4.0). The full pipeline (</w:t>
      </w:r>
      <w:r>
        <w:rPr>
          <w:rStyle w:val="VerbatimChar"/>
        </w:rPr>
        <w:t xml:space="preserve">scripts/p1_features.py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scripts/p10_consolidated.py</w:t>
      </w:r>
      <w:r>
        <w:t xml:space="preserve">), results log (</w:t>
      </w:r>
      <w:r>
        <w:rPr>
          <w:rStyle w:val="VerbatimChar"/>
        </w:rPr>
        <w:t xml:space="preserve">RESULTS.md</w:t>
      </w:r>
      <w:r>
        <w:t xml:space="preserve">), and this manuscript</w:t>
      </w:r>
      <w:r>
        <w:t xml:space="preserve"> </w:t>
      </w:r>
      <w:r>
        <w:t xml:space="preserve">are in the project repository; every number traces to a script. Environment: Python 3.14,</w:t>
      </w:r>
      <w:r>
        <w:t xml:space="preserve"> </w:t>
      </w:r>
      <w:r>
        <w:t xml:space="preserve">scikit-learn 1.8, pandas 2.3, scipy 1.17, pyarrow.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A. Apartsin conceived and implemented the study and drafted</w:t>
      </w:r>
      <w:r>
        <w:t xml:space="preserve"> </w:t>
      </w:r>
      <w:r>
        <w:t xml:space="preserve">the manuscript; Y. Aperstein contributed to the study design and critically revised the manuscript.</w:t>
      </w:r>
      <w:r>
        <w:t xml:space="preserve"> </w:t>
      </w:r>
      <w:r>
        <w:rPr>
          <w:b/>
          <w:bCs/>
        </w:rPr>
        <w:t xml:space="preserve">Acknowledgements.</w:t>
      </w:r>
      <w:r>
        <w:t xml:space="preserve"> </w:t>
      </w:r>
      <w:r>
        <w:t xml:space="preserve">We thank the creators of VED, EngineFaultDB, and the Driving Events dataset</w:t>
      </w:r>
      <w:r>
        <w:t xml:space="preserve"> </w:t>
      </w:r>
      <w:r>
        <w:t xml:space="preserve">for releasing their data openly.</w:t>
      </w:r>
    </w:p>
    <w:bookmarkEnd w:id="95"/>
    <w:bookmarkStart w:id="145" w:name="ref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bookmarkStart w:id="97" w:name="r1"/>
      <w:r>
        <w:t xml:space="preserve">G. Oh, D. J. LeBlanc, H. Peng. Vehicle Energy Dataset (VED), A Large-scale Dataset for</w:t>
      </w:r>
      <w:r>
        <w:t xml:space="preserve"> </w:t>
      </w:r>
      <w:r>
        <w:t xml:space="preserve">Vehicle Energy Consumption Research.</w:t>
      </w:r>
      <w:r>
        <w:t xml:space="preserve"> </w:t>
      </w:r>
      <w:r>
        <w:rPr>
          <w:i/>
          <w:iCs/>
        </w:rPr>
        <w:t xml:space="preserve">IEEE Transactions on Intelligent Transportation Systems</w:t>
      </w:r>
      <w:r>
        <w:t xml:space="preserve">,</w:t>
      </w:r>
      <w:r>
        <w:t xml:space="preserve"> </w:t>
      </w:r>
      <w:r>
        <w:t xml:space="preserve">2020.</w:t>
      </w:r>
      <w:r>
        <w:t xml:space="preserve"> </w:t>
      </w:r>
      <w:hyperlink r:id="rId96">
        <w:r>
          <w:rPr>
            <w:rStyle w:val="Hyperlink"/>
          </w:rPr>
          <w:t xml:space="preserve">10.1109/TITS.2020.3035596</w:t>
        </w:r>
      </w:hyperlink>
      <w:bookmarkEnd w:id="97"/>
    </w:p>
    <w:p>
      <w:pPr>
        <w:pStyle w:val="Compact"/>
        <w:numPr>
          <w:ilvl w:val="0"/>
          <w:numId w:val="1002"/>
        </w:numPr>
      </w:pPr>
      <w:bookmarkStart w:id="99" w:name="r2"/>
      <w:r>
        <w:t xml:space="preserve">L. Thomas et al. EngineFaultDB: A Novel Dataset for Automotive Engine Fault</w:t>
      </w:r>
      <w:r>
        <w:t xml:space="preserve"> </w:t>
      </w:r>
      <w:r>
        <w:t xml:space="preserve">Classification and Baseline Results.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2023.</w:t>
      </w:r>
      <w:r>
        <w:t xml:space="preserve"> </w:t>
      </w:r>
      <w:hyperlink r:id="rId98">
        <w:r>
          <w:rPr>
            <w:rStyle w:val="Hyperlink"/>
          </w:rPr>
          <w:t xml:space="preserve">10.1109/ACCESS.2023.3331316</w:t>
        </w:r>
      </w:hyperlink>
      <w:bookmarkEnd w:id="99"/>
    </w:p>
    <w:p>
      <w:pPr>
        <w:pStyle w:val="Compact"/>
        <w:numPr>
          <w:ilvl w:val="0"/>
          <w:numId w:val="1002"/>
        </w:numPr>
      </w:pPr>
      <w:bookmarkStart w:id="101" w:name="r3"/>
      <w:r>
        <w:t xml:space="preserve">A. Barbado, Ó. Corcho. Interpretable machine learning models for predicting and</w:t>
      </w:r>
      <w:r>
        <w:t xml:space="preserve"> </w:t>
      </w:r>
      <w:r>
        <w:t xml:space="preserve">explaining vehicle fuel consumption anomalies.</w:t>
      </w:r>
      <w:r>
        <w:t xml:space="preserve"> </w:t>
      </w:r>
      <w:r>
        <w:rPr>
          <w:i/>
          <w:iCs/>
        </w:rPr>
        <w:t xml:space="preserve">Engineering Applications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2022.</w:t>
      </w:r>
      <w:r>
        <w:t xml:space="preserve"> </w:t>
      </w:r>
      <w:hyperlink r:id="rId100">
        <w:r>
          <w:rPr>
            <w:rStyle w:val="Hyperlink"/>
          </w:rPr>
          <w:t xml:space="preserve">10.1016/j.engappai.2022.105222</w:t>
        </w:r>
      </w:hyperlink>
      <w:bookmarkEnd w:id="101"/>
    </w:p>
    <w:p>
      <w:pPr>
        <w:pStyle w:val="Compact"/>
        <w:numPr>
          <w:ilvl w:val="0"/>
          <w:numId w:val="1002"/>
        </w:numPr>
      </w:pPr>
      <w:bookmarkStart w:id="103" w:name="r4"/>
      <w:r>
        <w:t xml:space="preserve">H. Abediasl, A. Ansari, V. Hosseini, C. R. Koch, M. Shahbakhti. Real-time vehicular fuel</w:t>
      </w:r>
      <w:r>
        <w:t xml:space="preserve"> </w:t>
      </w:r>
      <w:r>
        <w:t xml:space="preserve">consumption estimation using machine learning and on-board diagnostics data.</w:t>
      </w:r>
      <w:r>
        <w:t xml:space="preserve"> </w:t>
      </w:r>
      <w:r>
        <w:rPr>
          <w:i/>
          <w:iCs/>
        </w:rPr>
        <w:t xml:space="preserve">Proc. IMechE Part</w:t>
      </w:r>
      <w:r>
        <w:rPr>
          <w:i/>
          <w:iCs/>
        </w:rPr>
        <w:t xml:space="preserve"> </w:t>
      </w:r>
      <w:r>
        <w:rPr>
          <w:i/>
          <w:iCs/>
        </w:rPr>
        <w:t xml:space="preserve">D</w:t>
      </w:r>
      <w:r>
        <w:t xml:space="preserve">, 2024.</w:t>
      </w:r>
      <w:r>
        <w:t xml:space="preserve"> </w:t>
      </w:r>
      <w:hyperlink r:id="rId102">
        <w:r>
          <w:rPr>
            <w:rStyle w:val="Hyperlink"/>
          </w:rPr>
          <w:t xml:space="preserve">10.1177/09544070231185609</w:t>
        </w:r>
      </w:hyperlink>
      <w:bookmarkEnd w:id="103"/>
    </w:p>
    <w:p>
      <w:pPr>
        <w:pStyle w:val="Compact"/>
        <w:numPr>
          <w:ilvl w:val="0"/>
          <w:numId w:val="1002"/>
        </w:numPr>
      </w:pPr>
      <w:bookmarkStart w:id="105" w:name="r5"/>
      <w:r>
        <w:t xml:space="preserve">P. Fafoutellis, E. G. Mantouka, E. I. Vlahogianni. Eco-Driving and Its Impacts on Fuel</w:t>
      </w:r>
      <w:r>
        <w:t xml:space="preserve"> </w:t>
      </w:r>
      <w:r>
        <w:t xml:space="preserve">Efficiency: An Overview of Technologies and Data-Driven Methods.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13(1):226,</w:t>
      </w:r>
      <w:r>
        <w:t xml:space="preserve"> </w:t>
      </w:r>
      <w:r>
        <w:t xml:space="preserve">2021.</w:t>
      </w:r>
      <w:r>
        <w:t xml:space="preserve"> </w:t>
      </w:r>
      <w:hyperlink r:id="rId104">
        <w:r>
          <w:rPr>
            <w:rStyle w:val="Hyperlink"/>
          </w:rPr>
          <w:t xml:space="preserve">10.3390/su13010226</w:t>
        </w:r>
      </w:hyperlink>
      <w:bookmarkEnd w:id="105"/>
    </w:p>
    <w:p>
      <w:pPr>
        <w:pStyle w:val="Compact"/>
        <w:numPr>
          <w:ilvl w:val="0"/>
          <w:numId w:val="1002"/>
        </w:numPr>
      </w:pPr>
      <w:bookmarkStart w:id="107" w:name="r6"/>
      <w:r>
        <w:t xml:space="preserve">J. Vieira et al. Driving Events Dataset. Zenodo, 2022.</w:t>
      </w:r>
      <w:r>
        <w:t xml:space="preserve"> </w:t>
      </w:r>
      <w:hyperlink r:id="rId106">
        <w:r>
          <w:rPr>
            <w:rStyle w:val="Hyperlink"/>
          </w:rPr>
          <w:t xml:space="preserve">10.5281/zenodo.6570972</w:t>
        </w:r>
      </w:hyperlink>
      <w:bookmarkEnd w:id="107"/>
    </w:p>
    <w:p>
      <w:pPr>
        <w:pStyle w:val="Compact"/>
        <w:numPr>
          <w:ilvl w:val="0"/>
          <w:numId w:val="1002"/>
        </w:numPr>
      </w:pPr>
      <w:bookmarkStart w:id="108" w:name="r7"/>
      <w:r>
        <w:t xml:space="preserve">J. L. Jimenez-Palacios. Understanding and quantifying motor vehicle emissions with</w:t>
      </w:r>
      <w:r>
        <w:t xml:space="preserve"> </w:t>
      </w:r>
      <w:r>
        <w:t xml:space="preserve">vehicle specific power and TILDAS remote sensing. PhD thesis, MIT, 1999.</w:t>
      </w:r>
      <w:bookmarkEnd w:id="108"/>
    </w:p>
    <w:p>
      <w:pPr>
        <w:pStyle w:val="Compact"/>
        <w:numPr>
          <w:ilvl w:val="0"/>
          <w:numId w:val="1002"/>
        </w:numPr>
      </w:pPr>
      <w:bookmarkStart w:id="110" w:name="r8"/>
      <w:r>
        <w:t xml:space="preserve">K. Ahn, H. Rakha, A. Trani, M. Van Aerde. Estimating Vehicle Fuel Consumption and</w:t>
      </w:r>
      <w:r>
        <w:t xml:space="preserve"> </w:t>
      </w:r>
      <w:r>
        <w:t xml:space="preserve">Emissions based on Instantaneous Speed and Acceleration Levels.</w:t>
      </w:r>
      <w:r>
        <w:t xml:space="preserve"> </w:t>
      </w:r>
      <w:r>
        <w:rPr>
          <w:i/>
          <w:iCs/>
        </w:rPr>
        <w:t xml:space="preserve">Journal of Transportation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128(2):182–190, 2002.</w:t>
      </w:r>
      <w:r>
        <w:t xml:space="preserve"> </w:t>
      </w:r>
      <w:hyperlink r:id="rId109">
        <w:r>
          <w:rPr>
            <w:rStyle w:val="Hyperlink"/>
          </w:rPr>
          <w:t xml:space="preserve">10.1061/(ASCE)0733-947X(2002)128:2(182)</w:t>
        </w:r>
      </w:hyperlink>
      <w:bookmarkEnd w:id="110"/>
    </w:p>
    <w:p>
      <w:pPr>
        <w:pStyle w:val="Compact"/>
        <w:numPr>
          <w:ilvl w:val="0"/>
          <w:numId w:val="1002"/>
        </w:numPr>
      </w:pPr>
      <w:bookmarkStart w:id="112" w:name="r9"/>
      <w:r>
        <w:t xml:space="preserve">T. Abukhalil, H. AlMahafzah, M. Alksasbeh, B. A. Y. Alqaralleh. Fuel Consumption Using</w:t>
      </w:r>
      <w:r>
        <w:t xml:space="preserve"> </w:t>
      </w:r>
      <w:r>
        <w:t xml:space="preserve">OBD-II and Support Vector Machine Model.</w:t>
      </w:r>
      <w:r>
        <w:t xml:space="preserve"> </w:t>
      </w:r>
      <w:r>
        <w:rPr>
          <w:i/>
          <w:iCs/>
        </w:rPr>
        <w:t xml:space="preserve">Journal of Robotics</w:t>
      </w:r>
      <w:r>
        <w:t xml:space="preserve">, 2020:9450178.</w:t>
      </w:r>
      <w:r>
        <w:t xml:space="preserve"> </w:t>
      </w:r>
      <w:hyperlink r:id="rId111">
        <w:r>
          <w:rPr>
            <w:rStyle w:val="Hyperlink"/>
          </w:rPr>
          <w:t xml:space="preserve">10.1155/2020/9450178</w:t>
        </w:r>
      </w:hyperlink>
      <w:bookmarkEnd w:id="112"/>
    </w:p>
    <w:p>
      <w:pPr>
        <w:pStyle w:val="Compact"/>
        <w:numPr>
          <w:ilvl w:val="0"/>
          <w:numId w:val="1002"/>
        </w:numPr>
      </w:pPr>
      <w:bookmarkStart w:id="114" w:name="r10"/>
      <w:r>
        <w:t xml:space="preserve">R. Chu, W. H. Chik, J. Song, J. Chan, X. Li. Real-time Fuel Leakage Detection via Online</w:t>
      </w:r>
      <w:r>
        <w:t xml:space="preserve"> </w:t>
      </w:r>
      <w:r>
        <w:t xml:space="preserve">Change Point Detection. arXiv:2410.09741, 2024.</w:t>
      </w:r>
      <w:r>
        <w:t xml:space="preserve"> </w:t>
      </w:r>
      <w:hyperlink r:id="rId113">
        <w:r>
          <w:rPr>
            <w:rStyle w:val="Hyperlink"/>
          </w:rPr>
          <w:t xml:space="preserve">10.48550/arXiv.2410.09741</w:t>
        </w:r>
      </w:hyperlink>
      <w:bookmarkEnd w:id="114"/>
    </w:p>
    <w:p>
      <w:pPr>
        <w:pStyle w:val="Compact"/>
        <w:numPr>
          <w:ilvl w:val="0"/>
          <w:numId w:val="1002"/>
        </w:numPr>
      </w:pPr>
      <w:bookmarkStart w:id="116" w:name="r11"/>
      <w:r>
        <w:t xml:space="preserve">H. A. Rakha, K. Ahn, K. Moran, B. Saerens, E. Van den Bulck. Virginia Tech Comprehensive</w:t>
      </w:r>
      <w:r>
        <w:t xml:space="preserve"> </w:t>
      </w:r>
      <w:r>
        <w:t xml:space="preserve">Power-Based Fuel Consumption Model (VT-CPFM).</w:t>
      </w:r>
      <w:r>
        <w:t xml:space="preserve"> </w:t>
      </w:r>
      <w:r>
        <w:rPr>
          <w:i/>
          <w:iCs/>
        </w:rPr>
        <w:t xml:space="preserve">Transportation Research Part D</w:t>
      </w:r>
      <w:r>
        <w:t xml:space="preserve">, 16(7):492–503,</w:t>
      </w:r>
      <w:r>
        <w:t xml:space="preserve"> </w:t>
      </w:r>
      <w:r>
        <w:t xml:space="preserve">2011.</w:t>
      </w:r>
      <w:r>
        <w:t xml:space="preserve"> </w:t>
      </w:r>
      <w:hyperlink r:id="rId115">
        <w:r>
          <w:rPr>
            <w:rStyle w:val="Hyperlink"/>
          </w:rPr>
          <w:t xml:space="preserve">10.1016/j.trd.2011.05.008</w:t>
        </w:r>
      </w:hyperlink>
      <w:bookmarkEnd w:id="116"/>
    </w:p>
    <w:p>
      <w:pPr>
        <w:pStyle w:val="Compact"/>
        <w:numPr>
          <w:ilvl w:val="0"/>
          <w:numId w:val="1002"/>
        </w:numPr>
      </w:pPr>
      <w:bookmarkStart w:id="118" w:name="r12"/>
      <w:r>
        <w:t xml:space="preserve">P. Ping, W. Qin, Y. Xu, C. Miyajima, K. Takeda. Impact of Driver Behavior on Fuel</w:t>
      </w:r>
      <w:r>
        <w:t xml:space="preserve"> </w:t>
      </w:r>
      <w:r>
        <w:t xml:space="preserve">Consumption: Classification, Evaluation and Prediction Using Machine Learning.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7,</w:t>
      </w:r>
      <w:r>
        <w:t xml:space="preserve"> </w:t>
      </w:r>
      <w:r>
        <w:t xml:space="preserve">2019.</w:t>
      </w:r>
      <w:r>
        <w:t xml:space="preserve"> </w:t>
      </w:r>
      <w:hyperlink r:id="rId117">
        <w:r>
          <w:rPr>
            <w:rStyle w:val="Hyperlink"/>
          </w:rPr>
          <w:t xml:space="preserve">10.1109/ACCESS.2019.2920489</w:t>
        </w:r>
      </w:hyperlink>
      <w:bookmarkEnd w:id="118"/>
    </w:p>
    <w:p>
      <w:pPr>
        <w:pStyle w:val="Compact"/>
        <w:numPr>
          <w:ilvl w:val="0"/>
          <w:numId w:val="1002"/>
        </w:numPr>
      </w:pPr>
      <w:bookmarkStart w:id="120" w:name="r13"/>
      <w:r>
        <w:t xml:space="preserve">A. Mohammadnazar, Z. H. Khattak, A. J. Khattak. Assessing driving behavior influence on</w:t>
      </w:r>
      <w:r>
        <w:t xml:space="preserve"> </w:t>
      </w:r>
      <w:r>
        <w:t xml:space="preserve">fuel efficiency using machine learning and drive-cycle simulations.</w:t>
      </w:r>
      <w:r>
        <w:t xml:space="preserve"> </w:t>
      </w:r>
      <w:r>
        <w:rPr>
          <w:i/>
          <w:iCs/>
        </w:rPr>
        <w:t xml:space="preserve">Transportation Research Part</w:t>
      </w:r>
      <w:r>
        <w:rPr>
          <w:i/>
          <w:iCs/>
        </w:rPr>
        <w:t xml:space="preserve"> </w:t>
      </w:r>
      <w:r>
        <w:rPr>
          <w:i/>
          <w:iCs/>
        </w:rPr>
        <w:t xml:space="preserve">D</w:t>
      </w:r>
      <w:r>
        <w:t xml:space="preserve">, 126:104025, 2024.</w:t>
      </w:r>
      <w:r>
        <w:t xml:space="preserve"> </w:t>
      </w:r>
      <w:hyperlink r:id="rId119">
        <w:r>
          <w:rPr>
            <w:rStyle w:val="Hyperlink"/>
          </w:rPr>
          <w:t xml:space="preserve">10.1016/j.trd.2023.104025</w:t>
        </w:r>
      </w:hyperlink>
      <w:bookmarkEnd w:id="120"/>
    </w:p>
    <w:p>
      <w:pPr>
        <w:pStyle w:val="Compact"/>
        <w:numPr>
          <w:ilvl w:val="0"/>
          <w:numId w:val="1002"/>
        </w:numPr>
      </w:pPr>
      <w:bookmarkStart w:id="122" w:name="r14"/>
      <w:r>
        <w:t xml:space="preserve">D. A. Johnson, M. M. Trivedi. Driving style recognition using a smartphone as a sensor</w:t>
      </w:r>
      <w:r>
        <w:t xml:space="preserve"> </w:t>
      </w:r>
      <w:r>
        <w:t xml:space="preserve">platform.</w:t>
      </w:r>
      <w:r>
        <w:t xml:space="preserve"> </w:t>
      </w:r>
      <w:r>
        <w:rPr>
          <w:i/>
          <w:iCs/>
        </w:rPr>
        <w:t xml:space="preserve">IEEE ITSC</w:t>
      </w:r>
      <w:r>
        <w:t xml:space="preserve">, 2011.</w:t>
      </w:r>
      <w:r>
        <w:t xml:space="preserve"> </w:t>
      </w:r>
      <w:hyperlink r:id="rId121">
        <w:r>
          <w:rPr>
            <w:rStyle w:val="Hyperlink"/>
          </w:rPr>
          <w:t xml:space="preserve">10.1109/ITSC.2011.6083078</w:t>
        </w:r>
      </w:hyperlink>
      <w:bookmarkEnd w:id="122"/>
    </w:p>
    <w:p>
      <w:pPr>
        <w:pStyle w:val="Compact"/>
        <w:numPr>
          <w:ilvl w:val="0"/>
          <w:numId w:val="1002"/>
        </w:numPr>
      </w:pPr>
      <w:bookmarkStart w:id="124" w:name="r15"/>
      <w:r>
        <w:t xml:space="preserve">S. S. Haghshenas, A. Kouvelas, V. Astarita, S. S. Haghshenas, G. Guido. Driver behavior</w:t>
      </w:r>
      <w:r>
        <w:t xml:space="preserve"> </w:t>
      </w:r>
      <w:r>
        <w:t xml:space="preserve">classification and its impact on fuel consumption using machine learning: A comprehensive review.</w:t>
      </w:r>
      <w:r>
        <w:t xml:space="preserve"> </w:t>
      </w:r>
      <w:r>
        <w:rPr>
          <w:i/>
          <w:iCs/>
        </w:rPr>
        <w:t xml:space="preserve">Transportation Engineering</w:t>
      </w:r>
      <w:r>
        <w:t xml:space="preserve">, 2026.</w:t>
      </w:r>
      <w:r>
        <w:t xml:space="preserve"> </w:t>
      </w:r>
      <w:hyperlink r:id="rId123">
        <w:r>
          <w:rPr>
            <w:rStyle w:val="Hyperlink"/>
          </w:rPr>
          <w:t xml:space="preserve">10.1016/j.treng.2026.100436</w:t>
        </w:r>
      </w:hyperlink>
      <w:bookmarkEnd w:id="124"/>
    </w:p>
    <w:p>
      <w:pPr>
        <w:pStyle w:val="Compact"/>
        <w:numPr>
          <w:ilvl w:val="0"/>
          <w:numId w:val="1002"/>
        </w:numPr>
      </w:pPr>
      <w:bookmarkStart w:id="126" w:name="r16"/>
      <w:r>
        <w:t xml:space="preserve">M. Cervantes-Bobadilla et al. Multiple fault detection and isolation using artificial</w:t>
      </w:r>
      <w:r>
        <w:t xml:space="preserve"> </w:t>
      </w:r>
      <w:r>
        <w:t xml:space="preserve">neural networks in sensors of an internal combustion engine.</w:t>
      </w:r>
      <w:r>
        <w:t xml:space="preserve"> </w:t>
      </w:r>
      <w:r>
        <w:rPr>
          <w:i/>
          <w:iCs/>
        </w:rPr>
        <w:t xml:space="preserve">Engineering Applications of AI</w:t>
      </w:r>
      <w:r>
        <w:t xml:space="preserve">,</w:t>
      </w:r>
      <w:r>
        <w:t xml:space="preserve"> </w:t>
      </w:r>
      <w:r>
        <w:t xml:space="preserve">117:105524, 2023.</w:t>
      </w:r>
      <w:r>
        <w:t xml:space="preserve"> </w:t>
      </w:r>
      <w:hyperlink r:id="rId125">
        <w:r>
          <w:rPr>
            <w:rStyle w:val="Hyperlink"/>
          </w:rPr>
          <w:t xml:space="preserve">10.1016/j.engappai.2022.105524</w:t>
        </w:r>
      </w:hyperlink>
      <w:bookmarkEnd w:id="126"/>
    </w:p>
    <w:p>
      <w:pPr>
        <w:pStyle w:val="Compact"/>
        <w:numPr>
          <w:ilvl w:val="0"/>
          <w:numId w:val="1002"/>
        </w:numPr>
      </w:pPr>
      <w:bookmarkStart w:id="128" w:name="r17"/>
      <w:r>
        <w:t xml:space="preserve">P. Gutiérrez León et al. Implementation of a fault tolerant system for</w:t>
      </w:r>
      <w:r>
        <w:t xml:space="preserve"> </w:t>
      </w:r>
      <w:r>
        <w:t xml:space="preserve">the internal combustion engine's MAF sensor.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122, 2018.</w:t>
      </w:r>
      <w:r>
        <w:t xml:space="preserve"> </w:t>
      </w:r>
      <w:hyperlink r:id="rId127">
        <w:r>
          <w:rPr>
            <w:rStyle w:val="Hyperlink"/>
          </w:rPr>
          <w:t xml:space="preserve">10.1016/j.measurement.2018.03.006</w:t>
        </w:r>
      </w:hyperlink>
      <w:bookmarkEnd w:id="128"/>
    </w:p>
    <w:p>
      <w:pPr>
        <w:pStyle w:val="Compact"/>
        <w:numPr>
          <w:ilvl w:val="0"/>
          <w:numId w:val="1002"/>
        </w:numPr>
      </w:pPr>
      <w:bookmarkStart w:id="130" w:name="r18"/>
      <w:r>
        <w:t xml:space="preserve">C.-S. A. Gong, C.-H. S. Su, Y.-E. Liu, D.-Y. Guu, Y.-H. Chen. Deep Learning with LPC and</w:t>
      </w:r>
      <w:r>
        <w:t xml:space="preserve"> </w:t>
      </w:r>
      <w:r>
        <w:t xml:space="preserve">Wavelet Algorithms for Driving Fault Diagnosis.</w:t>
      </w:r>
      <w:r>
        <w:t xml:space="preserve"> </w:t>
      </w:r>
      <w:r>
        <w:rPr>
          <w:i/>
          <w:iCs/>
        </w:rPr>
        <w:t xml:space="preserve">Sensors</w:t>
      </w:r>
      <w:r>
        <w:t xml:space="preserve">, 22(18):7072, 2022.</w:t>
      </w:r>
      <w:r>
        <w:t xml:space="preserve"> </w:t>
      </w:r>
      <w:hyperlink r:id="rId129">
        <w:r>
          <w:rPr>
            <w:rStyle w:val="Hyperlink"/>
          </w:rPr>
          <w:t xml:space="preserve">10.3390/s22187072</w:t>
        </w:r>
      </w:hyperlink>
      <w:bookmarkEnd w:id="130"/>
    </w:p>
    <w:p>
      <w:pPr>
        <w:pStyle w:val="Compact"/>
        <w:numPr>
          <w:ilvl w:val="0"/>
          <w:numId w:val="1002"/>
        </w:numPr>
      </w:pPr>
      <w:bookmarkStart w:id="132" w:name="r19"/>
      <w:r>
        <w:t xml:space="preserve">F. T. Liu, K. M. Ting, Z.-H. Zhou. Isolation Forest.</w:t>
      </w:r>
      <w:r>
        <w:t xml:space="preserve"> </w:t>
      </w:r>
      <w:r>
        <w:rPr>
          <w:i/>
          <w:iCs/>
        </w:rPr>
        <w:t xml:space="preserve">IEEE ICDM</w:t>
      </w:r>
      <w:r>
        <w:t xml:space="preserve">, 2008.</w:t>
      </w:r>
      <w:r>
        <w:t xml:space="preserve"> </w:t>
      </w:r>
      <w:hyperlink r:id="rId131">
        <w:r>
          <w:rPr>
            <w:rStyle w:val="Hyperlink"/>
          </w:rPr>
          <w:t xml:space="preserve">10.1109/ICDM.2008.17</w:t>
        </w:r>
      </w:hyperlink>
      <w:bookmarkEnd w:id="132"/>
    </w:p>
    <w:p>
      <w:pPr>
        <w:pStyle w:val="Compact"/>
        <w:numPr>
          <w:ilvl w:val="0"/>
          <w:numId w:val="1002"/>
        </w:numPr>
      </w:pPr>
      <w:bookmarkStart w:id="134" w:name="r20"/>
      <w:r>
        <w:t xml:space="preserve">S. Longari, D. H. Nova Valcarcel, M. Zago, M. Carminati, S. Zanero. CANnolo: An Anomaly</w:t>
      </w:r>
      <w:r>
        <w:t xml:space="preserve"> </w:t>
      </w:r>
      <w:r>
        <w:t xml:space="preserve">Detection System Based on LSTM Autoencoders for Controller Area Network.</w:t>
      </w:r>
      <w:r>
        <w:t xml:space="preserve"> </w:t>
      </w:r>
      <w:r>
        <w:rPr>
          <w:i/>
          <w:iCs/>
        </w:rPr>
        <w:t xml:space="preserve">IEEE Trans. Network and</w:t>
      </w:r>
      <w:r>
        <w:rPr>
          <w:i/>
          <w:iCs/>
        </w:rPr>
        <w:t xml:space="preserve"> </w:t>
      </w:r>
      <w:r>
        <w:rPr>
          <w:i/>
          <w:iCs/>
        </w:rPr>
        <w:t xml:space="preserve">Service Management</w:t>
      </w:r>
      <w:r>
        <w:t xml:space="preserve">, 18(2), 2021.</w:t>
      </w:r>
      <w:r>
        <w:t xml:space="preserve"> </w:t>
      </w:r>
      <w:hyperlink r:id="rId133">
        <w:r>
          <w:rPr>
            <w:rStyle w:val="Hyperlink"/>
          </w:rPr>
          <w:t xml:space="preserve">10.1109/TNSM.2020.3038991</w:t>
        </w:r>
      </w:hyperlink>
      <w:bookmarkEnd w:id="134"/>
    </w:p>
    <w:p>
      <w:pPr>
        <w:pStyle w:val="Compact"/>
        <w:numPr>
          <w:ilvl w:val="0"/>
          <w:numId w:val="1002"/>
        </w:numPr>
      </w:pPr>
      <w:bookmarkStart w:id="136" w:name="r21"/>
      <w:r>
        <w:t xml:space="preserve">V. K. Kukkala, S. V. Thiruloga, S. Pasricha. INDRA: Intrusion Detection Using Recurrent</w:t>
      </w:r>
      <w:r>
        <w:t xml:space="preserve"> </w:t>
      </w:r>
      <w:r>
        <w:t xml:space="preserve">Autoencoders in Automotive Embedded Systems.</w:t>
      </w:r>
      <w:r>
        <w:t xml:space="preserve"> </w:t>
      </w:r>
      <w:r>
        <w:rPr>
          <w:i/>
          <w:iCs/>
        </w:rPr>
        <w:t xml:space="preserve">IEEE Trans. CAD of Integrated Circuits and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39(11), 2020.</w:t>
      </w:r>
      <w:r>
        <w:t xml:space="preserve"> </w:t>
      </w:r>
      <w:hyperlink r:id="rId135">
        <w:r>
          <w:rPr>
            <w:rStyle w:val="Hyperlink"/>
          </w:rPr>
          <w:t xml:space="preserve">10.1109/TCAD.2020.3012749</w:t>
        </w:r>
      </w:hyperlink>
      <w:bookmarkEnd w:id="136"/>
    </w:p>
    <w:p>
      <w:pPr>
        <w:pStyle w:val="Compact"/>
        <w:numPr>
          <w:ilvl w:val="0"/>
          <w:numId w:val="1002"/>
        </w:numPr>
      </w:pPr>
      <w:bookmarkStart w:id="138" w:name="r22"/>
      <w:r>
        <w:t xml:space="preserve">P. Mansourian, N. Zhang, A. Jaekel, M. Kneppers. Deep Learning-Based Anomaly Detection for</w:t>
      </w:r>
      <w:r>
        <w:t xml:space="preserve"> </w:t>
      </w:r>
      <w:r>
        <w:t xml:space="preserve">Connected Autonomous Vehicles Using Spatiotemporal Information.</w:t>
      </w:r>
      <w:r>
        <w:t xml:space="preserve"> </w:t>
      </w:r>
      <w:r>
        <w:rPr>
          <w:i/>
          <w:iCs/>
        </w:rPr>
        <w:t xml:space="preserve">IEEE Trans. Intelligent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Transportation Systems</w:t>
      </w:r>
      <w:r>
        <w:t xml:space="preserve">, 2023.</w:t>
      </w:r>
      <w:r>
        <w:t xml:space="preserve"> </w:t>
      </w:r>
      <w:hyperlink r:id="rId137">
        <w:r>
          <w:rPr>
            <w:rStyle w:val="Hyperlink"/>
          </w:rPr>
          <w:t xml:space="preserve">10.1109/TITS.2023.3286611</w:t>
        </w:r>
      </w:hyperlink>
      <w:bookmarkEnd w:id="138"/>
    </w:p>
    <w:p>
      <w:pPr>
        <w:pStyle w:val="Compact"/>
        <w:numPr>
          <w:ilvl w:val="0"/>
          <w:numId w:val="1002"/>
        </w:numPr>
      </w:pPr>
      <w:bookmarkStart w:id="140" w:name="r23"/>
      <w:r>
        <w:t xml:space="preserve">S. M. Lundberg, S.-I. Lee. A Unified Approach to Interpreting Model Predictions (SHAP).</w:t>
      </w:r>
      <w:r>
        <w:t xml:space="preserve"> </w:t>
      </w:r>
      <w:r>
        <w:t xml:space="preserve">arXiv:1705.07874, 2017.</w:t>
      </w:r>
      <w:r>
        <w:t xml:space="preserve"> </w:t>
      </w:r>
      <w:hyperlink r:id="rId139">
        <w:r>
          <w:rPr>
            <w:rStyle w:val="Hyperlink"/>
          </w:rPr>
          <w:t xml:space="preserve">10.48550/arXiv.1705.07874</w:t>
        </w:r>
      </w:hyperlink>
      <w:bookmarkEnd w:id="140"/>
    </w:p>
    <w:p>
      <w:pPr>
        <w:pStyle w:val="Compact"/>
        <w:numPr>
          <w:ilvl w:val="0"/>
          <w:numId w:val="1002"/>
        </w:numPr>
      </w:pPr>
      <w:bookmarkStart w:id="142" w:name="r24"/>
      <w:r>
        <w:t xml:space="preserve">V. Vučinić et al. Anomaly Detection for Vehicle Diagnostics Based on OBD</w:t>
      </w:r>
      <w:r>
        <w:t xml:space="preserve"> </w:t>
      </w:r>
      <w:r>
        <w:t xml:space="preserve">Snapshots With Cause Investigation.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14:24765–24785, 2026.</w:t>
      </w:r>
      <w:r>
        <w:t xml:space="preserve"> </w:t>
      </w:r>
      <w:hyperlink r:id="rId141">
        <w:r>
          <w:rPr>
            <w:rStyle w:val="Hyperlink"/>
          </w:rPr>
          <w:t xml:space="preserve">10.1109/ACCESS.2026.3664118</w:t>
        </w:r>
      </w:hyperlink>
      <w:bookmarkEnd w:id="142"/>
    </w:p>
    <w:p>
      <w:pPr>
        <w:pStyle w:val="Compact"/>
        <w:numPr>
          <w:ilvl w:val="0"/>
          <w:numId w:val="1002"/>
        </w:numPr>
      </w:pPr>
      <w:bookmarkStart w:id="144" w:name="r25"/>
      <w:r>
        <w:t xml:space="preserve">Z.-H. Zhou. A brief introduction to weakly supervised learning.</w:t>
      </w:r>
      <w:r>
        <w:t xml:space="preserve"> </w:t>
      </w:r>
      <w:r>
        <w:rPr>
          <w:i/>
          <w:iCs/>
        </w:rPr>
        <w:t xml:space="preserve">National Science</w:t>
      </w:r>
      <w:r>
        <w:rPr>
          <w:i/>
          <w:iCs/>
        </w:rPr>
        <w:t xml:space="preserve"> </w:t>
      </w:r>
      <w:r>
        <w:rPr>
          <w:i/>
          <w:iCs/>
        </w:rPr>
        <w:t xml:space="preserve">Review</w:t>
      </w:r>
      <w:r>
        <w:t xml:space="preserve">, 5(1):44–53, 2018.</w:t>
      </w:r>
      <w:r>
        <w:t xml:space="preserve"> </w:t>
      </w:r>
      <w:hyperlink r:id="rId143">
        <w:r>
          <w:rPr>
            <w:rStyle w:val="Hyperlink"/>
          </w:rPr>
          <w:t xml:space="preserve">10.1093/nsr/nwx106</w:t>
        </w:r>
      </w:hyperlink>
      <w:bookmarkEnd w:id="144"/>
    </w:p>
    <w:p>
      <w:pPr>
        <w:pStyle w:val="Bibliography"/>
      </w:pPr>
      <w:r>
        <w:t xml:space="preserve">© 2026 Alexander Apartsin and Yehudit Aperstein.</w:t>
      </w:r>
    </w:p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sv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79" Target="media/rId79.png" /><Relationship Type="http://schemas.openxmlformats.org/officeDocument/2006/relationships/image" Id="rId72" Target="media/rId72.png" /><Relationship Type="http://schemas.openxmlformats.org/officeDocument/2006/relationships/image" Id="rId63" Target="media/rId63.png" /><Relationship Type="http://schemas.openxmlformats.org/officeDocument/2006/relationships/hyperlink" Id="rId100" Target="https://doi.org/10.1016/j.engappai.2022.105222" TargetMode="External" /><Relationship Type="http://schemas.openxmlformats.org/officeDocument/2006/relationships/hyperlink" Id="rId125" Target="https://doi.org/10.1016/j.engappai.2022.105524" TargetMode="External" /><Relationship Type="http://schemas.openxmlformats.org/officeDocument/2006/relationships/hyperlink" Id="rId127" Target="https://doi.org/10.1016/j.measurement.2018.03.006" TargetMode="External" /><Relationship Type="http://schemas.openxmlformats.org/officeDocument/2006/relationships/hyperlink" Id="rId115" Target="https://doi.org/10.1016/j.trd.2011.05.008" TargetMode="External" /><Relationship Type="http://schemas.openxmlformats.org/officeDocument/2006/relationships/hyperlink" Id="rId119" Target="https://doi.org/10.1016/j.trd.2023.104025" TargetMode="External" /><Relationship Type="http://schemas.openxmlformats.org/officeDocument/2006/relationships/hyperlink" Id="rId123" Target="https://doi.org/10.1016/j.treng.2026.100436" TargetMode="External" /><Relationship Type="http://schemas.openxmlformats.org/officeDocument/2006/relationships/hyperlink" Id="rId109" Target="https://doi.org/10.1061/(ASCE)0733-947X(2002)128:2(182)" TargetMode="External" /><Relationship Type="http://schemas.openxmlformats.org/officeDocument/2006/relationships/hyperlink" Id="rId143" Target="https://doi.org/10.1093/nsr/nwx106" TargetMode="External" /><Relationship Type="http://schemas.openxmlformats.org/officeDocument/2006/relationships/hyperlink" Id="rId117" Target="https://doi.org/10.1109/ACCESS.2019.2920489" TargetMode="External" /><Relationship Type="http://schemas.openxmlformats.org/officeDocument/2006/relationships/hyperlink" Id="rId98" Target="https://doi.org/10.1109/ACCESS.2023.3331316" TargetMode="External" /><Relationship Type="http://schemas.openxmlformats.org/officeDocument/2006/relationships/hyperlink" Id="rId141" Target="https://doi.org/10.1109/ACCESS.2026.3664118" TargetMode="External" /><Relationship Type="http://schemas.openxmlformats.org/officeDocument/2006/relationships/hyperlink" Id="rId131" Target="https://doi.org/10.1109/ICDM.2008.17" TargetMode="External" /><Relationship Type="http://schemas.openxmlformats.org/officeDocument/2006/relationships/hyperlink" Id="rId121" Target="https://doi.org/10.1109/ITSC.2011.6083078" TargetMode="External" /><Relationship Type="http://schemas.openxmlformats.org/officeDocument/2006/relationships/hyperlink" Id="rId135" Target="https://doi.org/10.1109/TCAD.2020.3012749" TargetMode="External" /><Relationship Type="http://schemas.openxmlformats.org/officeDocument/2006/relationships/hyperlink" Id="rId96" Target="https://doi.org/10.1109/TITS.2020.3035596" TargetMode="External" /><Relationship Type="http://schemas.openxmlformats.org/officeDocument/2006/relationships/hyperlink" Id="rId137" Target="https://doi.org/10.1109/TITS.2023.3286611" TargetMode="External" /><Relationship Type="http://schemas.openxmlformats.org/officeDocument/2006/relationships/hyperlink" Id="rId133" Target="https://doi.org/10.1109/TNSM.2020.3038991" TargetMode="External" /><Relationship Type="http://schemas.openxmlformats.org/officeDocument/2006/relationships/hyperlink" Id="rId111" Target="https://doi.org/10.1155/2020/9450178" TargetMode="External" /><Relationship Type="http://schemas.openxmlformats.org/officeDocument/2006/relationships/hyperlink" Id="rId102" Target="https://doi.org/10.1177/09544070231185609" TargetMode="External" /><Relationship Type="http://schemas.openxmlformats.org/officeDocument/2006/relationships/hyperlink" Id="rId129" Target="https://doi.org/10.3390/s22187072" TargetMode="External" /><Relationship Type="http://schemas.openxmlformats.org/officeDocument/2006/relationships/hyperlink" Id="rId104" Target="https://doi.org/10.3390/su13010226" TargetMode="External" /><Relationship Type="http://schemas.openxmlformats.org/officeDocument/2006/relationships/hyperlink" Id="rId139" Target="https://doi.org/10.48550/arXiv.1705.07874" TargetMode="External" /><Relationship Type="http://schemas.openxmlformats.org/officeDocument/2006/relationships/hyperlink" Id="rId113" Target="https://doi.org/10.48550/arXiv.2410.09741" TargetMode="External" /><Relationship Type="http://schemas.openxmlformats.org/officeDocument/2006/relationships/hyperlink" Id="rId106" Target="https://doi.org/10.5281/zenodo.6570972" TargetMode="External" /><Relationship Type="http://schemas.openxmlformats.org/officeDocument/2006/relationships/hyperlink" Id="rId92" Target="https://github.com/gsoh/VED" TargetMode="External" /><Relationship Type="http://schemas.openxmlformats.org/officeDocument/2006/relationships/hyperlink" Id="rId93" Target="https://github.com/leoxthomas/EngineFaultDB" TargetMode="External" /><Relationship Type="http://schemas.openxmlformats.org/officeDocument/2006/relationships/hyperlink" Id="rId94" Target="https://zenodo.org/records/65709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oi.org/10.1016/j.engappai.2022.105222" TargetMode="External" /><Relationship Type="http://schemas.openxmlformats.org/officeDocument/2006/relationships/hyperlink" Id="rId125" Target="https://doi.org/10.1016/j.engappai.2022.105524" TargetMode="External" /><Relationship Type="http://schemas.openxmlformats.org/officeDocument/2006/relationships/hyperlink" Id="rId127" Target="https://doi.org/10.1016/j.measurement.2018.03.006" TargetMode="External" /><Relationship Type="http://schemas.openxmlformats.org/officeDocument/2006/relationships/hyperlink" Id="rId115" Target="https://doi.org/10.1016/j.trd.2011.05.008" TargetMode="External" /><Relationship Type="http://schemas.openxmlformats.org/officeDocument/2006/relationships/hyperlink" Id="rId119" Target="https://doi.org/10.1016/j.trd.2023.104025" TargetMode="External" /><Relationship Type="http://schemas.openxmlformats.org/officeDocument/2006/relationships/hyperlink" Id="rId123" Target="https://doi.org/10.1016/j.treng.2026.100436" TargetMode="External" /><Relationship Type="http://schemas.openxmlformats.org/officeDocument/2006/relationships/hyperlink" Id="rId109" Target="https://doi.org/10.1061/(ASCE)0733-947X(2002)128:2(182)" TargetMode="External" /><Relationship Type="http://schemas.openxmlformats.org/officeDocument/2006/relationships/hyperlink" Id="rId143" Target="https://doi.org/10.1093/nsr/nwx106" TargetMode="External" /><Relationship Type="http://schemas.openxmlformats.org/officeDocument/2006/relationships/hyperlink" Id="rId117" Target="https://doi.org/10.1109/ACCESS.2019.2920489" TargetMode="External" /><Relationship Type="http://schemas.openxmlformats.org/officeDocument/2006/relationships/hyperlink" Id="rId98" Target="https://doi.org/10.1109/ACCESS.2023.3331316" TargetMode="External" /><Relationship Type="http://schemas.openxmlformats.org/officeDocument/2006/relationships/hyperlink" Id="rId141" Target="https://doi.org/10.1109/ACCESS.2026.3664118" TargetMode="External" /><Relationship Type="http://schemas.openxmlformats.org/officeDocument/2006/relationships/hyperlink" Id="rId131" Target="https://doi.org/10.1109/ICDM.2008.17" TargetMode="External" /><Relationship Type="http://schemas.openxmlformats.org/officeDocument/2006/relationships/hyperlink" Id="rId121" Target="https://doi.org/10.1109/ITSC.2011.6083078" TargetMode="External" /><Relationship Type="http://schemas.openxmlformats.org/officeDocument/2006/relationships/hyperlink" Id="rId135" Target="https://doi.org/10.1109/TCAD.2020.3012749" TargetMode="External" /><Relationship Type="http://schemas.openxmlformats.org/officeDocument/2006/relationships/hyperlink" Id="rId96" Target="https://doi.org/10.1109/TITS.2020.3035596" TargetMode="External" /><Relationship Type="http://schemas.openxmlformats.org/officeDocument/2006/relationships/hyperlink" Id="rId137" Target="https://doi.org/10.1109/TITS.2023.3286611" TargetMode="External" /><Relationship Type="http://schemas.openxmlformats.org/officeDocument/2006/relationships/hyperlink" Id="rId133" Target="https://doi.org/10.1109/TNSM.2020.3038991" TargetMode="External" /><Relationship Type="http://schemas.openxmlformats.org/officeDocument/2006/relationships/hyperlink" Id="rId111" Target="https://doi.org/10.1155/2020/9450178" TargetMode="External" /><Relationship Type="http://schemas.openxmlformats.org/officeDocument/2006/relationships/hyperlink" Id="rId102" Target="https://doi.org/10.1177/09544070231185609" TargetMode="External" /><Relationship Type="http://schemas.openxmlformats.org/officeDocument/2006/relationships/hyperlink" Id="rId129" Target="https://doi.org/10.3390/s22187072" TargetMode="External" /><Relationship Type="http://schemas.openxmlformats.org/officeDocument/2006/relationships/hyperlink" Id="rId104" Target="https://doi.org/10.3390/su13010226" TargetMode="External" /><Relationship Type="http://schemas.openxmlformats.org/officeDocument/2006/relationships/hyperlink" Id="rId139" Target="https://doi.org/10.48550/arXiv.1705.07874" TargetMode="External" /><Relationship Type="http://schemas.openxmlformats.org/officeDocument/2006/relationships/hyperlink" Id="rId113" Target="https://doi.org/10.48550/arXiv.2410.09741" TargetMode="External" /><Relationship Type="http://schemas.openxmlformats.org/officeDocument/2006/relationships/hyperlink" Id="rId106" Target="https://doi.org/10.5281/zenodo.6570972" TargetMode="External" /><Relationship Type="http://schemas.openxmlformats.org/officeDocument/2006/relationships/hyperlink" Id="rId92" Target="https://github.com/gsoh/VED" TargetMode="External" /><Relationship Type="http://schemas.openxmlformats.org/officeDocument/2006/relationships/hyperlink" Id="rId93" Target="https://github.com/leoxthomas/EngineFaultDB" TargetMode="External" /><Relationship Type="http://schemas.openxmlformats.org/officeDocument/2006/relationships/hyperlink" Id="rId94" Target="https://zenodo.org/records/65709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Driver or Vehicle? Multi-Source Signature Attribution of Excess Fuel</dc:title>
  <dc:creator/>
  <dc:language>en</dc:language>
  <cp:keywords/>
  <dcterms:created xsi:type="dcterms:W3CDTF">2026-08-30T05:32:42Z</dcterms:created>
  <dcterms:modified xsi:type="dcterms:W3CDTF">2026-08-30T05:32:42Z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