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80.png" ContentType="image/png"/>
  <Override PartName="/word/media/rId73.png" ContentType="image/png"/>
  <Override PartName="/word/media/rId21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Driver</w:t>
      </w:r>
      <w:r>
        <w:t xml:space="preserve"> </w:t>
      </w:r>
      <w:r>
        <w:t xml:space="preserve">or</w:t>
      </w:r>
      <w:r>
        <w:t xml:space="preserve"> </w:t>
      </w:r>
      <w:r>
        <w:t xml:space="preserve">Vehicle?</w:t>
      </w:r>
      <w:r>
        <w:t xml:space="preserve"> </w:t>
      </w:r>
      <w:r>
        <w:t xml:space="preserve">Multi-Source</w:t>
      </w:r>
      <w:r>
        <w:t xml:space="preserve"> </w:t>
      </w:r>
      <w:r>
        <w:t xml:space="preserve">Signature</w:t>
      </w:r>
      <w:r>
        <w:t xml:space="preserve"> </w:t>
      </w:r>
      <w:r>
        <w:t xml:space="preserve">Attribution</w:t>
      </w:r>
      <w:r>
        <w:t xml:space="preserve"> </w:t>
      </w:r>
      <w:r>
        <w:t xml:space="preserve">of</w:t>
      </w:r>
      <w:r>
        <w:t xml:space="preserve"> </w:t>
      </w:r>
      <w:r>
        <w:t xml:space="preserve">Excess</w:t>
      </w:r>
      <w:r>
        <w:t xml:space="preserve"> </w:t>
      </w:r>
      <w:r>
        <w:t xml:space="preserve">Fuel</w:t>
      </w:r>
    </w:p>
    <w:bookmarkStart w:id="20" w:name="X524239ff30af4a85c14a5e9e77d6e5a662b8d5d"/>
    <w:p>
      <w:pPr>
        <w:pStyle w:val="Heading1"/>
      </w:pPr>
      <w:r>
        <w:t xml:space="preserve">Driver or Vehicle? Multi-Source Signature Attribution of Excess Fuel Consumption</w:t>
      </w:r>
      <w:r>
        <w:br/>
      </w:r>
      <w:r>
        <w:t xml:space="preserve">Under Missing Joint Cause Labels</w:t>
      </w:r>
    </w:p>
    <w:p>
      <w:pPr>
        <w:pStyle w:val="FirstParagraph"/>
      </w:pPr>
      <w:r>
        <w:t xml:space="preserve">Alexander Apartsin</w:t>
      </w:r>
      <w:r>
        <w:rPr>
          <w:vertAlign w:val="superscript"/>
        </w:rPr>
        <w:t xml:space="preserve">1</w:t>
      </w:r>
      <w:r>
        <w:t xml:space="preserve">, Yehudit Aperstein</w:t>
      </w:r>
      <w:r>
        <w:rPr>
          <w:vertAlign w:val="superscript"/>
        </w:rPr>
        <w:t xml:space="preserve">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School of Computer Science, Faculty of</w:t>
      </w:r>
      <w:r>
        <w:t xml:space="preserve"> </w:t>
      </w:r>
      <w:r>
        <w:t xml:space="preserve">Sciences, Holon Institute of Technology (HIT), Holon, Israel</w:t>
      </w:r>
      <w:r>
        <w:br/>
      </w:r>
      <w:r>
        <w:rPr>
          <w:vertAlign w:val="superscript"/>
        </w:rPr>
        <w:t xml:space="preserve">2</w:t>
      </w:r>
      <w:r>
        <w:t xml:space="preserve">Intelligent Systems, Afeka Academic College of Engineering, Tel-Aviv, Israel</w:t>
      </w:r>
    </w:p>
    <w:bookmarkEnd w:id="20"/>
    <w:bookmarkStart w:id="25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Excess fuel consumption presents the same symptom for two very different causes: an</w:t>
      </w:r>
      <w:r>
        <w:t xml:space="preserve"> </w:t>
      </w:r>
      <w:r>
        <w:t xml:space="preserve">aggressive driver and a malfunctioning vehicle both burn more than expected, yet one calls for</w:t>
      </w:r>
      <w:r>
        <w:t xml:space="preserve"> </w:t>
      </w:r>
      <w:r>
        <w:t xml:space="preserve">coaching and the other for maintenance. A fuel-per-distance figure cannot tell them apart. We show the</w:t>
      </w:r>
      <w:r>
        <w:t xml:space="preserve"> </w:t>
      </w:r>
      <w:r>
        <w:t xml:space="preserve">two causes leave separable signatures. Driver-caused excess is transient and kinematic, expressed in</w:t>
      </w:r>
      <w:r>
        <w:t xml:space="preserve"> </w:t>
      </w:r>
      <w:r>
        <w:t xml:space="preserve">acceleration, jerk, and harsh events at a normal air-fuel ratio; malfunction-caused excess, exemplified</w:t>
      </w:r>
      <w:r>
        <w:t xml:space="preserve"> </w:t>
      </w:r>
      <w:r>
        <w:t xml:space="preserve">by a rich mixture, is steady-state and combustion-linked, expressed as an air-fuel-ratio shift and in</w:t>
      </w:r>
      <w:r>
        <w:t xml:space="preserve"> </w:t>
      </w:r>
      <w:r>
        <w:t xml:space="preserve">the unburnt-fuel emission products. No public dataset carries fuel, mechanical-fault labels, and driver behaviour jointly. We therefore adopt a two-arm design on real data: a fleet-telemetry arm on the</w:t>
      </w:r>
      <w:r>
        <w:t xml:space="preserve"> </w:t>
      </w:r>
      <w:r>
        <w:t xml:space="preserve">Vehicle Energy Dataset (VED; 197 gasoline vehicles, 14,460 trips) and a controlled engine-fault arm on</w:t>
      </w:r>
      <w:r>
        <w:t xml:space="preserve"> </w:t>
      </w:r>
      <w:r>
        <w:t xml:space="preserve">EngineFaultDB, with the behaviour axis externally validated on two independent labelled driving datasets.</w:t>
      </w:r>
      <w:r>
        <w:t xml:space="preserve"> </w:t>
      </w:r>
      <w:r>
        <w:t xml:space="preserve">An expected-fuel model reaches 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0.673</m:t>
        </m:r>
      </m:oMath>
      <w:r>
        <w:t xml:space="preserve"> </w:t>
      </w:r>
      <w:r>
        <w:t xml:space="preserve">(95% CI [0.628, 0.709]); driving behaviour and</w:t>
      </w:r>
      <w:r>
        <w:t xml:space="preserve"> </w:t>
      </w:r>
      <w:r>
        <w:t xml:space="preserve">a persistent vehicle-baseline explain 8% and 14% of trip-fuel variance. The rich-mixture fault burns</w:t>
      </w:r>
      <w:r>
        <w:t xml:space="preserve"> </w:t>
      </w:r>
      <w:r>
        <w:t xml:space="preserve">+6.2% excess fuel with an emissions signature, while the combustion axis remains silent for</w:t>
      </w:r>
      <w:r>
        <w:t xml:space="preserve"> </w:t>
      </w:r>
      <w:r>
        <w:t xml:space="preserve">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a trim-corrected</w:t>
      </w:r>
      <w:r>
        <w:t xml:space="preserve"> </w:t>
      </w:r>
      <w:r>
        <w:t xml:space="preserve">fuel target and holds within the highest-trim vehicles. On semi-synthetic ground truth, where both</w:t>
      </w:r>
      <w:r>
        <w:t xml:space="preserve"> </w:t>
      </w:r>
      <w:r>
        <w:t xml:space="preserve">causes raise fuel by the same amount so that magnitude is uninformative, signatures learned only in their source domains, frozen and combined on the target without joint supervision, attribute driver-versus-fault excess at 78.5% at a realistic operating point (rising to about 0.89 when the driver signal matches the fault magnitude), where a matched fuel-only baseline is at chance and negating the frozen weights collapses the result. Both axes derive from</w:t>
      </w:r>
      <w:r>
        <w:t xml:space="preserve"> </w:t>
      </w:r>
      <w:r>
        <w:t xml:space="preserve">standard on-board-diagnostics channels, making per-trip attribution deployable on existing telematics.</w:t>
      </w:r>
    </w:p>
    <w:bookmarkStart w:id="24" w:name="contributions"/>
    <w:p>
      <w:pPr>
        <w:pStyle w:val="Heading3"/>
      </w:pPr>
      <w:r>
        <w:t xml:space="preserve">Contributions</w:t>
      </w:r>
    </w:p>
    <w:p>
      <w:pPr>
        <w:pStyle w:val="Compact"/>
        <w:numPr>
          <w:ilvl w:val="0"/>
          <w:numId w:val="1001"/>
        </w:numPr>
      </w:pPr>
      <w:r>
        <w:t xml:space="preserve">A method for</w:t>
      </w:r>
      <w:r>
        <w:t xml:space="preserve"> </w:t>
      </w:r>
      <w:r>
        <w:rPr>
          <w:b/>
          <w:bCs/>
        </w:rPr>
        <w:t xml:space="preserve">multi-source signature attribution under missing joint cause labels</w:t>
      </w:r>
      <w:r>
        <w:t xml:space="preserve"> </w:t>
      </w:r>
      <w:r>
        <w:t xml:space="preserve">(Algorithm 1): when no dataset labels the competing causes jointly, learn a signature for each</w:t>
      </w:r>
      <w:r>
        <w:t xml:space="preserve"> </w:t>
      </w:r>
      <w:r>
        <w:t xml:space="preserve">cause in its own source domain, freeze them, and attribute on the target with abstention. We</w:t>
      </w:r>
      <w:r>
        <w:t xml:space="preserve"> </w:t>
      </w:r>
      <w:r>
        <w:t xml:space="preserve">instantiate it to attribute excess fuel to</w:t>
      </w:r>
      <w:r>
        <w:t xml:space="preserve"> </w:t>
      </w:r>
      <w:r>
        <w:rPr>
          <w:b/>
          <w:bCs/>
        </w:rPr>
        <w:t xml:space="preserve">driver behaviour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vehicle malfunction</w:t>
      </w:r>
      <w:r>
        <w:t xml:space="preserve"> </w:t>
      </w:r>
      <w:r>
        <w:t xml:space="preserve">from public data, resolved into a kinematic and a combustion axis.</w:t>
      </w:r>
    </w:p>
    <w:p>
      <w:pPr>
        <w:pStyle w:val="Compact"/>
        <w:numPr>
          <w:ilvl w:val="0"/>
          <w:numId w:val="1001"/>
        </w:numPr>
      </w:pPr>
      <w:r>
        <w:t xml:space="preserve">A variance decomposition of trip fuel on a public fleet of 194 vehicles (14,170 trips after fuel-quality filtering of the 197-vehicle, 14,460-trip panel) into behaviour, vehicle-baseline, and environment components, each with</w:t>
      </w:r>
      <w:r>
        <w:t xml:space="preserve"> </w:t>
      </w:r>
      <w:r>
        <w:t xml:space="preserve">bootstrap confidence intervals.</w:t>
      </w:r>
    </w:p>
    <w:p>
      <w:pPr>
        <w:pStyle w:val="Compact"/>
        <w:numPr>
          <w:ilvl w:val="0"/>
          <w:numId w:val="1001"/>
        </w:numPr>
      </w:pPr>
      <w:r>
        <w:t xml:space="preserve">A cross-dataset</w:t>
      </w:r>
      <w:r>
        <w:t xml:space="preserve"> </w:t>
      </w:r>
      <w:r>
        <w:rPr>
          <w:b/>
          <w:bCs/>
        </w:rPr>
        <w:t xml:space="preserve">signature contrast</w:t>
      </w:r>
      <w:r>
        <w:t xml:space="preserve">: the combustion axis is silent for driver-caused excess</w:t>
      </w:r>
      <w:r>
        <w:t xml:space="preserve"> </w:t>
      </w:r>
      <w:r>
        <w:t xml:space="preserve">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), a silence that survives trim-corrected fuel and the</w:t>
      </w:r>
      <w:r>
        <w:t xml:space="preserve"> </w:t>
      </w:r>
      <w:r>
        <w:t xml:space="preserve">highest-trim vehicles, ruling out a measurement artifact.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Frozen source-derived signatures</w:t>
      </w:r>
      <w:r>
        <w:t xml:space="preserve"> </w:t>
      </w:r>
      <w:r>
        <w:t xml:space="preserve">learned in separate domains attribute driver-versus-fault</w:t>
      </w:r>
      <w:r>
        <w:t xml:space="preserve"> </w:t>
      </w:r>
      <w:r>
        <w:t xml:space="preserve">excess at 78.5% at a realistic operating point (up to ~0.89 at matched severity) with no joint</w:t>
      </w:r>
      <w:r>
        <w:t xml:space="preserve"> </w:t>
      </w:r>
      <w:r>
        <w:t xml:space="preserve">supervision and a passing falsification control, where a matched fuel-only baseline is at chance.</w:t>
      </w:r>
    </w:p>
    <w:p>
      <w:pPr>
        <w:pStyle w:val="Compact"/>
        <w:numPr>
          <w:ilvl w:val="0"/>
          <w:numId w:val="1001"/>
        </w:numPr>
      </w:pPr>
      <w:r>
        <w:t xml:space="preserve">A documented survey of the joint fuel + fault + behaviour data gap, and a reproducible pipeline and paper in which every number traces to a script.</w:t>
      </w:r>
    </w:p>
    <w:p>
      <w:pPr>
        <w:pStyle w:val="CaptionedFigure"/>
      </w:pPr>
      <w:r>
        <w:drawing>
          <wp:inline>
            <wp:extent cx="5334000" cy="1909703"/>
            <wp:effectExtent b="0" l="0" r="0" t="0"/>
            <wp:docPr descr="Overview of the two-arm design" title="" id="22" name="Picture"/>
            <a:graphic>
              <a:graphicData uri="http://schemas.openxmlformats.org/drawingml/2006/picture">
                <pic:pic>
                  <pic:nvPicPr>
                    <pic:cNvPr descr="figures/overvie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1.</w:t>
      </w:r>
      <w:r>
        <w:t xml:space="preserve"> </w:t>
      </w:r>
      <w:r>
        <w:t xml:space="preserve">Overview. Two public datasets each carry one ground truth (driver</w:t>
      </w:r>
      <w:r>
        <w:t xml:space="preserve"> </w:t>
      </w:r>
      <w:r>
        <w:t xml:space="preserve">behaviour in VED, engine faults on the bench); two independent datasets validate the behaviour axis.</w:t>
      </w:r>
      <w:r>
        <w:t xml:space="preserve"> </w:t>
      </w:r>
      <w:r>
        <w:t xml:space="preserve">Excess fuel is resolved onto a kinematic and a combustion axis, and a semi-synthetic bridge measures</w:t>
      </w:r>
      <w:r>
        <w:t xml:space="preserve"> </w:t>
      </w:r>
      <w:r>
        <w:t xml:space="preserve">attribution accuracy where no single real dataset can.</w:t>
      </w:r>
    </w:p>
    <w:bookmarkEnd w:id="24"/>
    <w:bookmarkEnd w:id="25"/>
    <w:bookmarkStart w:id="26" w:name="intro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Fuel is the largest controllable operating cost of a commercial vehicle fleet and a direct source</w:t>
      </w:r>
      <w:r>
        <w:t xml:space="preserve"> </w:t>
      </w:r>
      <w:r>
        <w:t xml:space="preserve">of tailpipe emissions. When a vehicle consistently burns more than expected, an operator faces a</w:t>
      </w:r>
      <w:r>
        <w:t xml:space="preserve"> </w:t>
      </w:r>
      <w:r>
        <w:t xml:space="preserve">decision with two very different remedies: coach the driver, or service the vehicle. The remedies are</w:t>
      </w:r>
      <w:r>
        <w:t xml:space="preserve"> </w:t>
      </w:r>
      <w:r>
        <w:t xml:space="preserve">not interchangeable. Sending an efficient driver to remedial training wastes time and erodes trust,</w:t>
      </w:r>
      <w:r>
        <w:t xml:space="preserve"> </w:t>
      </w:r>
      <w:r>
        <w:t xml:space="preserve">and dispatching a mechanically sound vehicle to the workshop wastes a service slot; conversely, a</w:t>
      </w:r>
      <w:r>
        <w:t xml:space="preserve"> </w:t>
      </w:r>
      <w:r>
        <w:t xml:space="preserve">genuine fault left uncorrected keeps burning fuel and may worsen. The decision therefore rests on</w:t>
      </w:r>
      <w:r>
        <w:t xml:space="preserve"> </w:t>
      </w:r>
      <w:r>
        <w:t xml:space="preserve">knowing the cause of the excess, not merely its size.</w:t>
      </w:r>
    </w:p>
    <w:p>
      <w:pPr>
        <w:pStyle w:val="BodyText"/>
      </w:pPr>
      <w:r>
        <w:t xml:space="preserve">We treat this as an attribution problem. For a trip that consumed more fuel than its route and</w:t>
      </w:r>
      <w:r>
        <w:t xml:space="preserve"> </w:t>
      </w:r>
      <w:r>
        <w:t xml:space="preserve">conditions warrant, let the excess be the difference between observed and expected consumption; the</w:t>
      </w:r>
      <w:r>
        <w:t xml:space="preserve"> </w:t>
      </w:r>
      <w:r>
        <w:t xml:space="preserve">task is to decompose that excess into a driver-behaviour component and a vehicle component (the vehicle-baseline defined in Section 4.4). Raw fuel</w:t>
      </w:r>
      <w:r>
        <w:t xml:space="preserve"> </w:t>
      </w:r>
      <w:r>
        <w:t xml:space="preserve">per distance cannot perform this decomposition, because both an aggressive driving style and a</w:t>
      </w:r>
      <w:r>
        <w:t xml:space="preserve"> </w:t>
      </w:r>
      <w:r>
        <w:t xml:space="preserve">degraded engine inflate the same scalar. The question is operationally valuable and, on public data,</w:t>
      </w:r>
      <w:r>
        <w:t xml:space="preserve"> </w:t>
      </w:r>
      <w:r>
        <w:t xml:space="preserve">largely unanswered: fuel-consumption models predict the scalar accurately without decomposing its</w:t>
      </w:r>
      <w:r>
        <w:t xml:space="preserve"> </w:t>
      </w:r>
      <w:r>
        <w:t xml:space="preserve">causes; eco-driving and behaviour-scoring work quantifies the driver in isolation; and</w:t>
      </w:r>
      <w:r>
        <w:t xml:space="preserve"> </w:t>
      </w:r>
      <w:r>
        <w:t xml:space="preserve">predictive-maintenance work targets the fault directly but rarely treats fuel efficiency as the</w:t>
      </w:r>
      <w:r>
        <w:t xml:space="preserve"> </w:t>
      </w:r>
      <w:r>
        <w:t xml:space="preserve">symptom to explain.</w:t>
      </w:r>
    </w:p>
    <w:p>
      <w:pPr>
        <w:pStyle w:val="BodyText"/>
      </w:pPr>
      <w:r>
        <w:t xml:space="preserve">Our approach rests on a physical observation about how the two causes express themselves.</w:t>
      </w:r>
      <w:r>
        <w:t xml:space="preserve"> </w:t>
      </w:r>
      <w:r>
        <w:t xml:space="preserve">Driver-caused excess is transient and kinematic: it lives in acceleration, jerk, and harsh</w:t>
      </w:r>
      <w:r>
        <w:t xml:space="preserve"> </w:t>
      </w:r>
      <w:r>
        <w:t xml:space="preserve">acceleration or braking events, while the engine continues to run at its normal, near-stoichiometric</w:t>
      </w:r>
      <w:r>
        <w:t xml:space="preserve"> </w:t>
      </w:r>
      <w:r>
        <w:t xml:space="preserve">air-fuel ratio. Malfunction-caused excess, taking the rich-mixture fault as the canonical</w:t>
      </w:r>
      <w:r>
        <w:t xml:space="preserve"> </w:t>
      </w:r>
      <w:r>
        <w:t xml:space="preserve">fuel-relevant case, is steady-state and combustion-linked: it shifts the air-fuel ratio away from</w:t>
      </w:r>
      <w:r>
        <w:t xml:space="preserve"> </w:t>
      </w:r>
      <w:r>
        <w:t xml:space="preserve">stoichiometric and leaves its trace in the exhaust chemistry, in elevated carbon monoxide and</w:t>
      </w:r>
      <w:r>
        <w:t xml:space="preserve"> </w:t>
      </w:r>
      <w:r>
        <w:t xml:space="preserve">unburnt hydrocarbons. Crucially, both signatures are observable on standard on-board-diagnostics</w:t>
      </w:r>
      <w:r>
        <w:t xml:space="preserve"> </w:t>
      </w:r>
      <w:r>
        <w:t xml:space="preserve">hardware. The kinematic axis derives from GPS and inertial channels; the combustion axis derives from</w:t>
      </w:r>
      <w:r>
        <w:t xml:space="preserve"> </w:t>
      </w:r>
      <w:r>
        <w:t xml:space="preserve">the short- and long-term fuel trims that every closed-loop engine reports, and, on a bench, from the</w:t>
      </w:r>
      <w:r>
        <w:t xml:space="preserve"> </w:t>
      </w:r>
      <w:r>
        <w:t xml:space="preserve">air-fuel ratio directly.</w:t>
      </w:r>
    </w:p>
    <w:p>
      <w:pPr>
        <w:pStyle w:val="BodyText"/>
      </w:pPr>
      <w:r>
        <w:t xml:space="preserve">The obstacle to demonstrating this on real data is that no public dataset carries fuel consumption,</w:t>
      </w:r>
      <w:r>
        <w:t xml:space="preserve"> </w:t>
      </w:r>
      <w:r>
        <w:t xml:space="preserve">mechanical-fault labels, and driver behaviour together. A dedicated search (Section 3.4) confirms the</w:t>
      </w:r>
      <w:r>
        <w:t xml:space="preserve"> </w:t>
      </w:r>
      <w:r>
        <w:t xml:space="preserve">gap: the datasets that pair fuel with fault labels lack driver context or ship only dimensionality-reduced features,</w:t>
      </w:r>
      <w:r>
        <w:t xml:space="preserve"> </w:t>
      </w:r>
      <w:r>
        <w:t xml:space="preserve">and the driving-behaviour datasets lack fuel. We therefore adopt a two-arm design on the datasets that</w:t>
      </w:r>
      <w:r>
        <w:t xml:space="preserve"> </w:t>
      </w:r>
      <w:r>
        <w:t xml:space="preserve">each carry one ground truth, and bridge them with a semi-synthetic experiment that supplies the</w:t>
      </w:r>
      <w:r>
        <w:t xml:space="preserve"> </w:t>
      </w:r>
      <w:r>
        <w:t xml:space="preserve">competing-cause labels no real dataset provides. The fleet-telemetry arm (VED) grounds the</w:t>
      </w:r>
      <w:r>
        <w:t xml:space="preserve"> </w:t>
      </w:r>
      <w:r>
        <w:t xml:space="preserve">decomposition and the driver side; the engine-fault arm (EngineFaultDB) grounds the malfunction</w:t>
      </w:r>
      <w:r>
        <w:t xml:space="preserve"> </w:t>
      </w:r>
      <w:r>
        <w:t xml:space="preserve">signature; two independent labelled driving datasets validate the kinematic axis; and the</w:t>
      </w:r>
      <w:r>
        <w:t xml:space="preserve"> </w:t>
      </w:r>
      <w:r>
        <w:t xml:space="preserve">semi-synthetic injection measures attribution accuracy directly.</w:t>
      </w:r>
    </w:p>
    <w:p>
      <w:pPr>
        <w:pStyle w:val="BodyText"/>
      </w:pPr>
      <w:r>
        <w:t xml:space="preserve">The evidence chain (Figure 1) runs as follows: an expected-fuel model and its variance decomposition establish</w:t>
      </w:r>
      <w:r>
        <w:t xml:space="preserve"> </w:t>
      </w:r>
      <w:r>
        <w:t xml:space="preserve">that behaviour and a persistent vehicle-baseline are separable, measurable shares of trip fuel; the behaviour axis is validated to transfer to two independent datasets; the rich-mixture fault is shown to</w:t>
      </w:r>
      <w:r>
        <w:t xml:space="preserve"> </w:t>
      </w:r>
      <w:r>
        <w:t xml:space="preserve">produce measurable excess fuel with an emissions signature; a signature contrast shows the combustion</w:t>
      </w:r>
      <w:r>
        <w:t xml:space="preserve"> </w:t>
      </w:r>
      <w:r>
        <w:t xml:space="preserve">axis is silent for driver-caused excess; and the semi-synthetic experiment shows that, when fuel</w:t>
      </w:r>
      <w:r>
        <w:t xml:space="preserve"> </w:t>
      </w:r>
      <w:r>
        <w:t xml:space="preserve">magnitude is made uninformative, signatures frozen from their source domains recover the cause at 78.5% at a realistic operating point (rising with driver severity), while a matched fuel-only baseline is at chance. The remainder of</w:t>
      </w:r>
      <w:r>
        <w:t xml:space="preserve"> </w:t>
      </w:r>
      <w:r>
        <w:t xml:space="preserve">the paper is organized as related work (Section 2), data (Section 3), method and equations</w:t>
      </w:r>
      <w:r>
        <w:t xml:space="preserve"> </w:t>
      </w:r>
      <w:r>
        <w:t xml:space="preserve">(Section 4), experimental setup (Section 5), results for the two arms and the attribution</w:t>
      </w:r>
      <w:r>
        <w:t xml:space="preserve"> </w:t>
      </w:r>
      <w:r>
        <w:t xml:space="preserve">(Sections 6-8), discussion (Section 9), limitations (Section 10), and conclusion (Section 11).</w:t>
      </w:r>
    </w:p>
    <w:bookmarkEnd w:id="26"/>
    <w:bookmarkStart w:id="32" w:name="related"/>
    <w:p>
      <w:pPr>
        <w:pStyle w:val="Heading2"/>
      </w:pPr>
      <w:r>
        <w:t xml:space="preserve">2. Related work</w:t>
      </w:r>
    </w:p>
    <w:p>
      <w:pPr>
        <w:pStyle w:val="FirstParagraph"/>
      </w:pPr>
      <w:r>
        <w:t xml:space="preserve">Four largely separate literatures meet in this problem: fuel-consumption modelling, eco-driving and</w:t>
      </w:r>
      <w:r>
        <w:t xml:space="preserve"> </w:t>
      </w:r>
      <w:r>
        <w:t xml:space="preserve">behaviour scoring, predictive maintenance and engine-fault diagnosis, and telemetry anomaly detection.</w:t>
      </w:r>
      <w:r>
        <w:t xml:space="preserve"> </w:t>
      </w:r>
      <w:r>
        <w:t xml:space="preserve">A fifth thread, explainable attribution, contains the nearest prior work. We review each and state</w:t>
      </w:r>
      <w:r>
        <w:t xml:space="preserve"> </w:t>
      </w:r>
      <w:r>
        <w:t xml:space="preserve">where our contribution sits; the positioning is summarized in Table 1.</w:t>
      </w:r>
    </w:p>
    <w:bookmarkStart w:id="27" w:name="fuel-consumption-modelling"/>
    <w:p>
      <w:pPr>
        <w:pStyle w:val="Heading3"/>
      </w:pPr>
      <w:r>
        <w:t xml:space="preserve">2.1 Fuel-consumption modelling</w:t>
      </w:r>
    </w:p>
    <w:p>
      <w:pPr>
        <w:pStyle w:val="FirstParagraph"/>
      </w:pPr>
      <w:r>
        <w:t xml:space="preserve">Physics-based models map instantaneous kinematics to fuel and emissions. Vehicle specific power</w:t>
      </w:r>
      <w:r>
        <w:t xml:space="preserve"> </w:t>
      </w:r>
      <w:r>
        <w:t xml:space="preserve">[</w:t>
      </w:r>
      <w:hyperlink w:anchor="r7">
        <w:r>
          <w:rPr>
            <w:rStyle w:val="Hyperlink"/>
          </w:rPr>
          <w:t xml:space="preserve">7</w:t>
        </w:r>
      </w:hyperlink>
      <w:r>
        <w:t xml:space="preserve">] expresses the tractive power demand per unit mass and underlies many modal</w:t>
      </w:r>
      <w:r>
        <w:t xml:space="preserve"> </w:t>
      </w:r>
      <w:r>
        <w:t xml:space="preserve">emission models; the VT-Micro family [</w:t>
      </w:r>
      <w:hyperlink w:anchor="r8">
        <w:r>
          <w:rPr>
            <w:rStyle w:val="Hyperlink"/>
          </w:rPr>
          <w:t xml:space="preserve">8</w:t>
        </w:r>
      </w:hyperlink>
      <w:r>
        <w:t xml:space="preserve">] fits polynomials in speed and acceleration</w:t>
      </w:r>
      <w:r>
        <w:t xml:space="preserve"> </w:t>
      </w:r>
      <w:r>
        <w:t xml:space="preserve">to instantaneous fuel and emission rates; and the power-based VT-CPFM [</w:t>
      </w:r>
      <w:hyperlink w:anchor="r11">
        <w:r>
          <w:rPr>
            <w:rStyle w:val="Hyperlink"/>
          </w:rPr>
          <w:t xml:space="preserve">11</w:t>
        </w:r>
      </w:hyperlink>
      <w:r>
        <w:t xml:space="preserve">] derives</w:t>
      </w:r>
      <w:r>
        <w:t xml:space="preserve"> </w:t>
      </w:r>
      <w:r>
        <w:t xml:space="preserve">consumption from a physical power formulation with few calibrated parameters. Data-driven models now</w:t>
      </w:r>
      <w:r>
        <w:t xml:space="preserve"> </w:t>
      </w:r>
      <w:r>
        <w:t xml:space="preserve">lead on on-board-diagnostics and telematics inputs: tree ensembles are the reliable workhorse and</w:t>
      </w:r>
      <w:r>
        <w:t xml:space="preserve"> </w:t>
      </w:r>
      <w:r>
        <w:t xml:space="preserve">have been shown to beat both neural baselines and the engine-control-unit estimate against</w:t>
      </w:r>
      <w:r>
        <w:t xml:space="preserve"> </w:t>
      </w:r>
      <w:r>
        <w:t xml:space="preserve">ground-truth fuel meters [</w:t>
      </w:r>
      <w:hyperlink w:anchor="r4">
        <w:r>
          <w:rPr>
            <w:rStyle w:val="Hyperlink"/>
          </w:rPr>
          <w:t xml:space="preserve">4</w:t>
        </w:r>
      </w:hyperlink>
      <w:r>
        <w:t xml:space="preserve">], and kernel methods map engine parameters to fuel rate from OBD-II [</w:t>
      </w:r>
      <w:hyperlink w:anchor="r9">
        <w:r>
          <w:rPr>
            <w:rStyle w:val="Hyperlink"/>
          </w:rPr>
          <w:t xml:space="preserve">9</w:t>
        </w:r>
      </w:hyperlink>
      <w:r>
        <w:t xml:space="preserve">]. Classic modal-emission models set the physical baselines ([</w:t>
      </w:r>
      <w:hyperlink w:anchor="r27">
        <w:r>
          <w:rPr>
            <w:rStyle w:val="Hyperlink"/>
          </w:rPr>
          <w:t xml:space="preserve">27</w:t>
        </w:r>
      </w:hyperlink>
      <w:r>
        <w:t xml:space="preserve">] CMEM, [</w:t>
      </w:r>
      <w:hyperlink w:anchor="r28">
        <w:r>
          <w:rPr>
            <w:rStyle w:val="Hyperlink"/>
          </w:rPr>
          <w:t xml:space="preserve">28</w:t>
        </w:r>
      </w:hyperlink>
      <w:r>
        <w:t xml:space="preserve">] MOVES), and recent data-driven fuel models use smartphone telematics [</w:t>
      </w:r>
      <w:hyperlink w:anchor="r29">
        <w:r>
          <w:rPr>
            <w:rStyle w:val="Hyperlink"/>
          </w:rPr>
          <w:t xml:space="preserve">29</w:t>
        </w:r>
      </w:hyperlink>
      <w:r>
        <w:t xml:space="preserve">], cascaded real-world regression [</w:t>
      </w:r>
      <w:hyperlink w:anchor="r30">
        <w:r>
          <w:rPr>
            <w:rStyle w:val="Hyperlink"/>
          </w:rPr>
          <w:t xml:space="preserve">30</w:t>
        </w:r>
      </w:hyperlink>
      <w:r>
        <w:t xml:space="preserve">], neural drive-cycle models [</w:t>
      </w:r>
      <w:hyperlink w:anchor="r31">
        <w:r>
          <w:rPr>
            <w:rStyle w:val="Hyperlink"/>
          </w:rPr>
          <w:t xml:space="preserve">31</w:t>
        </w:r>
      </w:hyperlink>
      <w:r>
        <w:t xml:space="preserve">], and behaviour-aware predictors [</w:t>
      </w:r>
      <w:hyperlink w:anchor="r32">
        <w:r>
          <w:rPr>
            <w:rStyle w:val="Hyperlink"/>
          </w:rPr>
          <w:t xml:space="preserve">32</w:t>
        </w:r>
      </w:hyperlink>
      <w:r>
        <w:t xml:space="preserve">]. These models predict consumption accurately, but they estimate a</w:t>
      </w:r>
      <w:r>
        <w:t xml:space="preserve"> </w:t>
      </w:r>
      <w:r>
        <w:t xml:space="preserve">single quantity; none decomposes that quantity into the driver and vehicle contributions that an</w:t>
      </w:r>
      <w:r>
        <w:t xml:space="preserve"> </w:t>
      </w:r>
      <w:r>
        <w:t xml:space="preserve">operator must separate.</w:t>
      </w:r>
    </w:p>
    <w:bookmarkEnd w:id="27"/>
    <w:bookmarkStart w:id="28" w:name="X6992fdee0ebc893242a85b3ad8ff5c38d9c321b"/>
    <w:p>
      <w:pPr>
        <w:pStyle w:val="Heading3"/>
      </w:pPr>
      <w:r>
        <w:t xml:space="preserve">2.2 Eco-driving and driving-behaviour scoring</w:t>
      </w:r>
    </w:p>
    <w:p>
      <w:pPr>
        <w:pStyle w:val="FirstParagraph"/>
      </w:pPr>
      <w:r>
        <w:t xml:space="preserve">Driving style moves fuel use substantially; data-driven eco-driving reviews report savings of</w:t>
      </w:r>
      <w:r>
        <w:t xml:space="preserve"> </w:t>
      </w:r>
      <w:r>
        <w:t xml:space="preserve">roughly 5-15% from smoother driving [</w:t>
      </w:r>
      <w:hyperlink w:anchor="r5">
        <w:r>
          <w:rPr>
            <w:rStyle w:val="Hyperlink"/>
          </w:rPr>
          <w:t xml:space="preserve">5</w:t>
        </w:r>
      </w:hyperlink>
      <w:r>
        <w:t xml:space="preserve">], a range our behaviour counterfactual</w:t>
      </w:r>
      <w:r>
        <w:t xml:space="preserve"> </w:t>
      </w:r>
      <w:r>
        <w:t xml:space="preserve">reproduces (Section 6.2), and recent reviews survey behaviour-to-fuel machine learning specifically</w:t>
      </w:r>
      <w:r>
        <w:t xml:space="preserve"> </w:t>
      </w:r>
      <w:r>
        <w:t xml:space="preserve">[</w:t>
      </w:r>
      <w:hyperlink w:anchor="r15">
        <w:r>
          <w:rPr>
            <w:rStyle w:val="Hyperlink"/>
          </w:rPr>
          <w:t xml:space="preserve">15</w:t>
        </w:r>
      </w:hyperlink>
      <w:r>
        <w:t xml:space="preserve">]. Driver behaviour has been classified from OBD signals and used to predict</w:t>
      </w:r>
      <w:r>
        <w:t xml:space="preserve"> </w:t>
      </w:r>
      <w:r>
        <w:t xml:space="preserve">fuel consumption [</w:t>
      </w:r>
      <w:hyperlink w:anchor="r12">
        <w:r>
          <w:rPr>
            <w:rStyle w:val="Hyperlink"/>
          </w:rPr>
          <w:t xml:space="preserve">12</w:t>
        </w:r>
      </w:hyperlink>
      <w:r>
        <w:t xml:space="preserve">], recognized as a driving style from smartphone inertial</w:t>
      </w:r>
      <w:r>
        <w:t xml:space="preserve"> </w:t>
      </w:r>
      <w:r>
        <w:t xml:space="preserve">sensors [</w:t>
      </w:r>
      <w:hyperlink w:anchor="r14">
        <w:r>
          <w:rPr>
            <w:rStyle w:val="Hyperlink"/>
          </w:rPr>
          <w:t xml:space="preserve">14</w:t>
        </w:r>
      </w:hyperlink>
      <w:r>
        <w:t xml:space="preserve">], and linked to efficiency through drive-cycle simulation [</w:t>
      </w:r>
      <w:hyperlink w:anchor="r13">
        <w:r>
          <w:rPr>
            <w:rStyle w:val="Hyperlink"/>
          </w:rPr>
          <w:t xml:space="preserve">13</w:t>
        </w:r>
      </w:hyperlink>
      <w:r>
        <w:t xml:space="preserve">]. Large naturalistic-driving studies (SHRP2 [</w:t>
      </w:r>
      <w:hyperlink w:anchor="r33">
        <w:r>
          <w:rPr>
            <w:rStyle w:val="Hyperlink"/>
          </w:rPr>
          <w:t xml:space="preserve">33</w:t>
        </w:r>
      </w:hyperlink>
      <w:r>
        <w:t xml:space="preserve">]; UDRIVE [</w:t>
      </w:r>
      <w:hyperlink w:anchor="r37">
        <w:r>
          <w:rPr>
            <w:rStyle w:val="Hyperlink"/>
          </w:rPr>
          <w:t xml:space="preserve">37</w:t>
        </w:r>
      </w:hyperlink>
      <w:r>
        <w:t xml:space="preserve">], [</w:t>
      </w:r>
      <w:hyperlink w:anchor="r38">
        <w:r>
          <w:rPr>
            <w:rStyle w:val="Hyperlink"/>
          </w:rPr>
          <w:t xml:space="preserve">38</w:t>
        </w:r>
      </w:hyperlink>
      <w:r>
        <w:t xml:space="preserve">]) and a driving-style-recognition survey [</w:t>
      </w:r>
      <w:hyperlink w:anchor="r36">
        <w:r>
          <w:rPr>
            <w:rStyle w:val="Hyperlink"/>
          </w:rPr>
          <w:t xml:space="preserve">36</w:t>
        </w:r>
      </w:hyperlink>
      <w:r>
        <w:t xml:space="preserve">] underpin behaviour recognition, eco-driving reviews quantify the fuel impact [</w:t>
      </w:r>
      <w:hyperlink w:anchor="r34">
        <w:r>
          <w:rPr>
            <w:rStyle w:val="Hyperlink"/>
          </w:rPr>
          <w:t xml:space="preserve">34</w:t>
        </w:r>
      </w:hyperlink>
      <w:r>
        <w:t xml:space="preserve">], and usage-based insurance applies telematics scoring commercially [</w:t>
      </w:r>
      <w:hyperlink w:anchor="r35">
        <w:r>
          <w:rPr>
            <w:rStyle w:val="Hyperlink"/>
          </w:rPr>
          <w:t xml:space="preserve">35</w:t>
        </w:r>
      </w:hyperlink>
      <w:r>
        <w:t xml:space="preserve">]. This literature scores the driver in isolation. It does not separate the</w:t>
      </w:r>
      <w:r>
        <w:t xml:space="preserve"> </w:t>
      </w:r>
      <w:r>
        <w:t xml:space="preserve">driver's contribution from the vehicle's, and in single-driver-per-vehicle data the two are</w:t>
      </w:r>
      <w:r>
        <w:t xml:space="preserve"> </w:t>
      </w:r>
      <w:r>
        <w:t xml:space="preserve">confounded unless a model controls for one.</w:t>
      </w:r>
    </w:p>
    <w:bookmarkEnd w:id="28"/>
    <w:bookmarkStart w:id="29" w:name="X6494f8a412f2745e45f60a6b6822fee6623206b"/>
    <w:p>
      <w:pPr>
        <w:pStyle w:val="Heading3"/>
      </w:pPr>
      <w:r>
        <w:t xml:space="preserve">2.3 Predictive maintenance and engine-fault diagnosis</w:t>
      </w:r>
    </w:p>
    <w:p>
      <w:pPr>
        <w:pStyle w:val="FirstParagraph"/>
      </w:pPr>
      <w:r>
        <w:t xml:space="preserve">Fault-diagnosis work detects sensor and actuator faults in the air-fuel path from telemetry:</w:t>
      </w:r>
      <w:r>
        <w:t xml:space="preserve"> </w:t>
      </w:r>
      <w:r>
        <w:t xml:space="preserve">neural detection and isolation of multiple engine-sensor faults [</w:t>
      </w:r>
      <w:hyperlink w:anchor="r16">
        <w:r>
          <w:rPr>
            <w:rStyle w:val="Hyperlink"/>
          </w:rPr>
          <w:t xml:space="preserve">16</w:t>
        </w:r>
      </w:hyperlink>
      <w:r>
        <w:t xml:space="preserve">],</w:t>
      </w:r>
      <w:r>
        <w:t xml:space="preserve"> </w:t>
      </w:r>
      <w:r>
        <w:t xml:space="preserve">fault-tolerant handling of the mass-air-flow sensor whose signal we use to derive fuel</w:t>
      </w:r>
      <w:r>
        <w:t xml:space="preserve"> </w:t>
      </w:r>
      <w:r>
        <w:t xml:space="preserve">[</w:t>
      </w:r>
      <w:hyperlink w:anchor="r17">
        <w:r>
          <w:rPr>
            <w:rStyle w:val="Hyperlink"/>
          </w:rPr>
          <w:t xml:space="preserve">17</w:t>
        </w:r>
      </w:hyperlink>
      <w:r>
        <w:t xml:space="preserve">], and deep-learning fault diagnosis from driving signals [</w:t>
      </w:r>
      <w:hyperlink w:anchor="r18">
        <w:r>
          <w:rPr>
            <w:rStyle w:val="Hyperlink"/>
          </w:rPr>
          <w:t xml:space="preserve">18</w:t>
        </w:r>
      </w:hyperlink>
      <w:r>
        <w:t xml:space="preserve">]. Broader predictive-maintenance research contributes benchmark datasets and methods, including the SCANIA Component X multivariate benchmark [</w:t>
      </w:r>
      <w:hyperlink w:anchor="r39">
        <w:r>
          <w:rPr>
            <w:rStyle w:val="Hyperlink"/>
          </w:rPr>
          <w:t xml:space="preserve">39</w:t>
        </w:r>
      </w:hyperlink>
      <w:r>
        <w:t xml:space="preserve">], LSTM remaining-useful-life estimation [</w:t>
      </w:r>
      <w:hyperlink w:anchor="r40">
        <w:r>
          <w:rPr>
            <w:rStyle w:val="Hyperlink"/>
          </w:rPr>
          <w:t xml:space="preserve">40</w:t>
        </w:r>
      </w:hyperlink>
      <w:r>
        <w:t xml:space="preserve">], diesel-engine vibration diagnosis [</w:t>
      </w:r>
      <w:hyperlink w:anchor="r43">
        <w:r>
          <w:rPr>
            <w:rStyle w:val="Hyperlink"/>
          </w:rPr>
          <w:t xml:space="preserve">43</w:t>
        </w:r>
      </w:hyperlink>
      <w:r>
        <w:t xml:space="preserve">], and recent surveys [</w:t>
      </w:r>
      <w:hyperlink w:anchor="r41">
        <w:r>
          <w:rPr>
            <w:rStyle w:val="Hyperlink"/>
          </w:rPr>
          <w:t xml:space="preserve">41</w:t>
        </w:r>
      </w:hyperlink>
      <w:r>
        <w:t xml:space="preserve">], [</w:t>
      </w:r>
      <w:hyperlink w:anchor="r42">
        <w:r>
          <w:rPr>
            <w:rStyle w:val="Hyperlink"/>
          </w:rPr>
          <w:t xml:space="preserve">42</w:t>
        </w:r>
      </w:hyperlink>
      <w:r>
        <w:t xml:space="preserve">].</w:t>
      </w:r>
      <w:r>
        <w:t xml:space="preserve"> </w:t>
      </w:r>
      <w:r>
        <w:t xml:space="preserve">The EngineFaultDB dataset we use as our malfunction arm was released with a fault-classification</w:t>
      </w:r>
      <w:r>
        <w:t xml:space="preserve"> </w:t>
      </w:r>
      <w:r>
        <w:t xml:space="preserve">baseline [</w:t>
      </w:r>
      <w:hyperlink w:anchor="r2">
        <w:r>
          <w:rPr>
            <w:rStyle w:val="Hyperlink"/>
          </w:rPr>
          <w:t xml:space="preserve">2</w:t>
        </w:r>
      </w:hyperlink>
      <w:r>
        <w:t xml:space="preserve">]; we repurpose it to quantify the fuel signature of a fault rather than</w:t>
      </w:r>
      <w:r>
        <w:t xml:space="preserve"> </w:t>
      </w:r>
      <w:r>
        <w:t xml:space="preserve">to classify faults. These methods target the fault directly and treat fuel efficiency as an input,</w:t>
      </w:r>
      <w:r>
        <w:t xml:space="preserve"> </w:t>
      </w:r>
      <w:r>
        <w:t xml:space="preserve">not as the symptom to be attributed.</w:t>
      </w:r>
    </w:p>
    <w:bookmarkEnd w:id="29"/>
    <w:bookmarkStart w:id="30" w:name="telemetry-anomaly-detection"/>
    <w:p>
      <w:pPr>
        <w:pStyle w:val="Heading3"/>
      </w:pPr>
      <w:r>
        <w:t xml:space="preserve">2.4 Telemetry anomaly detection</w:t>
      </w:r>
    </w:p>
    <w:p>
      <w:pPr>
        <w:pStyle w:val="FirstParagraph"/>
      </w:pPr>
      <w:r>
        <w:t xml:space="preserve">The detector toolbox is mature: isolation 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], one-class support-vector methods [</w:t>
      </w:r>
      <w:hyperlink w:anchor="r44">
        <w:r>
          <w:rPr>
            <w:rStyle w:val="Hyperlink"/>
          </w:rPr>
          <w:t xml:space="preserve">44</w:t>
        </w:r>
      </w:hyperlink>
      <w:r>
        <w:t xml:space="preserve">], change-point detection [</w:t>
      </w:r>
      <w:hyperlink w:anchor="r45">
        <w:r>
          <w:rPr>
            <w:rStyle w:val="Hyperlink"/>
          </w:rPr>
          <w:t xml:space="preserve">45</w:t>
        </w:r>
      </w:hyperlink>
      <w:r>
        <w:t xml:space="preserve">], and autoencoder or recurrent models catalogued in recent surveys [</w:t>
      </w:r>
      <w:hyperlink w:anchor="r47">
        <w:r>
          <w:rPr>
            <w:rStyle w:val="Hyperlink"/>
          </w:rPr>
          <w:t xml:space="preserve">47</w:t>
        </w:r>
      </w:hyperlink>
      <w:r>
        <w:t xml:space="preserve">] and toolkits such as PyOD [</w:t>
      </w:r>
      <w:hyperlink w:anchor="r46">
        <w:r>
          <w:rPr>
            <w:rStyle w:val="Hyperlink"/>
          </w:rPr>
          <w:t xml:space="preserve">46</w:t>
        </w:r>
      </w:hyperlink>
      <w:r>
        <w:t xml:space="preserve">]. In the automotive setting, however, most of this work targets</w:t>
      </w:r>
      <w:r>
        <w:t xml:space="preserve"> </w:t>
      </w:r>
      <w:r>
        <w:t xml:space="preserve">controller-area-network intrusion and safety rather than fuel efficiency, for example LSTM</w:t>
      </w:r>
      <w:r>
        <w:t xml:space="preserve"> </w:t>
      </w:r>
      <w:r>
        <w:t xml:space="preserve">autoencoders [</w:t>
      </w:r>
      <w:hyperlink w:anchor="r20">
        <w:r>
          <w:rPr>
            <w:rStyle w:val="Hyperlink"/>
          </w:rPr>
          <w:t xml:space="preserve">20</w:t>
        </w:r>
      </w:hyperlink>
      <w:r>
        <w:t xml:space="preserve">], recurrent autoencoders for embedded intrusion detection</w:t>
      </w:r>
      <w:r>
        <w:t xml:space="preserve"> </w:t>
      </w:r>
      <w:r>
        <w:t xml:space="preserve">[</w:t>
      </w:r>
      <w:hyperlink w:anchor="r21">
        <w:r>
          <w:rPr>
            <w:rStyle w:val="Hyperlink"/>
          </w:rPr>
          <w:t xml:space="preserve">21</w:t>
        </w:r>
      </w:hyperlink>
      <w:r>
        <w:t xml:space="preserve">], and spatiotemporal detection for connected vehicles [</w:t>
      </w:r>
      <w:hyperlink w:anchor="r22">
        <w:r>
          <w:rPr>
            <w:rStyle w:val="Hyperlink"/>
          </w:rPr>
          <w:t xml:space="preserve">22</w:t>
        </w:r>
      </w:hyperlink>
      <w:r>
        <w:t xml:space="preserve">].</w:t>
      </w:r>
      <w:r>
        <w:t xml:space="preserve"> </w:t>
      </w:r>
      <w:r>
        <w:t xml:space="preserve">These methods flag that a trip is anomalous; they do not assign a fuel anomaly to a driver-versus</w:t>
      </w:r>
      <w:r>
        <w:t xml:space="preserve"> </w:t>
      </w:r>
      <w:r>
        <w:t xml:space="preserve">-vehicle cause. Closest in spirit, recent work detects anomalies in OBD snapshots and adds a</w:t>
      </w:r>
      <w:r>
        <w:t xml:space="preserve"> </w:t>
      </w:r>
      <w:r>
        <w:t xml:space="preserve">SHAP-based cause investigation with synthetically generated anomalies [</w:t>
      </w:r>
      <w:hyperlink w:anchor="r24">
        <w:r>
          <w:rPr>
            <w:rStyle w:val="Hyperlink"/>
          </w:rPr>
          <w:t xml:space="preserve">24</w:t>
        </w:r>
      </w:hyperlink>
      <w:r>
        <w:t xml:space="preserve">]; it</w:t>
      </w:r>
      <w:r>
        <w:t xml:space="preserve"> </w:t>
      </w:r>
      <w:r>
        <w:t xml:space="preserve">investigates which features drive a flagged anomaly, whereas we attribute the competing driver-versus</w:t>
      </w:r>
      <w:r>
        <w:t xml:space="preserve"> </w:t>
      </w:r>
      <w:r>
        <w:t xml:space="preserve">-vehicle cause across heterogeneous datasets that carry no joint naturalistic cause labels. Fuel theft</w:t>
      </w:r>
      <w:r>
        <w:t xml:space="preserve"> </w:t>
      </w:r>
      <w:r>
        <w:t xml:space="preserve">or leakage is a related but distinct anomaly, detected as an abrupt change point [</w:t>
      </w:r>
      <w:hyperlink w:anchor="r10">
        <w:r>
          <w:rPr>
            <w:rStyle w:val="Hyperlink"/>
          </w:rPr>
          <w:t xml:space="preserve">10</w:t>
        </w:r>
      </w:hyperlink>
      <w:r>
        <w:t xml:space="preserve">];</w:t>
      </w:r>
      <w:r>
        <w:t xml:space="preserve"> </w:t>
      </w:r>
      <w:r>
        <w:t xml:space="preserve">that is a sudden step in fuel level, whereas the excess we attribute is a sustained efficiency shift.</w:t>
      </w:r>
    </w:p>
    <w:bookmarkEnd w:id="30"/>
    <w:bookmarkStart w:id="31" w:name="X68c278e63560ab04ce737abc47e3b1b4ad4808b"/>
    <w:p>
      <w:pPr>
        <w:pStyle w:val="Heading3"/>
      </w:pPr>
      <w:r>
        <w:t xml:space="preserve">2.5 Explainable attribution and the nearest prior work</w:t>
      </w:r>
    </w:p>
    <w:p>
      <w:pPr>
        <w:pStyle w:val="FirstParagraph"/>
      </w:pPr>
      <w:r>
        <w:t xml:space="preserve">Feature-attribution methods such as SHAP [</w:t>
      </w:r>
      <w:hyperlink w:anchor="r23">
        <w:r>
          <w:rPr>
            <w:rStyle w:val="Hyperlink"/>
          </w:rPr>
          <w:t xml:space="preserve">23</w:t>
        </w:r>
      </w:hyperlink>
      <w:r>
        <w:t xml:space="preserve">] explain a model's output in terms of its input features, and counterfactual explanations state the minimal input change that would flip a decision [</w:t>
      </w:r>
      <w:hyperlink w:anchor="r48">
        <w:r>
          <w:rPr>
            <w:rStyle w:val="Hyperlink"/>
          </w:rPr>
          <w:t xml:space="preserve">48</w:t>
        </w:r>
      </w:hyperlink>
      <w:r>
        <w:t xml:space="preserve">]. The nearest prior work applies explainability to our exact problem: Barbado and</w:t>
      </w:r>
      <w:r>
        <w:t xml:space="preserve"> </w:t>
      </w:r>
      <w:r>
        <w:t xml:space="preserve">Corcho detect fuel-consumption anomalies on fleet telematics with interpretable feature relevance and</w:t>
      </w:r>
      <w:r>
        <w:t xml:space="preserve"> </w:t>
      </w:r>
      <w:r>
        <w:t xml:space="preserve">counterfactual recommendations [</w:t>
      </w:r>
      <w:hyperlink w:anchor="r3">
        <w:r>
          <w:rPr>
            <w:rStyle w:val="Hyperlink"/>
          </w:rPr>
          <w:t xml:space="preserve">3</w:t>
        </w:r>
      </w:hyperlink>
      <w:r>
        <w:t xml:space="preserve">]. Their method identifies which features co-occur</w:t>
      </w:r>
      <w:r>
        <w:t xml:space="preserve"> </w:t>
      </w:r>
      <w:r>
        <w:t xml:space="preserve">with an anomaly and what change would return an outlier to normal. It attributes an anomaly to</w:t>
      </w:r>
      <w:r>
        <w:t xml:space="preserve"> </w:t>
      </w:r>
      <w:r>
        <w:rPr>
          <w:i/>
          <w:iCs/>
        </w:rPr>
        <w:t xml:space="preserve">features</w:t>
      </w:r>
      <w:r>
        <w:t xml:space="preserve">, not to a</w:t>
      </w:r>
      <w:r>
        <w:t xml:space="preserve"> </w:t>
      </w:r>
      <w:r>
        <w:rPr>
          <w:i/>
          <w:iCs/>
        </w:rPr>
        <w:t xml:space="preserve">cause class</w:t>
      </w:r>
      <w:r>
        <w:t xml:space="preserve">: it does not say whether the excess is the driver or</w:t>
      </w:r>
      <w:r>
        <w:t xml:space="preserve"> </w:t>
      </w:r>
      <w:r>
        <w:t xml:space="preserve">the vehicle, and its feature relevances are not validated against an external ground truth for either</w:t>
      </w:r>
      <w:r>
        <w:t xml:space="preserve"> </w:t>
      </w:r>
      <w:r>
        <w:t xml:space="preserve">cause. Our signature-based decomposition is the increment: we group observables into two physically</w:t>
      </w:r>
      <w:r>
        <w:t xml:space="preserve"> </w:t>
      </w:r>
      <w:r>
        <w:t xml:space="preserve">motivated axes, validate each against an independent signal, and measure the resulting cause</w:t>
      </w:r>
      <w:r>
        <w:t xml:space="preserve"> </w:t>
      </w:r>
      <w:r>
        <w:t xml:space="preserve">attribution. Methodologically the setting is a form of weak supervision [</w:t>
      </w:r>
      <w:hyperlink w:anchor="r25">
        <w:r>
          <w:rPr>
            <w:rStyle w:val="Hyperlink"/>
          </w:rPr>
          <w:t xml:space="preserve">25</w:t>
        </w:r>
      </w:hyperlink>
      <w:r>
        <w:t xml:space="preserve">], drawing on transfer learning [</w:t>
      </w:r>
      <w:hyperlink w:anchor="r49">
        <w:r>
          <w:rPr>
            <w:rStyle w:val="Hyperlink"/>
          </w:rPr>
          <w:t xml:space="preserve">49</w:t>
        </w:r>
      </w:hyperlink>
      <w:r>
        <w:t xml:space="preserve">], multi-source domain adaptation [</w:t>
      </w:r>
      <w:hyperlink w:anchor="r50">
        <w:r>
          <w:rPr>
            <w:rStyle w:val="Hyperlink"/>
          </w:rPr>
          <w:t xml:space="preserve">50</w:t>
        </w:r>
      </w:hyperlink>
      <w:r>
        <w:t xml:space="preserve">], data-programming weak supervision [</w:t>
      </w:r>
      <w:hyperlink w:anchor="r51">
        <w:r>
          <w:rPr>
            <w:rStyle w:val="Hyperlink"/>
          </w:rPr>
          <w:t xml:space="preserve">51</w:t>
        </w:r>
      </w:hyperlink>
      <w:r>
        <w:t xml:space="preserve">], and mixture-of-experts evidence fusion [</w:t>
      </w:r>
      <w:hyperlink w:anchor="r52">
        <w:r>
          <w:rPr>
            <w:rStyle w:val="Hyperlink"/>
          </w:rPr>
          <w:t xml:space="preserve">52</w:t>
        </w:r>
      </w:hyperlink>
      <w:r>
        <w:t xml:space="preserve">]: the</w:t>
      </w:r>
      <w:r>
        <w:t xml:space="preserve"> </w:t>
      </w:r>
      <w:r>
        <w:t xml:space="preserve">target fleet carries the outcome but no cause labels, while each competing cause is labelled only in a</w:t>
      </w:r>
      <w:r>
        <w:t xml:space="preserve"> </w:t>
      </w:r>
      <w:r>
        <w:t xml:space="preserve">separate source domain with its own feature space, so cause-specific signatures must be learned from</w:t>
      </w:r>
      <w:r>
        <w:t xml:space="preserve"> </w:t>
      </w:r>
      <w:r>
        <w:t xml:space="preserve">the sources and combined on the target without joint supervision.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excess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Ranks features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Attributes</w:t>
            </w:r>
            <w:r>
              <w:br/>
            </w:r>
            <w:r>
              <w:t xml:space="preserve">driver vs vehicle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Externally</w:t>
            </w:r>
            <w:r>
              <w:br/>
            </w:r>
            <w:r>
              <w:t xml:space="preserve">validated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modelling + residual threshold [</w:t>
            </w:r>
            <w:hyperlink w:anchor="r4">
              <w:r>
                <w:rPr>
                  <w:rStyle w:val="Hyperlink"/>
                </w:rPr>
                <w:t xml:space="preserve">4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Eco-driving / behaviour scoring [</w:t>
            </w:r>
            <w:hyperlink w:anchor="r5">
              <w:r>
                <w:rPr>
                  <w:rStyle w:val="Hyperlink"/>
                </w:rPr>
                <w:t xml:space="preserve">5</w:t>
              </w:r>
            </w:hyperlink>
            <w:r>
              <w:t xml:space="preserve">,</w:t>
            </w:r>
            <w:hyperlink w:anchor="r12">
              <w:r>
                <w:rPr>
                  <w:rStyle w:val="Hyperlink"/>
                </w:rPr>
                <w:t xml:space="preserve">12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Engine-fault diagnosis [</w:t>
            </w:r>
            <w:hyperlink w:anchor="r16">
              <w:r>
                <w:rPr>
                  <w:rStyle w:val="Hyperlink"/>
                </w:rPr>
                <w:t xml:space="preserve">16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Anomaly detection + feature relevance [</w:t>
            </w:r>
            <w:hyperlink w:anchor="r3">
              <w:r>
                <w:rPr>
                  <w:rStyle w:val="Hyperlink"/>
                </w:rPr>
                <w:t xml:space="preserve">3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 (measured, 0.79–0.93)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Positioning against the four adjacent literatures and the nearest prior</w:t>
      </w:r>
      <w:r>
        <w:t xml:space="preserve"> </w:t>
      </w:r>
      <w:r>
        <w:t xml:space="preserve">work. Only the present method both attributes the driver-versus-vehicle cause and validates its</w:t>
      </w:r>
      <w:r>
        <w:t xml:space="preserve"> </w:t>
      </w:r>
      <w:r>
        <w:t xml:space="preserve">components externally.</w:t>
      </w:r>
    </w:p>
    <w:bookmarkEnd w:id="31"/>
    <w:bookmarkEnd w:id="32"/>
    <w:bookmarkStart w:id="37" w:name="data"/>
    <w:p>
      <w:pPr>
        <w:pStyle w:val="Heading2"/>
      </w:pPr>
      <w:r>
        <w:t xml:space="preserve">3. Data</w:t>
      </w:r>
    </w:p>
    <w:bookmarkStart w:id="33" w:name="vehicle-energy-dataset-driver-arm"/>
    <w:p>
      <w:pPr>
        <w:pStyle w:val="Heading3"/>
      </w:pPr>
      <w:r>
        <w:t xml:space="preserve">3.1 Vehicle Energy Dataset (driver arm)</w:t>
      </w:r>
    </w:p>
    <w:p>
      <w:pPr>
        <w:pStyle w:val="FirstParagraph"/>
      </w:pPr>
      <w:r>
        <w:t xml:space="preserve">VED [</w:t>
      </w:r>
      <w:hyperlink w:anchor="r1">
        <w:r>
          <w:rPr>
            <w:rStyle w:val="Hyperlink"/>
          </w:rPr>
          <w:t xml:space="preserve">1</w:t>
        </w:r>
      </w:hyperlink>
      <w:r>
        <w:t xml:space="preserve">] is a naturalistic driving dataset collected in Ann Arbor, Michigan from</w:t>
      </w:r>
      <w:r>
        <w:t xml:space="preserve"> </w:t>
      </w:r>
      <w:r>
        <w:t xml:space="preserve">November 2017 to November 2018, comprising 383 personal vehicles logged over roughly 374,000 miles</w:t>
      </w:r>
      <w:r>
        <w:t xml:space="preserve"> </w:t>
      </w:r>
      <w:r>
        <w:t xml:space="preserve">through OBD-II loggers, with synchronized GPS trajectories and engine channels. Each record carries a</w:t>
      </w:r>
      <w:r>
        <w:t xml:space="preserve"> </w:t>
      </w:r>
      <w:r>
        <w:t xml:space="preserve">timestamp, latitude and longitude, vehicle speed, mass air-flow, engine RPM, absolute load, outside</w:t>
      </w:r>
      <w:r>
        <w:t xml:space="preserve"> </w:t>
      </w:r>
      <w:r>
        <w:t xml:space="preserve">air temperature, auxiliary power, and, for gasoline vehicles, the short- and long-term fuel trims;</w:t>
      </w:r>
      <w:r>
        <w:t xml:space="preserve"> </w:t>
      </w:r>
      <w:r>
        <w:t xml:space="preserve">records are keyed by a unique vehicle and trip identifier. We restrict the analysis to the 264</w:t>
      </w:r>
      <w:r>
        <w:t xml:space="preserve"> </w:t>
      </w:r>
      <w:r>
        <w:t xml:space="preserve">internal-combustion (gasoline) vehicles, excluding hybrids and electric vehicles whose fuel path is</w:t>
      </w:r>
      <w:r>
        <w:t xml:space="preserve"> </w:t>
      </w:r>
      <w:r>
        <w:t xml:space="preserve">confounded by the electric drive. The dedicated OBD fuel-rate parameter is essentially unpopulated in</w:t>
      </w:r>
      <w:r>
        <w:t xml:space="preserve"> </w:t>
      </w:r>
      <w:r>
        <w:t xml:space="preserve">VED, so fuel is derived from mass air-flow (Eq. 1), the standard practice for this dataset. After</w:t>
      </w:r>
      <w:r>
        <w:t xml:space="preserve"> </w:t>
      </w:r>
      <w:r>
        <w:t xml:space="preserve">resampling each trip to a uniform 1 Hz grid and applying quality filters (a minimum trip distance of</w:t>
      </w:r>
      <w:r>
        <w:t xml:space="preserve"> </w:t>
      </w:r>
      <w:r>
        <w:t xml:space="preserve">0.5 km, a minimum duration of 60 s, and at least 50% valid mass air-flow coverage), the pipeline</w:t>
      </w:r>
      <w:r>
        <w:t xml:space="preserve"> </w:t>
      </w:r>
      <w:r>
        <w:t xml:space="preserve">yields</w:t>
      </w:r>
      <w:r>
        <w:t xml:space="preserve"> </w:t>
      </w:r>
      <w:r>
        <w:rPr>
          <w:b/>
          <w:bCs/>
        </w:rPr>
        <w:t xml:space="preserve">14,460 trips across 197 vehicles</w:t>
      </w:r>
      <w:r>
        <w:t xml:space="preserve">. The variance decomposition and attribution analyses</w:t>
      </w:r>
      <w:r>
        <w:t xml:space="preserve"> </w:t>
      </w:r>
      <w:r>
        <w:t xml:space="preserve">further clip the fuel target at its 1st and 99th percentiles to remove sensor glitches, leaving</w:t>
      </w:r>
      <w:r>
        <w:t xml:space="preserve"> </w:t>
      </w:r>
      <w:r>
        <w:t xml:space="preserve">14,170 trips across 194 vehicles; the semi-synthetic study restricts to the 139 vehicles with at least</w:t>
      </w:r>
      <w:r>
        <w:t xml:space="preserve"> </w:t>
      </w:r>
      <w:r>
        <w:t xml:space="preserve">15 trips carrying usable fuel-trim coverage, so that per-vehicle baselines are stable. Median trip</w:t>
      </w:r>
      <w:r>
        <w:t xml:space="preserve"> </w:t>
      </w:r>
      <w:r>
        <w:t xml:space="preserve">length is about 7 minutes.</w:t>
      </w:r>
    </w:p>
    <w:bookmarkEnd w:id="33"/>
    <w:bookmarkStart w:id="34" w:name="enginefaultdb-malfunction-arm"/>
    <w:p>
      <w:pPr>
        <w:pStyle w:val="Heading3"/>
      </w:pPr>
      <w:r>
        <w:t xml:space="preserve">3.2 EngineFaultDB (malfunction arm)</w:t>
      </w:r>
    </w:p>
    <w:p>
      <w:pPr>
        <w:pStyle w:val="FirstParagraph"/>
      </w:pPr>
      <w:r>
        <w:t xml:space="preserve">EngineFaultDB [</w:t>
      </w:r>
      <w:hyperlink w:anchor="r2">
        <w:r>
          <w:rPr>
            <w:rStyle w:val="Hyperlink"/>
          </w:rPr>
          <w:t xml:space="preserve">2</w:t>
        </w:r>
      </w:hyperlink>
      <w:r>
        <w:t xml:space="preserve">] is a controlled test-bench dataset built around a C14NE</w:t>
      </w:r>
      <w:r>
        <w:t xml:space="preserve"> </w:t>
      </w:r>
      <w:r>
        <w:t xml:space="preserve">spark-ignition engine, with 55,999 records over 14 variables: manifold absolute pressure, throttle</w:t>
      </w:r>
      <w:r>
        <w:t xml:space="preserve"> </w:t>
      </w:r>
      <w:r>
        <w:t xml:space="preserve">position, torque, power, RPM, vehicle speed, exhaust concentrations of carbon monoxide, hydrocarbons,</w:t>
      </w:r>
      <w:r>
        <w:t xml:space="preserve"> </w:t>
      </w:r>
      <w:r>
        <w:t xml:space="preserve">carbon dioxide and oxygen, the air-fuel equivalence ratio lambda, the air-fuel ratio, and fuel</w:t>
      </w:r>
      <w:r>
        <w:t xml:space="preserve"> </w:t>
      </w:r>
      <w:r>
        <w:t xml:space="preserve">consumption in both litres per hour and litres per 100 km. A fault label takes four values: 0 normal,</w:t>
      </w:r>
      <w:r>
        <w:t xml:space="preserve"> </w:t>
      </w:r>
      <w:r>
        <w:t xml:space="preserve">1 rich mixture, 2 lean mixture, and 3 low-voltage ignition. The rich-mixture label is confidently</w:t>
      </w:r>
      <w:r>
        <w:t xml:space="preserve"> </w:t>
      </w:r>
      <w:r>
        <w:t xml:space="preserve">identified from its emission signature (elevated carbon monoxide); the lean-versus-ignition mapping</w:t>
      </w:r>
      <w:r>
        <w:t xml:space="preserve"> </w:t>
      </w:r>
      <w:r>
        <w:t xml:space="preserve">of labels 2 and 3 is taken from the source paper's listing order, as the definitive mapping resides in</w:t>
      </w:r>
      <w:r>
        <w:t xml:space="preserve"> </w:t>
      </w:r>
      <w:r>
        <w:t xml:space="preserve">a table published only as an image. This uncertainty does not affect our result, which concerns the</w:t>
      </w:r>
      <w:r>
        <w:t xml:space="preserve"> </w:t>
      </w:r>
      <w:r>
        <w:t xml:space="preserve">rich-mixture fault. The bench carries no driver context, so it grounds the malfunction fuel signature</w:t>
      </w:r>
      <w:r>
        <w:t xml:space="preserve"> </w:t>
      </w:r>
      <w:r>
        <w:t xml:space="preserve">but not driving behaviour.</w:t>
      </w:r>
    </w:p>
    <w:bookmarkEnd w:id="34"/>
    <w:bookmarkStart w:id="35" w:name="driving-events-behaviour-validation"/>
    <w:p>
      <w:pPr>
        <w:pStyle w:val="Heading3"/>
      </w:pPr>
      <w:r>
        <w:t xml:space="preserve">3.3 Driving Events (behaviour validation)</w:t>
      </w:r>
    </w:p>
    <w:p>
      <w:pPr>
        <w:pStyle w:val="FirstParagraph"/>
      </w:pPr>
      <w:r>
        <w:t xml:space="preserve">The Driving Events dataset [</w:t>
      </w:r>
      <w:hyperlink w:anchor="r6">
        <w:r>
          <w:rPr>
            <w:rStyle w:val="Hyperlink"/>
          </w:rPr>
          <w:t xml:space="preserve">6</w:t>
        </w:r>
      </w:hyperlink>
      <w:r>
        <w:t xml:space="preserve">] provides smartphone inertial recordings from three</w:t>
      </w:r>
      <w:r>
        <w:t xml:space="preserve"> </w:t>
      </w:r>
      <w:r>
        <w:t xml:space="preserve">drivers, with a linear-acceleration stream at approximately 400 Hz and a companion file labelling</w:t>
      </w:r>
      <w:r>
        <w:t xml:space="preserve"> </w:t>
      </w:r>
      <w:r>
        <w:t xml:space="preserve">time windows as aggressive manoeuvres (right or left turn, braking, acceleration, lane change) or</w:t>
      </w:r>
      <w:r>
        <w:t xml:space="preserve"> </w:t>
      </w:r>
      <w:r>
        <w:t xml:space="preserve">non-aggressive events. After joining sensor rows to labelled windows we obtain</w:t>
      </w:r>
      <w:r>
        <w:t xml:space="preserve"> </w:t>
      </w:r>
      <w:r>
        <w:rPr>
          <w:b/>
          <w:bCs/>
        </w:rPr>
        <w:t xml:space="preserve">169 events, 143</w:t>
      </w:r>
      <w:r>
        <w:rPr>
          <w:b/>
          <w:bCs/>
        </w:rPr>
        <w:t xml:space="preserve"> </w:t>
      </w:r>
      <w:r>
        <w:rPr>
          <w:b/>
          <w:bCs/>
        </w:rPr>
        <w:t xml:space="preserve">aggressive and 26 non-aggressive</w:t>
      </w:r>
      <w:r>
        <w:t xml:space="preserve">. Two properties matter for interpretation and are stated up</w:t>
      </w:r>
      <w:r>
        <w:t xml:space="preserve"> </w:t>
      </w:r>
      <w:r>
        <w:t xml:space="preserve">front: the sensing regime differs from VED (400 Hz smartphone inertial versus 1 Hz OBD kinematics),</w:t>
      </w:r>
      <w:r>
        <w:t xml:space="preserve"> </w:t>
      </w:r>
      <w:r>
        <w:t xml:space="preserve">and the class balance is skewed toward aggressive events.</w:t>
      </w:r>
    </w:p>
    <w:bookmarkEnd w:id="35"/>
    <w:bookmarkStart w:id="36" w:name="the-joint-data-gap"/>
    <w:p>
      <w:pPr>
        <w:pStyle w:val="Heading3"/>
      </w:pPr>
      <w:r>
        <w:t xml:space="preserve">3.4 The joint-data gap</w:t>
      </w:r>
    </w:p>
    <w:p>
      <w:pPr>
        <w:pStyle w:val="FirstParagraph"/>
      </w:pPr>
      <w:r>
        <w:t xml:space="preserve">No public dataset carries fuel consumption, mechanical-fault labels, and driver behaviour jointly,</w:t>
      </w:r>
      <w:r>
        <w:t xml:space="preserve"> </w:t>
      </w:r>
      <w:r>
        <w:t xml:space="preserve">which is precisely what a single-dataset attribution study would need. Our search of the candidates</w:t>
      </w:r>
      <w:r>
        <w:t xml:space="preserve"> </w:t>
      </w:r>
      <w:r>
        <w:t xml:space="preserve">substantiates this. EngineAD pairs a real-fleet fuel-rate channel with technician fault labels but is</w:t>
      </w:r>
      <w:r>
        <w:t xml:space="preserve"> </w:t>
      </w:r>
      <w:r>
        <w:t xml:space="preserve">released as eight principal components, so the raw fuel signal is not recoverable, and access is</w:t>
      </w:r>
      <w:r>
        <w:t xml:space="preserve"> </w:t>
      </w:r>
      <w:r>
        <w:t xml:space="preserve">gated. The diesel-fault dataset DEFault carries fault labels but no fuel-consumption channel, only</w:t>
      </w:r>
      <w:r>
        <w:t xml:space="preserve"> </w:t>
      </w:r>
      <w:r>
        <w:t xml:space="preserve">in-cylinder pressure and vibration. SCANIA Component X provides real heavy-truck maintenance records</w:t>
      </w:r>
      <w:r>
        <w:t xml:space="preserve"> </w:t>
      </w:r>
      <w:r>
        <w:t xml:space="preserve">but fully anonymized signals with no identifiable fuel variable, and the NASA C-MAPSS prognostics</w:t>
      </w:r>
      <w:r>
        <w:t xml:space="preserve"> </w:t>
      </w:r>
      <w:r>
        <w:t xml:space="preserve">benchmark is a simulated turbofan with no real malfunction and no driver context. EngineFaultDB is the</w:t>
      </w:r>
      <w:r>
        <w:t xml:space="preserve"> </w:t>
      </w:r>
      <w:r>
        <w:t xml:space="preserve">only openly downloadable dataset that pairs fuel consumption with fault labels, and it is a bench</w:t>
      </w:r>
      <w:r>
        <w:t xml:space="preserve"> </w:t>
      </w:r>
      <w:r>
        <w:t xml:space="preserve">without drivers. This documented gap (Table 2) is the reason for the two-arm design and the semi-synthetic bridge.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VED [</w:t>
            </w:r>
            <w:hyperlink w:anchor="r1">
              <w:r>
                <w:rPr>
                  <w:rStyle w:val="Hyperlink"/>
                </w:rPr>
                <w:t xml:space="preserve">1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fleet, 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 cars / 14,460 trips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EngineFaultDB [</w:t>
            </w:r>
            <w:hyperlink w:anchor="r2">
              <w:r>
                <w:rPr>
                  <w:rStyle w:val="Hyperlink"/>
                </w:rPr>
                <w:t xml:space="preserve">2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Malfunction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Labelled engine 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55,999 samples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Driving Events [</w:t>
            </w:r>
            <w:hyperlink w:anchor="r6">
              <w:r>
                <w:rPr>
                  <w:rStyle w:val="Hyperlink"/>
                </w:rPr>
                <w:t xml:space="preserve">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Aggressive vs normal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drivers / 169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UAH-DriveSet [</w:t>
            </w:r>
            <w:hyperlink w:anchor="r26">
              <w:r>
                <w:rPr>
                  <w:rStyle w:val="Hyperlink"/>
                </w:rPr>
                <w:t xml:space="preserve">26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 validation (1 Hz)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Normal/drowsy/aggressive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drivers / 940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use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The four public datasets, none of which carries fuel, fault, and</w:t>
      </w:r>
      <w:r>
        <w:t xml:space="preserve"> </w:t>
      </w:r>
      <w:r>
        <w:t xml:space="preserve">behaviour ground truth together.</w:t>
      </w:r>
    </w:p>
    <w:bookmarkEnd w:id="36"/>
    <w:bookmarkEnd w:id="37"/>
    <w:bookmarkStart w:id="45" w:name="method"/>
    <w:p>
      <w:pPr>
        <w:pStyle w:val="Heading2"/>
      </w:pPr>
      <w:r>
        <w:t xml:space="preserve">4. Method</w:t>
      </w:r>
    </w:p>
    <w:bookmarkStart w:id="38" w:name="Xfc73d18645ee32fc51755c7ed67c4d9b6b5f9ff"/>
    <w:p>
      <w:pPr>
        <w:pStyle w:val="Heading3"/>
      </w:pPr>
      <w:r>
        <w:t xml:space="preserve">4.1 Problem formulation: attribution under missing joint cause labels</w:t>
      </w:r>
    </w:p>
    <w:p>
      <w:pPr>
        <w:pStyle w:val="FirstParagraph"/>
      </w:pPr>
      <w:r>
        <w:t xml:space="preserve">We state the task abstractly, because the difficulty is general and not specific to fuel. A target</w:t>
      </w:r>
      <w:r>
        <w:t xml:space="preserve"> </w:t>
      </w:r>
      <w:r>
        <w:t xml:space="preserve">domain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contains an engineering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telemetry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labels for the</w:t>
      </w:r>
      <w:r>
        <w:t xml:space="preserve"> </w:t>
      </w:r>
      <w:r>
        <w:t xml:space="preserve">competing causes. Two competing causes, A (driver behaviour) and B (a vehicle fault), are each</w:t>
      </w:r>
      <w:r>
        <w:t xml:space="preserve"> </w:t>
      </w:r>
      <w:r>
        <w:t xml:space="preserve">labelled only in a separate source domain,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, which do not share the target's raw</w:t>
      </w:r>
      <w:r>
        <w:t xml:space="preserve"> </w:t>
      </w:r>
      <w:r>
        <w:t xml:space="preserve">feature space. The goal is to attribute a target-domain excess to A or B, or to abstain, without any</w:t>
      </w:r>
      <w:r>
        <w:t xml:space="preserve"> </w:t>
      </w:r>
      <w:r>
        <w:t xml:space="preserve">jointly labelled example ever existing. Domain knowledge supplies, for each cause, a transferable</w:t>
      </w:r>
      <w:r>
        <w:t xml:space="preserve"> </w:t>
      </w:r>
      <w:r>
        <w:rPr>
          <w:i/>
          <w:iCs/>
        </w:rPr>
        <w:t xml:space="preserve">signature</w:t>
      </w:r>
      <w:r>
        <w:t xml:space="preserve">: a scoring function of the observables that rises when that cause is present. The</w:t>
      </w:r>
      <w:r>
        <w:t xml:space="preserve"> </w:t>
      </w:r>
      <w:r>
        <w:t xml:space="preserve">method (Algorithm 1) fits an expected-outcome model to define excess on the target, learns each</w:t>
      </w:r>
      <w:r>
        <w:t xml:space="preserve"> </w:t>
      </w:r>
      <w:r>
        <w:t xml:space="preserve">signature in its own source domain and freezes it, places the two signatures on a common standardized</w:t>
      </w:r>
      <w:r>
        <w:t xml:space="preserve"> </w:t>
      </w:r>
      <w:r>
        <w:t xml:space="preserve">scale on the target, validates each against its source, and attributes by comparing the two frozen</w:t>
      </w:r>
      <w:r>
        <w:t xml:space="preserve"> </w:t>
      </w:r>
      <w:r>
        <w:t xml:space="preserve">scores with an abstention margin. The remaining subsections instantiate each step for excess fuel; the</w:t>
      </w:r>
      <w:r>
        <w:t xml:space="preserve"> </w:t>
      </w:r>
      <w:r>
        <w:t xml:space="preserve">formulation itself is a form of weak supervision across heterogeneous sources</w:t>
      </w:r>
      <w:r>
        <w:t xml:space="preserve"> </w:t>
      </w:r>
      <w:r>
        <w:t xml:space="preserve">[</w:t>
      </w:r>
      <w:hyperlink w:anchor="r25">
        <w:r>
          <w:rPr>
            <w:rStyle w:val="Hyperlink"/>
          </w:rPr>
          <w:t xml:space="preserve">25</w:t>
        </w:r>
      </w:hyperlink>
      <w:r>
        <w:t xml:space="preserve">].</w:t>
      </w:r>
    </w:p>
    <w:p>
      <w:pPr>
        <w:pStyle w:val="BodyText"/>
      </w:pPr>
      <w:r>
        <w:t xml:space="preserve">Algorithm 1 — Multi-source signature attribution under missing joint labels</w:t>
      </w:r>
    </w:p>
    <w:p>
      <w:pPr>
        <w:pStyle w:val="BodyText"/>
      </w:pPr>
      <w:r>
        <w:rPr>
          <w:b/>
          <w:bCs/>
        </w:rPr>
        <w:t xml:space="preserve">Input:</w:t>
      </w:r>
      <w:r>
        <w:t xml:space="preserve"> </w:t>
      </w:r>
      <w:r>
        <w:t xml:space="preserve">target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}</m:t>
        </m:r>
      </m:oMath>
      <w:r>
        <w:t xml:space="preserve"> </w:t>
      </w:r>
      <w:r>
        <w:t xml:space="preserve">(no cause labels); sources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labelling causes A, B;</w:t>
      </w:r>
      <w:r>
        <w:t xml:space="preserve"> </w:t>
      </w:r>
      <w:r>
        <w:t xml:space="preserve">signature families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; abstention margin</w:t>
      </w:r>
      <w:r>
        <w:t xml:space="preserve"> </w:t>
      </w:r>
      <m:oMath>
        <m:r>
          <m:t>τ</m:t>
        </m:r>
      </m:oMath>
      <w:r>
        <w:t xml:space="preserve">.</w:t>
      </w:r>
      <w:r>
        <w:br/>
      </w:r>
      <w:r>
        <w:rPr>
          <w:b/>
          <w:bCs/>
        </w:rPr>
        <w:t xml:space="preserve">Output:</w:t>
      </w:r>
      <w:r>
        <w:t xml:space="preserve"> </w:t>
      </w:r>
      <w:r>
        <w:t xml:space="preserve">per-unit cause</w:t>
      </w:r>
      <w:r>
        <w:t xml:space="preserve"> </w:t>
      </w:r>
      <m:oMath>
        <m:r>
          <m:rPr>
            <m:sty m:val="p"/>
          </m:rPr>
          <m:t>∈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rPr>
            <m:nor/>
            <m:sty m:val="p"/>
          </m:rPr>
          <m:t>abstain</m:t>
        </m:r>
        <m:r>
          <m:rPr>
            <m:sty m:val="p"/>
          </m:rPr>
          <m:t>}</m:t>
        </m:r>
      </m:oMath>
      <w:r>
        <w:t xml:space="preserve"> </w:t>
      </w:r>
      <w:r>
        <w:t xml:space="preserve">with a confidence.</w:t>
      </w:r>
    </w:p>
    <w:p>
      <w:pPr>
        <w:pStyle w:val="Compact"/>
        <w:numPr>
          <w:ilvl w:val="0"/>
          <w:numId w:val="1002"/>
        </w:numPr>
      </w:pPr>
      <w:r>
        <w:t xml:space="preserve">Fit expected-outcome model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(grouped OOF); excess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M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 grouped out-of-fold.</w:t>
      </w:r>
    </w:p>
    <w:p>
      <w:pPr>
        <w:pStyle w:val="Compact"/>
        <w:numPr>
          <w:ilvl w:val="0"/>
          <w:numId w:val="1002"/>
        </w:numPr>
      </w:pPr>
      <w:r>
        <w:t xml:space="preserve">Learn signature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;</w:t>
      </w:r>
      <w:r>
        <w:t xml:space="preserve"> </w:t>
      </w:r>
      <w:r>
        <w:rPr>
          <w:b/>
          <w:bCs/>
        </w:rPr>
        <w:t xml:space="preserve">freeze</w:t>
      </w:r>
      <w:r>
        <w:t xml:space="preserve"> </w:t>
      </w:r>
      <w:r>
        <w:t xml:space="preserve">both (no target labels used).</w:t>
      </w:r>
    </w:p>
    <w:p>
      <w:pPr>
        <w:pStyle w:val="Compact"/>
        <w:numPr>
          <w:ilvl w:val="0"/>
          <w:numId w:val="1002"/>
        </w:numPr>
      </w:pPr>
      <w:r>
        <w:t xml:space="preserve">Score each target unit and standardize within the target: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,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</m:oMath>
      <w:r>
        <w:t xml:space="preserve"> </w:t>
      </w:r>
      <w:r>
        <w:t xml:space="preserve">(unsupervised).</w:t>
      </w:r>
    </w:p>
    <w:p>
      <w:pPr>
        <w:pStyle w:val="Compact"/>
        <w:numPr>
          <w:ilvl w:val="0"/>
          <w:numId w:val="1002"/>
        </w:numPr>
      </w:pPr>
      <w:r>
        <w:t xml:space="preserve">Validate: confirm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separates cause A in</w:t>
      </w:r>
      <w:r>
        <w:t xml:space="preserve"> </w:t>
      </w:r>
      <m:oMath>
        <m:sSub>
          <m:e>
            <m:r>
              <m:t>D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separates cause B in</w:t>
      </w:r>
      <w: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Attribute: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if</w:t>
      </w:r>
      <w:r>
        <w:t xml:space="preserve"> </w:t>
      </w:r>
      <m:oMath>
        <m:sSubSup>
          <m:e>
            <m:r>
              <m:t>z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−</m:t>
        </m:r>
        <m:sSubSup>
          <m:e>
            <m:r>
              <m:t>z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&gt;</m:t>
        </m:r>
        <m:r>
          <m:t>τ</m:t>
        </m:r>
      </m:oMath>
      <w:r>
        <w:t xml:space="preserve">; else</w:t>
      </w:r>
      <w:r>
        <w:t xml:space="preserve"> </w:t>
      </w:r>
      <w:r>
        <w:rPr>
          <w:b/>
          <w:bCs/>
        </w:rPr>
        <w:t xml:space="preserve">abstain</w:t>
      </w:r>
      <w:r>
        <w:t xml:space="preserve">.</w:t>
      </w:r>
      <w:r>
        <w:t xml:space="preserve"> </w:t>
      </w:r>
      <w:r>
        <w:t xml:space="preserve">Confidence</w:t>
      </w:r>
      <w:r>
        <w:t xml:space="preserve"> </w:t>
      </w:r>
      <m:oMath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A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z</m:t>
                </m:r>
              </m:e>
              <m:sub>
                <m:r>
                  <m:t>i</m:t>
                </m:r>
              </m:sub>
              <m:sup>
                <m:r>
                  <m:t>B</m:t>
                </m:r>
              </m:sup>
            </m:sSubSup>
          </m:e>
        </m:d>
      </m:oMath>
      <w:r>
        <w:t xml:space="preserve">.</w:t>
      </w:r>
    </w:p>
    <w:p>
      <w:pPr>
        <w:pStyle w:val="FirstParagraph"/>
      </w:pPr>
      <w:r>
        <w:t xml:space="preserve">For excess fuel,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expected-fuel model (Section 4.3), cause A is aggressive driving with a kinematic signature validated on labelled driving (Section 6.3), and cause B is a rich-mixture fault with a fueling/combustion signature validated on the engine bench (Section 7); in the notation of Section 4.6,</w:t>
      </w:r>
      <w:r>
        <w:t xml:space="preserve"> </w:t>
      </w:r>
      <m:oMath>
        <m:sSup>
          <m:e>
            <m:r>
              <m:t>z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. The frozen attribution</w:t>
      </w:r>
      <w:r>
        <w:t xml:space="preserve"> </w:t>
      </w:r>
      <w:r>
        <w:t xml:space="preserve">and its abstention behaviour are evaluated in Section 8.4.</w:t>
      </w:r>
    </w:p>
    <w:bookmarkEnd w:id="38"/>
    <w:bookmarkStart w:id="39" w:name="fuel-target"/>
    <w:p>
      <w:pPr>
        <w:pStyle w:val="Heading3"/>
      </w:pPr>
      <w:r>
        <w:t xml:space="preserve">4.2 Fuel target</w:t>
      </w:r>
    </w:p>
    <w:p>
      <w:pPr>
        <w:pStyle w:val="FirstParagraph"/>
      </w:pPr>
      <w:r>
        <w:t xml:space="preserve">Because the OBD fuel-rate parameter is unpopulated in VED, we derive the instantaneous fuel rate</w:t>
      </w:r>
      <w:r>
        <w:t xml:space="preserve"> </w:t>
      </w:r>
      <w:r>
        <w:t xml:space="preserve">from mass air-flow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m</m:t>
                </m:r>
              </m:e>
            </m:acc>
          </m:e>
          <m:sub>
            <m:r>
              <m:rPr>
                <m:nor/>
                <m:sty m:val="p"/>
              </m:rPr>
              <m:t>air</m:t>
            </m:r>
          </m:sub>
        </m:sSub>
      </m:oMath>
      <w:r>
        <w:t xml:space="preserve"> </w:t>
      </w:r>
      <w:r>
        <w:t xml:space="preserve">(g/s) assuming a stoichiometric gasoline air-fuel ratio of</w:t>
      </w:r>
      <w:r>
        <w:t xml:space="preserve"> </w:t>
      </w:r>
      <w:r>
        <w:t xml:space="preserve">14.7 and a fuel density of 745 g/L,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r>
            <m:t> 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nor/>
                  <m:sty m:val="p"/>
                </m:rPr>
                <m:t>L/h</m:t>
              </m:r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m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air</m:t>
                  </m:r>
                </m:sub>
              </m:sSub>
            </m:num>
            <m:den>
              <m:r>
                <m:t>14.7</m:t>
              </m:r>
              <m:r>
                <m:rPr>
                  <m:sty m:val="p"/>
                </m:rPr>
                <m:t>×</m:t>
              </m:r>
              <m:r>
                <m:t>745</m:t>
              </m:r>
            </m:den>
          </m:f>
          <m:r>
            <m:rPr>
              <m:sty m:val="p"/>
            </m:rPr>
            <m:t>×</m:t>
          </m:r>
          <m:r>
            <m:t>3600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integrate over the 1 Hz trip grid, normalizing by trip distance to obtain the trip target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litres per 100 km. For the robustness analysis of Section 8.5 we also form a trim-corrected</w:t>
      </w:r>
      <w:r>
        <w:t xml:space="preserve"> </w:t>
      </w:r>
      <w:r>
        <w:t xml:space="preserve">target that restores the fuel the stoichiometric assumption ignores,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  <m:sup>
              <m:r>
                <m:rPr>
                  <m:nor/>
                  <m:sty m:val="p"/>
                </m:rPr>
                <m:t>corr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acc>
                <m:accPr>
                  <m:chr m:val="̇"/>
                </m:accPr>
                <m:e>
                  <m:r>
                    <m:t>V</m:t>
                  </m:r>
                </m:e>
              </m:acc>
            </m:e>
            <m:sub>
              <m:r>
                <m:rPr>
                  <m:nor/>
                  <m:sty m:val="p"/>
                </m:rPr>
                <m:t>fuel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STFT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LTFT</m:t>
                  </m:r>
                </m:num>
                <m:den>
                  <m:r>
                    <m:t>100</m:t>
                  </m:r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STFT and LTFT are the short- and long-term fuel trims in percent.</w:t>
      </w:r>
    </w:p>
    <w:bookmarkEnd w:id="39"/>
    <w:bookmarkStart w:id="40" w:name="expected-fuel-model-and-excess"/>
    <w:p>
      <w:pPr>
        <w:pStyle w:val="Heading3"/>
      </w:pPr>
      <w:r>
        <w:t xml:space="preserve">4.3 Expected-fuel model and excess</w:t>
      </w:r>
    </w:p>
    <w:p>
      <w:pPr>
        <w:pStyle w:val="FirstParagraph"/>
      </w:pPr>
      <w:r>
        <w:t xml:space="preserve">We predict trip fuel from a behaviour feature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beh</m:t>
            </m:r>
          </m:sup>
        </m:sSup>
      </m:oMath>
      <w:r>
        <w:t xml:space="preserve"> </w:t>
      </w:r>
      <w:r>
        <w:t xml:space="preserve">and a conditions block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env</m:t>
            </m:r>
          </m:sup>
        </m:sSup>
      </m:oMath>
      <w:r>
        <w:t xml:space="preserve"> </w:t>
      </w:r>
      <w:r>
        <w:t xml:space="preserve">(Table 3) with a gradient-boosted regression tree ensemble</w:t>
      </w:r>
      <w:r>
        <w:t xml:space="preserve"> </w:t>
      </w:r>
      <m:oMath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 trip excess as the out-of-fold residual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All predictions are out-of-fold under a GroupKFold split by vehicle, so no vehicle is ever scored by</w:t>
      </w:r>
      <w:r>
        <w:t xml:space="preserve"> </w:t>
      </w:r>
      <w:r>
        <w:t xml:space="preserve">a model that has seen any of its trips; this prevents the model from memorizing a vehicle's identity</w:t>
      </w:r>
      <w:r>
        <w:t xml:space="preserve"> </w:t>
      </w:r>
      <w:r>
        <w:t xml:space="preserve">and ensures the residual reflects deviation from the fleet, not from the vehicle itself. Behaviour</w:t>
      </w:r>
      <w:r>
        <w:t xml:space="preserve"> </w:t>
      </w:r>
      <w:r>
        <w:t xml:space="preserve">features include mean and dispersion of speed, mean positive acceleration and its 95th percentile,</w:t>
      </w:r>
      <w:r>
        <w:t xml:space="preserve"> </w:t>
      </w:r>
      <w:r>
        <w:t xml:space="preserve">jerk, harsh-acceleration and harsh-braking rates (events exceeding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, counted</w:t>
      </w:r>
      <w:r>
        <w:t xml:space="preserve"> </w:t>
      </w:r>
      <w:r>
        <w:t xml:space="preserve">per km), idle fraction (speed below 3 km/h), stops per km, highway fraction, and vehicle specific</w:t>
      </w:r>
      <w:r>
        <w:t xml:space="preserve"> </w:t>
      </w:r>
      <w:r>
        <w:t xml:space="preserve">power computed with zero road grade; conditions include outside air temperature, air-conditioning and</w:t>
      </w:r>
      <w:r>
        <w:t xml:space="preserve"> </w:t>
      </w:r>
      <w:r>
        <w:t xml:space="preserve">heater power, vehicle weight, distance, and duration.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speed mean, speed SD, speed p85, mean positive</w:t>
            </w:r>
            <w:r>
              <w:t xml:space="preserve"> </w:t>
            </w:r>
            <w:r>
              <w:t xml:space="preserve">acceleration, acceleration p95, deceleration p05, jerk RMS, harsh-accel/km, harsh-brake/km, idle</w:t>
            </w:r>
            <w:r>
              <w:t xml:space="preserve"> </w:t>
            </w:r>
            <w:r>
              <w:t xml:space="preserve">fraction, stops/km, highway fraction, vehicle specific 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Conditions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outside air temperature, AC power, heater power, weight,</w:t>
            </w:r>
            <w:r>
              <w:t xml:space="preserve"> </w:t>
            </w:r>
            <w:r>
              <w:t xml:space="preserve">distance,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short-term fuel trim, long-term fuel trim (VED); air-fuel ratio,</w:t>
            </w:r>
            <w:r>
              <w:t xml:space="preserve"> </w:t>
            </w:r>
            <w:r>
              <w:t xml:space="preserve">lambda, CO, HC (bench)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Feature blocks. Harsh events use a</w:t>
      </w:r>
      <w:r>
        <w:t xml:space="preserve"> </w:t>
      </w:r>
      <m:oMath>
        <m:r>
          <m:rPr>
            <m:sty m:val="p"/>
          </m:rPr>
          <m:t>±</m:t>
        </m:r>
        <m:r>
          <m:t>2.5</m:t>
        </m:r>
        <m:r>
          <m:t> </m:t>
        </m:r>
        <m:sSup>
          <m:e>
            <m:r>
              <m:rPr>
                <m:nor/>
                <m:sty m:val="p"/>
              </m:rPr>
              <m:t>m/s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threshold; idle is speed below 3 km/h. Engine-state channels (RPM, load) are deliberately excluded</w:t>
      </w:r>
      <w:r>
        <w:t xml:space="preserve"> </w:t>
      </w:r>
      <w:r>
        <w:t xml:space="preserve">from the expected-fuel model so that the residual is free to reflect vehicle condition.</w:t>
      </w:r>
    </w:p>
    <w:bookmarkEnd w:id="40"/>
    <w:bookmarkStart w:id="41" w:name="decomposition"/>
    <w:p>
      <w:pPr>
        <w:pStyle w:val="Heading3"/>
      </w:pPr>
      <w:r>
        <w:t xml:space="preserve">4.4 Decomposition</w:t>
      </w:r>
    </w:p>
    <w:p>
      <w:pPr>
        <w:pStyle w:val="FirstParagraph"/>
      </w:pPr>
      <w:r>
        <w:t xml:space="preserve">The persistent per-vehicle deviation, the</w:t>
      </w:r>
      <w:r>
        <w:t xml:space="preserve"> </w:t>
      </w:r>
      <w:r>
        <w:rPr>
          <w:i/>
          <w:iCs/>
        </w:rPr>
        <w:t xml:space="preserve">vehicle-baseline</w:t>
      </w:r>
      <w:r>
        <w:t xml:space="preserve">, is the mean out-of-fold</w:t>
      </w:r>
      <w:r>
        <w:t xml:space="preserve"> </w:t>
      </w:r>
      <w:r>
        <w:t xml:space="preserve">residual of vehicle</w:t>
      </w:r>
      <w:r>
        <w:t xml:space="preserve"> </w:t>
      </w:r>
      <m:oMath>
        <m:r>
          <m:t>j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behaviour component</w:t>
      </w:r>
      <w:r>
        <w:t xml:space="preserve"> </w:t>
      </w:r>
      <w:r>
        <w:t xml:space="preserve">of a trip is a counterfactual: the model's prediction for the</w:t>
      </w:r>
      <w:r>
        <w:t xml:space="preserve"> </w:t>
      </w:r>
      <w:r>
        <w:t xml:space="preserve">observed driving minus its prediction when the aggression features are set to a gentle reference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nor/>
                <m:sty m:val="p"/>
              </m:rPr>
              <m:t>ref</m:t>
            </m:r>
          </m:sup>
        </m:sSup>
      </m:oMath>
      <w:r>
        <w:t xml:space="preserve"> </w:t>
      </w:r>
      <w:r>
        <w:t xml:space="preserve">(the population 20th percentile of each aggression feature), holding conditions</w:t>
      </w:r>
      <w:r>
        <w:t xml:space="preserve"> </w:t>
      </w:r>
      <w:r>
        <w:t xml:space="preserve">fixed,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beh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−</m:t>
          </m:r>
          <m:r>
            <m:t>M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rPr>
                      <m:nor/>
                      <m:sty m:val="p"/>
                    </m:rPr>
                    <m:t>ref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nor/>
                      <m:sty m:val="p"/>
                    </m:rPr>
                    <m:t>env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size the components at the population level we decompose the variance of</w:t>
      </w:r>
      <w:r>
        <w:t xml:space="preserve"> </w:t>
      </w:r>
      <m:oMath>
        <m:r>
          <m:t>f</m:t>
        </m:r>
      </m:oMath>
      <w:r>
        <w:t xml:space="preserve">. With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 coefficient of determination of a conditions-only model and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that of the full</w:t>
      </w:r>
      <w:r>
        <w:t xml:space="preserve"> </w:t>
      </w:r>
      <w:r>
        <w:t xml:space="preserve">model, the unique (marginal) behaviour share is</w:t>
      </w:r>
      <w:r>
        <w:t xml:space="preserve"> </w:t>
      </w:r>
      <m:oMath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env</m:t>
            </m:r>
          </m:sub>
          <m:sup>
            <m:r>
              <m:t>2</m:t>
            </m:r>
          </m:sup>
        </m:sSubSup>
      </m:oMath>
      <w:r>
        <w:t xml:space="preserve">; the</w:t>
      </w:r>
      <w:r>
        <w:t xml:space="preserve"> </w:t>
      </w:r>
      <w:r>
        <w:t xml:space="preserve">vehicle-baseline share is the between-vehicle sum of squares of the residual expanded over trips,</w:t>
      </w:r>
      <w:r>
        <w:t xml:space="preserve"> </w:t>
      </w:r>
      <w:r>
        <w:t xml:space="preserve">divided by the total sum of squares,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veh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j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e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f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unexplained share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Sup>
          <m:e>
            <m:r>
              <m:t>R</m:t>
            </m:r>
          </m:e>
          <m:sub>
            <m:r>
              <m:rPr>
                <m:nor/>
                <m:sty m:val="p"/>
              </m:rPr>
              <m:t>full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rPr>
                <m:nor/>
                <m:sty m:val="p"/>
              </m:rPr>
              <m:t>veh</m:t>
            </m:r>
          </m:sub>
        </m:sSub>
      </m:oMath>
      <w:r>
        <w:t xml:space="preserve">; here</w:t>
      </w:r>
      <w:r>
        <w:t xml:space="preserve"> </w:t>
      </w:r>
      <m:oMath>
        <m:acc>
          <m:accPr>
            <m:chr m:val="‾"/>
          </m:accPr>
          <m:e>
            <m:r>
              <m:t>e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f</m:t>
            </m:r>
          </m:e>
        </m:acc>
      </m:oMath>
      <w:r>
        <w:t xml:space="preserve"> </w:t>
      </w:r>
      <w:r>
        <w:t xml:space="preserve">are the fleet-mean residual and fleet-mean trip fuel.</w:t>
      </w:r>
    </w:p>
    <w:bookmarkEnd w:id="41"/>
    <w:bookmarkStart w:id="42" w:name="the-two-axes-and-the-signature-contrast"/>
    <w:p>
      <w:pPr>
        <w:pStyle w:val="Heading3"/>
      </w:pPr>
      <w:r>
        <w:t xml:space="preserve">4.5 The two axes and the signature contrast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kinematic axis</w:t>
      </w:r>
      <w:r>
        <w:t xml:space="preserve"> </w:t>
      </w:r>
      <w:r>
        <w:t xml:space="preserve">summarizes transient aggression through the behaviour features above;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combustion axis</w:t>
      </w:r>
      <w:r>
        <w:t xml:space="preserve"> </w:t>
      </w:r>
      <w:r>
        <w:t xml:space="preserve">measures the deviation of the air-fuel ratio from stoichiometric. On the bench the axis is the air-fuel-ratio deviation directly. In VED the observable is the short- and long-term fuel trims, which are the engine control unit's feedback corrections to the base fuel schedule rather than a direct air-fuel-ratio measurement; we therefore treat the VED side as a fueling-correction signal,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nor/>
                <m:sty m:val="p"/>
              </m:rPr>
              <m:t>VED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STFT</m:t>
        </m:r>
        <m:r>
          <m:rPr>
            <m:sty m:val="p"/>
          </m:rPr>
          <m:t>+</m:t>
        </m:r>
        <m:r>
          <m:rPr>
            <m:nor/>
            <m:sty m:val="p"/>
          </m:rPr>
          <m:t>LTFT</m:t>
        </m:r>
      </m:oMath>
      <w:r>
        <w:t xml:space="preserve">, placed on a common percent-fuel-per-air scale with the bench,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c</m:t>
              </m:r>
            </m:e>
            <m:sup>
              <m:r>
                <m:rPr>
                  <m:nor/>
                  <m:sty m:val="p"/>
                </m:rPr>
                <m:t>bench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14.7</m:t>
                  </m:r>
                </m:num>
                <m:den>
                  <m:r>
                    <m:rPr>
                      <m:nor/>
                      <m:sty m:val="p"/>
                    </m:rPr>
                    <m:t>AFR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signature contrast regresses each excess on each axis, reporting the held-out coefficient of</w:t>
      </w:r>
      <w:r>
        <w:t xml:space="preserve"> </w:t>
      </w:r>
      <w:r>
        <w:t xml:space="preserve">determination. The informative comparison is whether the combustion axis, which by construction tracks</w:t>
      </w:r>
      <w:r>
        <w:t xml:space="preserve"> </w:t>
      </w:r>
      <w:r>
        <w:t xml:space="preserve">fault-caused excess, also tracks driver-caused excess; the claim is that it does not.</w:t>
      </w:r>
    </w:p>
    <w:bookmarkEnd w:id="42"/>
    <w:bookmarkStart w:id="43" w:name="semi-synthetic-attribution"/>
    <w:p>
      <w:pPr>
        <w:pStyle w:val="Heading3"/>
      </w:pPr>
      <w:r>
        <w:t xml:space="preserve">4.6 Semi-synthetic attribution</w:t>
      </w:r>
    </w:p>
    <w:p>
      <w:pPr>
        <w:pStyle w:val="FirstParagraph"/>
      </w:pPr>
      <w:r>
        <w:t xml:space="preserve">Because no real dataset labels a trip's excess by cause, we construct ground truth by injection. From</w:t>
      </w:r>
      <w:r>
        <w:t xml:space="preserve"> </w:t>
      </w:r>
      <w:r>
        <w:t xml:space="preserve">each real base trip we form a driver-caused and a fault-caused variant that raise fuel by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amount</w:t>
      </w:r>
      <w:r>
        <w:t xml:space="preserve"> </w:t>
      </w:r>
      <m:oMath>
        <m:r>
          <m:t>Δ</m:t>
        </m:r>
        <m:r>
          <m:t>f</m:t>
        </m:r>
      </m:oMath>
      <w:r>
        <w:t xml:space="preserve">, so that fuel magnitude carries no information about the cause. The</w:t>
      </w:r>
      <w:r>
        <w:t xml:space="preserve"> </w:t>
      </w:r>
      <w:r>
        <w:t xml:space="preserve">driver variant adds signal to the kinematic axis and leaves the combustion axis at its real value; the</w:t>
      </w:r>
      <w:r>
        <w:t xml:space="preserve"> </w:t>
      </w:r>
      <w:r>
        <w:t xml:space="preserve">fault variant adds signal to the combustion axis and leaves kinematics unchanged. The injected strength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expressed in units of the natural within-vehicle standard deviation of the axis, so that real</w:t>
      </w:r>
      <w:r>
        <w:t xml:space="preserve"> </w:t>
      </w:r>
      <w:r>
        <w:t xml:space="preserve">trip-to-trip variation supplies the confounding noise. Writing</w:t>
      </w:r>
      <w:r>
        <w:t xml:space="preserve"> </w:t>
      </w:r>
      <m:oMath>
        <m:sSup>
          <m:e>
            <m:r>
              <m:t>z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z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for the real</w:t>
      </w:r>
      <w:r>
        <w:t xml:space="preserve"> </w:t>
      </w:r>
      <w:r>
        <w:t xml:space="preserve">within-vehicle-standardized kinematic and combustion deviations,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driver: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fault:</m:t>
          </m:r>
          <m:r>
            <m:t> 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z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z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+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calibrate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the measured rich-mixture fault: its combustion shift of 3.0% fuel-per-air,</w:t>
      </w:r>
      <w:r>
        <w:t xml:space="preserve"> </w:t>
      </w:r>
      <w:r>
        <w:t xml:space="preserve">divided by the median within-vehicle long-term-trim standard deviation of 1.79%, gives</w:t>
      </w:r>
      <w:r>
        <w:t xml:space="preserve"> </w:t>
      </w:r>
      <m:oMath>
        <m:sSub>
          <m:e>
            <m:r>
              <m:t>S</m:t>
            </m:r>
          </m:e>
          <m:sub>
            <m:r>
              <m:rPr>
                <m:nor/>
                <m:sty m:val="p"/>
              </m:rPr>
              <m:t>bench</m:t>
            </m:r>
          </m:sub>
        </m:sSub>
        <m:r>
          <m:rPr>
            <m:sty m:val="p"/>
          </m:rPr>
          <m:t>=</m:t>
        </m:r>
        <m:r>
          <m:t>1.66</m:t>
        </m:r>
      </m:oMath>
      <w:r>
        <w:t xml:space="preserve"> </w:t>
      </w:r>
      <w:r>
        <w:t xml:space="preserve">(from the unrounded shift and standard deviation). A logistic attributor is trained on the two axis-deviations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p>
              <m:e>
                <m:r>
                  <m:t>z</m:t>
                </m:r>
              </m:e>
              <m:sup>
                <m:r>
                  <m:t>k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z</m:t>
                </m:r>
              </m:e>
              <m:sup>
                <m:r>
                  <m:t>c</m:t>
                </m:r>
              </m:sup>
            </m:sSup>
          </m:e>
        </m:d>
      </m:oMath>
      <w:r>
        <w:t xml:space="preserve"> </w:t>
      </w:r>
      <w:r>
        <w:t xml:space="preserve">together with the vehicle baseline, under GroupKFold by vehicle; a control classifier that sees only the fuel excess</w:t>
      </w:r>
      <w:r>
        <w:t xml:space="preserve"> </w:t>
      </w:r>
      <m:oMath>
        <m:r>
          <m:t>Δ</m:t>
        </m:r>
        <m:r>
          <m:t>f</m:t>
        </m:r>
      </m:oMath>
      <w:r>
        <w:t xml:space="preserve"> </w:t>
      </w:r>
      <w:r>
        <w:t xml:space="preserve">is the chance baseline.</w:t>
      </w:r>
    </w:p>
    <w:bookmarkEnd w:id="43"/>
    <w:bookmarkStart w:id="44" w:name="baselines"/>
    <w:p>
      <w:pPr>
        <w:pStyle w:val="Heading3"/>
      </w:pPr>
      <w:r>
        <w:t xml:space="preserve">4.7 Baselines</w:t>
      </w:r>
    </w:p>
    <w:p>
      <w:pPr>
        <w:pStyle w:val="FirstParagraph"/>
      </w:pPr>
      <w:r>
        <w:t xml:space="preserve">We compare against the detection and feature-relevance methods the literature offers: an isolation</w:t>
      </w:r>
      <w:r>
        <w:t xml:space="preserve"> </w:t>
      </w:r>
      <w:r>
        <w:t xml:space="preserve">forest [</w:t>
      </w:r>
      <w:hyperlink w:anchor="r19">
        <w:r>
          <w:rPr>
            <w:rStyle w:val="Hyperlink"/>
          </w:rPr>
          <w:t xml:space="preserve">19</w:t>
        </w:r>
      </w:hyperlink>
      <w:r>
        <w:t xml:space="preserve">] over trip features as an unsupervised anomaly detector; permutation</w:t>
      </w:r>
      <w:r>
        <w:t xml:space="preserve"> </w:t>
      </w:r>
      <w:r>
        <w:t xml:space="preserve">importance over the fuel model as the feature-relevance surrogate used by explainable anomaly work</w:t>
      </w:r>
      <w:r>
        <w:t xml:space="preserve"> </w:t>
      </w:r>
      <w:r>
        <w:t xml:space="preserve">[</w:t>
      </w:r>
      <w:hyperlink w:anchor="r3">
        <w:r>
          <w:rPr>
            <w:rStyle w:val="Hyperlink"/>
          </w:rPr>
          <w:t xml:space="preserve">3</w:t>
        </w:r>
      </w:hyperlink>
      <w:r>
        <w:t xml:space="preserve">]; and a pooled model that omits any vehicle term, to show how much per-vehicle</w:t>
      </w:r>
      <w:r>
        <w:t xml:space="preserve"> </w:t>
      </w:r>
      <w:r>
        <w:t xml:space="preserve">systematic effect is left unattributed when the vehicle is not modelled.</w:t>
      </w:r>
    </w:p>
    <w:bookmarkEnd w:id="44"/>
    <w:bookmarkEnd w:id="45"/>
    <w:bookmarkStart w:id="46" w:name="setup"/>
    <w:p>
      <w:pPr>
        <w:pStyle w:val="Heading2"/>
      </w:pPr>
      <w:r>
        <w:t xml:space="preserve">5. Experimental setup</w:t>
      </w:r>
    </w:p>
    <w:p>
      <w:pPr>
        <w:pStyle w:val="FirstParagraph"/>
      </w:pPr>
      <w:r>
        <w:t xml:space="preserve">The expected-fuel model is a histogram gradient-boosted regression tree ensemble (300 boosting iterations, learning rate 0.05, and maximum depth 5; the headline coefficient of determination is unchanged at 400 iterations and depth 6), trained under 5-fold GroupKFold by vehicle with a fixed random</w:t>
      </w:r>
      <w:r>
        <w:t xml:space="preserve"> </w:t>
      </w:r>
      <w:r>
        <w:t xml:space="preserve">seed. The fuel-model coefficient of determination is stable across five seeds, ranging 0.672 to 0.676.</w:t>
      </w:r>
      <w:r>
        <w:t xml:space="preserve"> </w:t>
      </w:r>
      <w:r>
        <w:t xml:space="preserve">Confidence intervals throughout are cluster bootstraps that resample whole vehicles with replacement</w:t>
      </w:r>
      <w:r>
        <w:t xml:space="preserve"> </w:t>
      </w:r>
      <w:r>
        <w:t xml:space="preserve">over 1,000 draws and report the 2.5th and 97.5th percentiles; for the behaviour-validation study the</w:t>
      </w:r>
      <w:r>
        <w:t xml:space="preserve"> </w:t>
      </w:r>
      <w:r>
        <w:t xml:space="preserve">bootstrap resamples events, and the permutation test uses 1,000 label permutations with the</w:t>
      </w:r>
      <w:r>
        <w:t xml:space="preserve"> </w:t>
      </w:r>
      <w:r>
        <w:t xml:space="preserve">leave-one-driver-out cross-validation repeated inside each. On the bench, cross-validation must shuffle</w:t>
      </w:r>
      <w:r>
        <w:t xml:space="preserve"> </w:t>
      </w:r>
      <w:r>
        <w:t xml:space="preserve">folds: the records are grouped by fault and ordered within each group, so a non-shuffled 5-fold split</w:t>
      </w:r>
      <w:r>
        <w:t xml:space="preserve"> </w:t>
      </w:r>
      <w:r>
        <w:t xml:space="preserve">partitions the rich subset into disjoint operating ranges and the model, forced to extrapolate,</w:t>
      </w:r>
      <w:r>
        <w:t xml:space="preserve"> </w:t>
      </w:r>
      <w:r>
        <w:t xml:space="preserve">returns a spuriously negative coefficient of determination; the rows are exchangeable for this</w:t>
      </w:r>
      <w:r>
        <w:t xml:space="preserve"> </w:t>
      </w:r>
      <w:r>
        <w:t xml:space="preserve">regression, so shuffled folds are correct. Software: Python 3.14, scikit-learn 1.8, pandas 2.3, scipy</w:t>
      </w:r>
      <w:r>
        <w:t xml:space="preserve"> </w:t>
      </w:r>
      <w:r>
        <w:t xml:space="preserve">1.17, and pyarrow. Datasets are obtained from their original sources and are not redistributed; the</w:t>
      </w:r>
      <w:r>
        <w:t xml:space="preserve"> </w:t>
      </w:r>
      <w:r>
        <w:t xml:space="preserve">pipeline scripts regenerate every number. The expected-fuel conclusions are not specific to the</w:t>
      </w:r>
      <w:r>
        <w:t xml:space="preserve"> </w:t>
      </w:r>
      <w:r>
        <w:t xml:space="preserve">gradient-boosted model: under the same vehicle-grouped protocol a ridge baseline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0.663</m:t>
        </m:r>
      </m:oMath>
      <w:r>
        <w:t xml:space="preserve"> </w:t>
      </w:r>
      <w:r>
        <w:t xml:space="preserve">and a random forest 0.640, against the boosted model's 0.673 and a mean predictor's</w:t>
      </w:r>
      <w:r>
        <w:t xml:space="preserve"> </w:t>
      </w:r>
      <w:r>
        <w:t xml:space="preserve">0.00. Engine-state channels (RPM, load) are deliberately excluded from the expected-fuel model; adding</w:t>
      </w:r>
      <w:r>
        <w:t xml:space="preserve"> </w:t>
      </w:r>
      <w:r>
        <w:t xml:space="preserve">them raises predictive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0.738 but they are engine outputs rather than driver inputs, and</w:t>
      </w:r>
      <w:r>
        <w:t xml:space="preserve"> </w:t>
      </w:r>
      <w:r>
        <w:t xml:space="preserve">their inclusion would let the predictor absorb part of the diagnostic signature we aim to isolate.</w:t>
      </w:r>
    </w:p>
    <w:bookmarkEnd w:id="46"/>
    <w:bookmarkStart w:id="59" w:name="arm1"/>
    <w:p>
      <w:pPr>
        <w:pStyle w:val="Heading2"/>
      </w:pPr>
      <w:r>
        <w:t xml:space="preserve">6. Results: driver arm (VED)</w:t>
      </w:r>
    </w:p>
    <w:bookmarkStart w:id="47" w:name="expected-fuel-model"/>
    <w:p>
      <w:pPr>
        <w:pStyle w:val="Heading3"/>
      </w:pPr>
      <w:r>
        <w:t xml:space="preserve">6.1 Expected-fuel model</w:t>
      </w:r>
    </w:p>
    <w:p>
      <w:pPr>
        <w:pStyle w:val="FirstParagraph"/>
      </w:pPr>
      <w:r>
        <w:t xml:space="preserve">The expected-fuel model reaches a held-out coefficient of determination of</w:t>
      </w:r>
      <w:r>
        <w:t xml:space="preserve"> </w:t>
      </w:r>
      <w:r>
        <w:rPr>
          <w:b/>
          <w:bCs/>
        </w:rPr>
        <w:t xml:space="preserve">0.673</w:t>
      </w:r>
      <w:r>
        <w:t xml:space="preserve"> </w:t>
      </w:r>
      <w:r>
        <w:t xml:space="preserve">(95% CI</w:t>
      </w:r>
      <w:r>
        <w:t xml:space="preserve"> </w:t>
      </w:r>
      <w:r>
        <w:t xml:space="preserve">[0.628, 0.709]) with a mean absolute percentage error of 13.3% (95% CI [12.3, 14.3]), stable across</w:t>
      </w:r>
      <w:r>
        <w:t xml:space="preserve"> </w:t>
      </w:r>
      <w:r>
        <w:t xml:space="preserve">seeds. This accuracy is in the range reported for OBD-based fuel models on other fleets</w:t>
      </w:r>
      <w:r>
        <w:t xml:space="preserve"> </w:t>
      </w:r>
      <w:r>
        <w:t xml:space="preserve">[</w:t>
      </w:r>
      <w:hyperlink w:anchor="r4">
        <w:r>
          <w:rPr>
            <w:rStyle w:val="Hyperlink"/>
          </w:rPr>
          <w:t xml:space="preserve">4</w:t>
        </w:r>
      </w:hyperlink>
      <w:r>
        <w:t xml:space="preserve">,</w:t>
      </w:r>
      <w:hyperlink w:anchor="r9">
        <w:r>
          <w:rPr>
            <w:rStyle w:val="Hyperlink"/>
          </w:rPr>
          <w:t xml:space="preserve">9</w:t>
        </w:r>
      </w:hyperlink>
      <w:r>
        <w:t xml:space="preserve">], though the datasets differ and the numbers are not directly</w:t>
      </w:r>
      <w:r>
        <w:t xml:space="preserve"> </w:t>
      </w:r>
      <w:r>
        <w:t xml:space="preserve">comparable; the model's role here is to define a well-calibrated expectation from which excess is</w:t>
      </w:r>
      <w:r>
        <w:t xml:space="preserve"> </w:t>
      </w:r>
      <w:r>
        <w:t xml:space="preserve">measured, not to set a new accuracy record.</w:t>
      </w:r>
    </w:p>
    <w:bookmarkEnd w:id="47"/>
    <w:bookmarkStart w:id="54" w:name="X0c9c6a5585f3441bffbba7f54edeae90ceeedfb"/>
    <w:p>
      <w:pPr>
        <w:pStyle w:val="Heading3"/>
      </w:pPr>
      <w:r>
        <w:t xml:space="preserve">6.2 Variance decomposition and the vehicle-baseline</w:t>
      </w:r>
    </w:p>
    <w:p>
      <w:pPr>
        <w:pStyle w:val="FirstParagraph"/>
      </w:pPr>
      <w:r>
        <w:t xml:space="preserve">Decomposing the variance of trip fuel (Table 4, Figure 2) shows that route and environment dominate, that</w:t>
      </w:r>
      <w:r>
        <w:t xml:space="preserve"> </w:t>
      </w:r>
      <w:r>
        <w:t xml:space="preserve">driving behaviour contributes a unique 8% beyond conditions and up to 37% counting the variance it</w:t>
      </w:r>
      <w:r>
        <w:t xml:space="preserve"> </w:t>
      </w:r>
      <w:r>
        <w:t xml:space="preserve">shares with route, and that a persistent vehicle-baseline accounts for a further 14%. The</w:t>
      </w:r>
      <w:r>
        <w:t xml:space="preserve"> </w:t>
      </w:r>
      <w:r>
        <w:t xml:space="preserve">vehicle-baseline is a real, size-independent effect: regressing the per-vehicle fixed effect on engine</w:t>
      </w:r>
      <w:r>
        <w:t xml:space="preserve"> </w:t>
      </w:r>
      <w:r>
        <w:t xml:space="preserve">displacement and weight explains only 23% of it, leaving roughly three-quarters unexplained by vehicle</w:t>
      </w:r>
      <w:r>
        <w:t xml:space="preserve"> </w:t>
      </w:r>
      <w:r>
        <w:t xml:space="preserve">size. This is the component that an operator would want to route to inspection, and it is invisible to</w:t>
      </w:r>
      <w:r>
        <w:t xml:space="preserve"> </w:t>
      </w:r>
      <w:r>
        <w:t xml:space="preserve">a model that does not represent the vehicle.</w:t>
      </w:r>
    </w:p>
    <w:p>
      <w:pPr>
        <w:pStyle w:val="BodyText"/>
      </w:pPr>
      <w:r>
        <w:t xml:space="preserve">The vehicle-baseline is not an in-sample artifact of estimating a group mean from the same trips it is</w:t>
      </w:r>
      <w:r>
        <w:t xml:space="preserve"> </w:t>
      </w:r>
      <w:r>
        <w:t xml:space="preserve">scored on. Estimating each vehicle's offset on one random half of its trips and evaluating the fuel</w:t>
      </w:r>
      <w:r>
        <w:t xml:space="preserve"> </w:t>
      </w:r>
      <w:r>
        <w:t xml:space="preserve">variance it explains on the held-out half gives a cross-fitted share of</w:t>
      </w:r>
      <w:r>
        <w:t xml:space="preserve"> </w:t>
      </w:r>
      <w:r>
        <w:rPr>
          <w:b/>
          <w:bCs/>
        </w:rPr>
        <w:t xml:space="preserve">0.136–0.138</w:t>
      </w:r>
      <w:r>
        <w:t xml:space="preserve"> </w:t>
      </w:r>
      <w:r>
        <w:t xml:space="preserve">(stable across a minimum of 5, 10, 15, or 20 trips per vehicle), essentially unchanged from the</w:t>
      </w:r>
      <w:r>
        <w:t xml:space="preserve"> </w:t>
      </w:r>
      <w:r>
        <w:t xml:space="preserve">0.143 in-sample value, and an empirical-Bayes shrinkage estimate agrees (0.138). The offsets are</w:t>
      </w:r>
      <w:r>
        <w:t xml:space="preserve"> </w:t>
      </w:r>
      <w:r>
        <w:t xml:space="preserve">highly reliable: the split-half correlation of per-vehicle baselines is</w:t>
      </w:r>
      <w:r>
        <w:t xml:space="preserve"> </w:t>
      </w:r>
      <w:r>
        <w:rPr>
          <w:b/>
          <w:bCs/>
        </w:rPr>
        <w:t xml:space="preserve">r = 0.95</w:t>
      </w:r>
      <w:r>
        <w:t xml:space="preserve"> </w:t>
      </w:r>
      <w:r>
        <w:t xml:space="preserve">(160 vehicles</w:t>
      </w:r>
      <w:r>
        <w:t xml:space="preserve"> </w:t>
      </w:r>
      <w:r>
        <w:t xml:space="preserve">with at least ten trips). A persistent, statistically stable per-vehicle component therefore survives</w:t>
      </w:r>
      <w:r>
        <w:t xml:space="preserve"> </w:t>
      </w:r>
      <w:r>
        <w:t xml:space="preserve">honest out-of-sample estimation. We label it a persistent vehicle-associated residual, not a verified</w:t>
      </w:r>
      <w:r>
        <w:t xml:space="preserve"> </w:t>
      </w:r>
      <w:r>
        <w:t xml:space="preserve">malfunction: VED has effectively one driver per vehicle, so it cannot separate a vehicle's mechanical</w:t>
      </w:r>
      <w:r>
        <w:t xml:space="preserve"> </w:t>
      </w:r>
      <w:r>
        <w:t xml:space="preserve">state from its habitual driver and routes (Section 10); the malfunction side of the attribution is</w:t>
      </w:r>
      <w:r>
        <w:t xml:space="preserve"> </w:t>
      </w:r>
      <w:r>
        <w:t xml:space="preserve">anchored on the controlled bench, where the fault is actually induced.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fuel variance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/ route (conditions only,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env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[0.542, 0.636]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 only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beh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model (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[0.628, 0.709]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Behaviour,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[0.060, 0.102]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Environment, unique marginal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Vehicle-baseline (</w:t>
            </w:r>
            <m:oMath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veh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[0.114, 0.174]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Unexplained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Variance decomposition of trip fuel (14,170 trips, 194 vehicles),</w:t>
      </w:r>
      <w:r>
        <w:t xml:space="preserve"> </w:t>
      </w:r>
      <w:r>
        <w:t xml:space="preserve">computed in one pass so the environment, unique-behaviour, vehicle-baseline, and unexplained shares</w:t>
      </w:r>
      <w:r>
        <w:t xml:space="preserve"> </w:t>
      </w:r>
      <w:r>
        <w:t xml:space="preserve">sum to one. Behaviour and route share variance, so the unique 8% understates behaviour's total</w:t>
      </w:r>
      <w:r>
        <w:t xml:space="preserve"> </w:t>
      </w:r>
      <w:r>
        <w:t xml:space="preserve">association; the vehicle-baseline is a separate 14%. Point estimates; 95% CIs are cluster bootstraps.</w:t>
      </w:r>
    </w:p>
    <w:p>
      <w:pPr>
        <w:pStyle w:val="BodyText"/>
      </w:pPr>
      <w:r>
        <w:t xml:space="preserve">The behaviour counterfactual quantifies the driver component in physical units. Relative to a</w:t>
      </w:r>
      <w:r>
        <w:t xml:space="preserve"> </w:t>
      </w:r>
      <w:r>
        <w:t xml:space="preserve">gentle-driving reference, the median trip carries an excess of</w:t>
      </w:r>
      <w:r>
        <w:t xml:space="preserve"> </w:t>
      </w:r>
      <w:r>
        <w:rPr>
          <w:b/>
          <w:bCs/>
        </w:rPr>
        <w:t xml:space="preserve">0.47 L/100km</w:t>
      </w:r>
      <w:r>
        <w:t xml:space="preserve"> </w:t>
      </w:r>
      <w:r>
        <w:t xml:space="preserve">(about 5% of median</w:t>
      </w:r>
      <w:r>
        <w:t xml:space="preserve"> </w:t>
      </w:r>
      <w:r>
        <w:t xml:space="preserve">fuel), rising to 1.59 at the 90th percentile. The component increases across deciles of the harsh-event rate (Figure 3): its mean rises from 0.34 to 1.55 L/100km, monotone from the median upward, with a Spearman rank correlation of 0.96 across deciles (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). Because the harsh-event rate is itself an input to the behaviour features, this is an internal face-validity check; the independent validation is the external dataset of Section 6.3. The magnitude is consistent with the 5-15% eco-driving range in the literature</w:t>
      </w:r>
      <w:r>
        <w:t xml:space="preserve"> </w:t>
      </w:r>
      <w:r>
        <w:t xml:space="preserve">[</w:t>
      </w:r>
      <w:hyperlink w:anchor="r5">
        <w:r>
          <w:rPr>
            <w:rStyle w:val="Hyperlink"/>
          </w:rPr>
          <w:t xml:space="preserve">5</w:t>
        </w:r>
      </w:hyperlink>
      <w:r>
        <w:t xml:space="preserve">,</w:t>
      </w:r>
      <w:hyperlink w:anchor="r15">
        <w:r>
          <w:rPr>
            <w:rStyle w:val="Hyperlink"/>
          </w:rPr>
          <w:t xml:space="preserve">15</w:t>
        </w:r>
      </w:hyperlink>
      <w:r>
        <w:t xml:space="preserve">].</w:t>
      </w:r>
    </w:p>
    <w:p>
      <w:pPr>
        <w:pStyle w:val="CaptionedFigure"/>
      </w:pPr>
      <w:r>
        <w:drawing>
          <wp:inline>
            <wp:extent cx="5334000" cy="1201444"/>
            <wp:effectExtent b="0" l="0" r="0" t="0"/>
            <wp:docPr descr="Variance decomposition of trip fuel" title="" id="49" name="Picture"/>
            <a:graphic>
              <a:graphicData uri="http://schemas.openxmlformats.org/drawingml/2006/picture">
                <pic:pic>
                  <pic:nvPicPr>
                    <pic:cNvPr descr="figures/fig1_variance_decomposition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1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2.</w:t>
      </w:r>
      <w:r>
        <w:t xml:space="preserve"> </w:t>
      </w:r>
      <w:r>
        <w:t xml:space="preserve">Variance decomposition of trip fuel. Route and environment dominate;</w:t>
      </w:r>
      <w:r>
        <w:t xml:space="preserve"> </w:t>
      </w:r>
      <w:r>
        <w:t xml:space="preserve">driving behaviour adds a unique 8%, and a persistent vehicle-baseline accounts for 14%.</w:t>
      </w:r>
    </w:p>
    <w:p>
      <w:pPr>
        <w:pStyle w:val="CaptionedFigure"/>
      </w:pPr>
      <w:r>
        <w:drawing>
          <wp:inline>
            <wp:extent cx="5004816" cy="2804160"/>
            <wp:effectExtent b="0" l="0" r="0" t="0"/>
            <wp:docPr descr="Behaviour component by aggression decile" title="" id="52" name="Picture"/>
            <a:graphic>
              <a:graphicData uri="http://schemas.openxmlformats.org/drawingml/2006/picture">
                <pic:pic>
                  <pic:nvPicPr>
                    <pic:cNvPr descr="figures/fig3_behaviour_monotonic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2804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3.</w:t>
      </w:r>
      <w:r>
        <w:t xml:space="preserve"> </w:t>
      </w:r>
      <w:r>
        <w:t xml:space="preserve">The counterfactual behaviour component rises with independently measured</w:t>
      </w:r>
      <w:r>
        <w:t xml:space="preserve"> </w:t>
      </w:r>
      <w:r>
        <w:t xml:space="preserve">aggression (Spearman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0.96</m:t>
        </m:r>
      </m:oMath>
      <w:r>
        <w:t xml:space="preserve">).</w:t>
      </w:r>
    </w:p>
    <w:bookmarkEnd w:id="54"/>
    <w:bookmarkStart w:id="58" w:name="behaviour-axis-external-validation"/>
    <w:p>
      <w:pPr>
        <w:pStyle w:val="Heading3"/>
      </w:pPr>
      <w:r>
        <w:t xml:space="preserve">6.3 Behaviour-axis external validation</w:t>
      </w:r>
    </w:p>
    <w:p>
      <w:pPr>
        <w:pStyle w:val="FirstParagraph"/>
      </w:pPr>
      <w:r>
        <w:t xml:space="preserve">On the Driving Events dataset the kinematic amplitude features separate aggressive from</w:t>
      </w:r>
      <w:r>
        <w:t xml:space="preserve"> </w:t>
      </w:r>
      <w:r>
        <w:t xml:space="preserve">non-aggressive events with the driver held out. Individually, the strongest features already</w:t>
      </w:r>
      <w:r>
        <w:t xml:space="preserve"> </w:t>
      </w:r>
      <w:r>
        <w:t xml:space="preserve">discriminate (acceleration-magnitude dispersion AUC 0.672, 95th percentile 0.657, energy 0.646, harsh</w:t>
      </w:r>
      <w:r>
        <w:t xml:space="preserve"> </w:t>
      </w:r>
      <w:r>
        <w:t xml:space="preserve">rate 0.639; all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), while raw jerk at 400 Hz does not (AUC 0.48), consistent</w:t>
      </w:r>
      <w:r>
        <w:t xml:space="preserve"> </w:t>
      </w:r>
      <w:r>
        <w:t xml:space="preserve">with amplitude rather than derivative carrying the signal at that sampling rate. A logistic classifier</w:t>
      </w:r>
      <w:r>
        <w:t xml:space="preserve"> </w:t>
      </w:r>
      <w:r>
        <w:t xml:space="preserve">over the amplitude features reaches a leave-one-driver-out AUC of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(95% CI [0.927, 0.981];</w:t>
      </w:r>
      <w:r>
        <w:t xml:space="preserve"> </w:t>
      </w:r>
      <w:r>
        <w:t xml:space="preserve">per-driver 0.984, 0.934, 0.992; Figure 4). A random forest reaches 0.79; with only two training drivers per fold</w:t>
      </w:r>
      <w:r>
        <w:t xml:space="preserve"> </w:t>
      </w:r>
      <w:r>
        <w:t xml:space="preserve">the linear model generalizes across drivers better, and we report both. Under a 1,000-permutation test the label-permuted AUC falls to chance (mean 0.471), placing the real AUC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. This validates that the kinematic</w:t>
      </w:r>
      <w:r>
        <w:t xml:space="preserve"> </w:t>
      </w:r>
      <w:r>
        <w:t xml:space="preserve">amplitude features transfer to an independent accelerometer dataset; it is a different sensing regime</w:t>
      </w:r>
      <w:r>
        <w:t xml:space="preserve"> </w:t>
      </w:r>
      <w:r>
        <w:t xml:space="preserve">(400 Hz smartphone inertial versus 1 Hz OBD), so it corroborates the axis rather than the exact VED</w:t>
      </w:r>
      <w:r>
        <w:t xml:space="preserve"> </w:t>
      </w:r>
      <w:r>
        <w:t xml:space="preserve">feature set or the counterfactual magnitude.</w:t>
      </w:r>
    </w:p>
    <w:p>
      <w:pPr>
        <w:pStyle w:val="CaptionedFigure"/>
      </w:pPr>
      <w:r>
        <w:drawing>
          <wp:inline>
            <wp:extent cx="3907536" cy="3706367"/>
            <wp:effectExtent b="0" l="0" r="0" t="0"/>
            <wp:docPr descr="Behaviour-axis ROC curve" title="" id="56" name="Picture"/>
            <a:graphic>
              <a:graphicData uri="http://schemas.openxmlformats.org/drawingml/2006/picture">
                <pic:pic>
                  <pic:nvPicPr>
                    <pic:cNvPr descr="figures/fig4_behaviour_roc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7536" cy="3706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4.</w:t>
      </w:r>
      <w:r>
        <w:t xml:space="preserve"> </w:t>
      </w:r>
      <w:r>
        <w:t xml:space="preserve">Kinematic features separate aggressive from normal driving on an</w:t>
      </w:r>
      <w:r>
        <w:t xml:space="preserve"> </w:t>
      </w:r>
      <w:r>
        <w:t xml:space="preserve">independent dataset with the driver held out (AUC 0.958, 95% CI [0.927, 0.981]).</w:t>
      </w:r>
    </w:p>
    <w:p>
      <w:pPr>
        <w:pStyle w:val="BodyText"/>
      </w:pPr>
      <w:r>
        <w:t xml:space="preserve">To test transfer at the fleet's own sampling rate and across more drivers, we repeat the validation</w:t>
      </w:r>
      <w:r>
        <w:t xml:space="preserve"> </w:t>
      </w:r>
      <w:r>
        <w:t xml:space="preserve">on a second, independent behaviour dataset: the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], whose processed streams are logged at</w:t>
      </w:r>
      <w:r>
        <w:t xml:space="preserve"> </w:t>
      </w:r>
      <w:r>
        <w:rPr>
          <w:b/>
          <w:bCs/>
        </w:rPr>
        <w:t xml:space="preserve">1 Hz</w:t>
      </w:r>
      <w:r>
        <w:t xml:space="preserve"> </w:t>
      </w:r>
      <w:r>
        <w:t xml:space="preserve">(matching VED) for</w:t>
      </w:r>
      <w:r>
        <w:t xml:space="preserve"> </w:t>
      </w:r>
      <w:r>
        <w:rPr>
          <w:b/>
          <w:bCs/>
        </w:rPr>
        <w:t xml:space="preserve">six drivers</w:t>
      </w:r>
      <w:r>
        <w:t xml:space="preserve"> </w:t>
      </w:r>
      <w:r>
        <w:t xml:space="preserve">with normal, drowsy, and aggressive labels. Over 940</w:t>
      </w:r>
      <w:r>
        <w:t xml:space="preserve"> </w:t>
      </w:r>
      <w:r>
        <w:t xml:space="preserve">thirty-second windows (172 aggressive, 768 normal; drowsy windows excluded from the binary contrast), kinematic features computed at 1 Hz separate</w:t>
      </w:r>
      <w:r>
        <w:t xml:space="preserve"> </w:t>
      </w:r>
      <w:r>
        <w:t xml:space="preserve">aggressive from normal driving with the driver held out at</w:t>
      </w:r>
      <w:r>
        <w:t xml:space="preserve"> </w:t>
      </w:r>
      <w:r>
        <w:rPr>
          <w:b/>
          <w:bCs/>
        </w:rPr>
        <w:t xml:space="preserve">AUC 0.829</w:t>
      </w:r>
      <w:r>
        <w:t xml:space="preserve"> </w:t>
      </w:r>
      <w:r>
        <w:t xml:space="preserve">(logistic; 0.808 random</w:t>
      </w:r>
      <w:r>
        <w:t xml:space="preserve"> </w:t>
      </w:r>
      <w:r>
        <w:t xml:space="preserve">forest; per-driver 0.76–0.92; 1,000-permutation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0.001</m:t>
        </m:r>
      </m:oMath>
      <w:r>
        <w:t xml:space="preserve">). The lower value than the 400 Hz</w:t>
      </w:r>
      <w:r>
        <w:t xml:space="preserve"> </w:t>
      </w:r>
      <w:r>
        <w:t xml:space="preserve">set is expected for the coarser sampling, and it is the more deployment-relevant result: the behaviour axis transfers to a different driver population, twice as many drivers, at 1 Hz, the rate OBD telematics actually provide.</w:t>
      </w:r>
    </w:p>
    <w:bookmarkEnd w:id="58"/>
    <w:bookmarkEnd w:id="59"/>
    <w:bookmarkStart w:id="63" w:name="arm2"/>
    <w:p>
      <w:pPr>
        <w:pStyle w:val="Heading2"/>
      </w:pPr>
      <w:r>
        <w:t xml:space="preserve">7. Results: malfunction arm (EngineFaultDB)</w:t>
      </w:r>
    </w:p>
    <w:p>
      <w:pPr>
        <w:pStyle w:val="FirstParagraph"/>
      </w:pPr>
      <w:r>
        <w:t xml:space="preserve">We fit the expected-fuel model on the normal (fault-0) operating points only and score the faults at</w:t>
      </w:r>
      <w:r>
        <w:t xml:space="preserve"> </w:t>
      </w:r>
      <w:r>
        <w:t xml:space="preserve">matched operating point. On normal data the out-of-fold residual is centred at zero with a standard</w:t>
      </w:r>
      <w:r>
        <w:t xml:space="preserve"> </w:t>
      </w:r>
      <w:r>
        <w:t xml:space="preserve">deviation of 0.20 L/100km, so the baseline is well calibrated. Scoring the faults (Table 5, Figure 5), only the rich mixture burns measurably more:</w:t>
      </w:r>
      <w:r>
        <w:t xml:space="preserve"> </w:t>
      </w:r>
      <w:r>
        <w:rPr>
          <w:b/>
          <w:bCs/>
        </w:rPr>
        <w:t xml:space="preserve">+0.50 L/100km, or +6.2%</w:t>
      </w:r>
      <w:r>
        <w:t xml:space="preserve"> </w:t>
      </w:r>
      <w:r>
        <w:t xml:space="preserve">of median fuel, consistent with its</w:t>
      </w:r>
      <w:r>
        <w:t xml:space="preserve"> </w:t>
      </w:r>
      <w:r>
        <w:t xml:space="preserve">air-fuel ratio of 13.68 against the normal 14.07 (a 7.5% enrichment of fuel per unit air) and a</w:t>
      </w:r>
      <w:r>
        <w:t xml:space="preserve"> </w:t>
      </w:r>
      <w:r>
        <w:t xml:space="preserve">brake-specific fuel consumption 10.6% above normal. The lean and low-voltage-ignition faults are not</w:t>
      </w:r>
      <w:r>
        <w:t xml:space="preserve"> </w:t>
      </w:r>
      <w:r>
        <w:t xml:space="preserve">excess-fuel faults. The rich-fault excess correlates with the combustion signature, not with</w:t>
      </w:r>
      <w:r>
        <w:t xml:space="preserve"> </w:t>
      </w:r>
      <w:r>
        <w:t xml:space="preserve">kinematics: with carbon monoxide 0.32, hydrocarbons 0.27, and the air-fuel ratio</w:t>
      </w:r>
      <w:r>
        <w:t xml:space="preserve"> </w:t>
      </w:r>
      <m:oMath>
        <m:r>
          <m:rPr>
            <m:sty m:val="p"/>
          </m:rPr>
          <m:t>−</m:t>
        </m:r>
        <m:r>
          <m:t>0.32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Excess (L/100km)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of median fuel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BSFC vs normal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Normal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Rich mixture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Lean mixture 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Ignition 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Excess fuel at matched operating point by fault class. Only the rich</w:t>
      </w:r>
      <w:r>
        <w:t xml:space="preserve"> </w:t>
      </w:r>
      <w:r>
        <w:t xml:space="preserve">mixture is a fuel-relevant fault. Brake-specific fuel consumption is reported for the rich fault only;</w:t>
      </w:r>
      <w:r>
        <w:t xml:space="preserve"> </w:t>
      </w:r>
      <w:r>
        <w:t xml:space="preserve">the lean and ignition faults were sampled at systematically lower power on the bench, so their</w:t>
      </w:r>
      <w:r>
        <w:t xml:space="preserve"> </w:t>
      </w:r>
      <w:r>
        <w:t xml:space="preserve">per-work figures are not comparable and are omitted.</w:t>
      </w:r>
    </w:p>
    <w:p>
      <w:pPr>
        <w:pStyle w:val="BodyText"/>
      </w:pPr>
      <w:r>
        <w:t xml:space="preserve">Two checks guard the comparison. The source dataset reports that the rich fault consumes less fuel</w:t>
      </w:r>
      <w:r>
        <w:t xml:space="preserve"> </w:t>
      </w:r>
      <w:r>
        <w:rPr>
          <w:i/>
          <w:iCs/>
        </w:rPr>
        <w:t xml:space="preserve">per hour</w:t>
      </w:r>
      <w:r>
        <w:t xml:space="preserve">; this reverses under our matched analysis because the rich records were sampled at</w:t>
      </w:r>
      <w:r>
        <w:t xml:space="preserve"> </w:t>
      </w:r>
      <w:r>
        <w:t xml:space="preserve">lower power, so their per-hour consumption is low while their per-distance and per-work consumption is</w:t>
      </w:r>
      <w:r>
        <w:t xml:space="preserve"> </w:t>
      </w:r>
      <w:r>
        <w:t xml:space="preserve">high. Matching on operating point isolates the true penalty. Second, the normal and rich samples</w:t>
      </w:r>
      <w:r>
        <w:t xml:space="preserve"> </w:t>
      </w:r>
      <w:r>
        <w:t xml:space="preserve">overlap closely in operating point (standardized mean differences: RPM 0.09, power 0.27, speed 0.09),</w:t>
      </w:r>
      <w:r>
        <w:t xml:space="preserve"> </w:t>
      </w:r>
      <w:r>
        <w:t xml:space="preserve">so the comparison is not driven by regime imbalance, and the normal reference is itself moderately</w:t>
      </w:r>
      <w:r>
        <w:t xml:space="preserve"> </w:t>
      </w:r>
      <w:r>
        <w:t xml:space="preserve">rich (lambda 0.957, carbon monoxide 2.16%), which biases the +6.2% estimate conservatively downward.</w:t>
      </w:r>
    </w:p>
    <w:p>
      <w:pPr>
        <w:pStyle w:val="BodyText"/>
      </w:pPr>
      <w:r>
        <w:t xml:space="preserve">The fuel signature is specific to the rich mixture. Relative to normal, the rich fault raises the</w:t>
      </w:r>
      <w:r>
        <w:t xml:space="preserve"> </w:t>
      </w:r>
      <w:r>
        <w:t xml:space="preserve">combustion axis by +4.2 percentage points of fuel per air, whereas the lean and low-voltage-ignition</w:t>
      </w:r>
      <w:r>
        <w:t xml:space="preserve"> </w:t>
      </w:r>
      <w:r>
        <w:t xml:space="preserve">faults move it the other way (−2.2 and −1.9). A detector that requires both an excess and</w:t>
      </w:r>
      <w:r>
        <w:t xml:space="preserve"> </w:t>
      </w:r>
      <w:r>
        <w:t xml:space="preserve">an elevated combustion axis therefore fires far more often for the rich fault than for the others</w:t>
      </w:r>
      <w:r>
        <w:t xml:space="preserve"> </w:t>
      </w:r>
      <w:r>
        <w:t xml:space="preserve">(flag rate 0.29 versus a 0.07 average across normal, lean, and ignition). Lean and ignition, which are</w:t>
      </w:r>
      <w:r>
        <w:t xml:space="preserve"> </w:t>
      </w:r>
      <w:r>
        <w:t xml:space="preserve">not over-fuelling faults, do not trigger the vehicle-fuel-fault signature, so the method targets the</w:t>
      </w:r>
      <w:r>
        <w:t xml:space="preserve"> </w:t>
      </w:r>
      <w:r>
        <w:t xml:space="preserve">fuel-relevant fault rather than any deviation from normal.</w:t>
      </w:r>
    </w:p>
    <w:p>
      <w:pPr>
        <w:pStyle w:val="CaptionedFigure"/>
      </w:pPr>
      <w:r>
        <w:drawing>
          <wp:inline>
            <wp:extent cx="5077968" cy="2980944"/>
            <wp:effectExtent b="0" l="0" r="0" t="0"/>
            <wp:docPr descr="Excess fuel by fault class" title="" id="61" name="Picture"/>
            <a:graphic>
              <a:graphicData uri="http://schemas.openxmlformats.org/drawingml/2006/picture">
                <pic:pic>
                  <pic:nvPicPr>
                    <pic:cNvPr descr="figures/fig5_fault_signature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7968" cy="2980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5.</w:t>
      </w:r>
      <w:r>
        <w:t xml:space="preserve"> </w:t>
      </w:r>
      <w:r>
        <w:t xml:space="preserve">Excess fuel at matched operating point by fault class; only the rich</w:t>
      </w:r>
      <w:r>
        <w:t xml:space="preserve"> </w:t>
      </w:r>
      <w:r>
        <w:t xml:space="preserve">mixture (low air-fuel ratio) burns measurably more.</w:t>
      </w:r>
    </w:p>
    <w:bookmarkEnd w:id="63"/>
    <w:bookmarkStart w:id="84" w:name="attrib"/>
    <w:p>
      <w:pPr>
        <w:pStyle w:val="Heading2"/>
      </w:pPr>
      <w:r>
        <w:t xml:space="preserve">8. Attribution</w:t>
      </w:r>
    </w:p>
    <w:bookmarkStart w:id="67" w:name="signature-contrast"/>
    <w:p>
      <w:pPr>
        <w:pStyle w:val="Heading3"/>
      </w:pPr>
      <w:r>
        <w:t xml:space="preserve">8.1 Signature contrast</w:t>
      </w:r>
    </w:p>
    <w:p>
      <w:pPr>
        <w:pStyle w:val="FirstParagraph"/>
      </w:pPr>
      <w:r>
        <w:t xml:space="preserve">Regressing each excess on each axis (Table 6, Figure 6) gives the central qualitative result. The kinematic axis explains driver-caused excess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0.084</m:t>
        </m:r>
      </m:oMath>
      <w:r>
        <w:t xml:space="preserve">) but is structurally unavailable on the</w:t>
      </w:r>
      <w:r>
        <w:t xml:space="preserve"> </w:t>
      </w:r>
      <w:r>
        <w:t xml:space="preserve">steady-state bench. The combustion axis explains fault-caused excess strongly, but this cell is</w:t>
      </w:r>
      <w:r>
        <w:t xml:space="preserve"> </w:t>
      </w:r>
      <w:r>
        <w:t xml:space="preserve">physically forced rather than discovered, and the informative cell is its counterpart: the combustion</w:t>
      </w:r>
      <w:r>
        <w:t xml:space="preserve"> </w:t>
      </w:r>
      <w:r>
        <w:t xml:space="preserve">axis is</w:t>
      </w:r>
      <w:r>
        <w:t xml:space="preserve"> </w:t>
      </w:r>
      <w:r>
        <w:rPr>
          <w:b/>
          <w:bCs/>
        </w:rPr>
        <w:t xml:space="preserve">silent for driver-caused 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; univariate correlation</w:t>
      </w:r>
      <w:r>
        <w:t xml:space="preserve"> </w:t>
      </w:r>
      <m:oMath>
        <m:r>
          <m:rPr>
            <m:sty m:val="p"/>
          </m:rPr>
          <m:t>−</m:t>
        </m:r>
        <m:r>
          <m:t>0.106</m:t>
        </m:r>
      </m:oMath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Driver-excess (VED)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Fault-excess (bench)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Kinematic (transient aggression)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(steady-state)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Combustion (AFR / fuel trim)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0.903*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 univariate correlation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+0.333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Signature contrast: variance of excess explained (held-out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 by</w:t>
      </w:r>
      <w:r>
        <w:t xml:space="preserve"> </w:t>
      </w:r>
      <w:r>
        <w:t xml:space="preserve">each axis. *The bench combustion cell is physically forced (a rich mixture is extra fuel) and is not</w:t>
      </w:r>
      <w:r>
        <w:t xml:space="preserve"> </w:t>
      </w:r>
      <w:r>
        <w:t xml:space="preserve">the claim; see below.</w:t>
      </w:r>
    </w:p>
    <w:p>
      <w:pPr>
        <w:pStyle w:val="BodyText"/>
      </w:pPr>
      <w:r>
        <w:t xml:space="preserve">Why the bench cell is not the claim. On the bench, air-fuel ratio and fuel are physically coupled, so</w:t>
      </w:r>
      <w:r>
        <w:t xml:space="preserve"> </w:t>
      </w:r>
      <w:r>
        <w:t xml:space="preserve">a combustion axis explaining fault-excess is expected rather than discovered. The multivariate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0.903 is carried mainly by carbon monoxide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0.73</m:t>
        </m:r>
      </m:oMath>
      <w:r>
        <w:t xml:space="preserve">) and hydrocarbons (0.44), the</w:t>
      </w:r>
      <w:r>
        <w:t xml:space="preserve"> </w:t>
      </w:r>
      <w:r>
        <w:t xml:space="preserve">unburnt-fuel emission products, with air-fuel ratio and lambda perfectly collinear (</w:t>
      </w:r>
      <m:oMath>
        <m:r>
          <m:t>r</m:t>
        </m:r>
        <m:r>
          <m:rPr>
            <m:sty m:val="p"/>
          </m:rPr>
          <m:t>=</m:t>
        </m:r>
        <m:r>
          <m:t>1.0</m:t>
        </m:r>
      </m:oMath>
      <w:r>
        <w:t xml:space="preserve">) at</w:t>
      </w:r>
      <w:r>
        <w:t xml:space="preserve"> </w:t>
      </w:r>
      <w:r>
        <w:t xml:space="preserve">0.12 each; the univariate correlation of 0.33 understates the multivariate fit because a single</w:t>
      </w:r>
      <w:r>
        <w:t xml:space="preserve"> </w:t>
      </w:r>
      <w:r>
        <w:t xml:space="preserve">air-fuel-ratio transform misses the emission channels. It is also interpolation, not generalization:</w:t>
      </w:r>
      <w:r>
        <w:t xml:space="preserve"> </w:t>
      </w:r>
      <w:r>
        <w:t xml:space="preserve">under leave-operating-region-out cross-validation (RPM×power terciles) the all-sensor fit falls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0.48</m:t>
        </m:r>
      </m:oMath>
      <w:r>
        <w:t xml:space="preserve"> </w:t>
      </w:r>
      <w:r>
        <w:t xml:space="preserve">and a deployment-transferable subset (air-fuel ratio, lambda, oxygen; excluding the</w:t>
      </w:r>
      <w:r>
        <w:t xml:space="preserve"> </w:t>
      </w:r>
      <w:r>
        <w:t xml:space="preserve">bench-only CO and HC analyzers) to 0.12, so the 0.903 reflects near-neighbour operating points rather</w:t>
      </w:r>
      <w:r>
        <w:t xml:space="preserve"> </w:t>
      </w:r>
      <w:r>
        <w:t xml:space="preserve">than a portable predictor. We therefore treat this cell as a physical</w:t>
      </w:r>
      <w:r>
        <w:t xml:space="preserve"> </w:t>
      </w:r>
      <w:r>
        <w:t xml:space="preserve">consistency check and rest the claim on the silent driver-excess cell and the attribution accuracy</w:t>
      </w:r>
      <w:r>
        <w:t xml:space="preserve"> </w:t>
      </w:r>
      <w:r>
        <w:t xml:space="preserve">below.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one cell is physically forced, one is structurally absent, and the two</w:t>
      </w:r>
      <w:r>
        <w:t xml:space="preserve"> </w:t>
      </w:r>
      <w:r>
        <w:t xml:space="preserve">evidential cells are the silent combustion axis on driver-excess and the kinematic axis carrying the</w:t>
      </w:r>
      <w:r>
        <w:t xml:space="preserve"> </w:t>
      </w:r>
      <w:r>
        <w:t xml:space="preserve">driver signal; we therefore call this a signature contrast rather than a full double dissociation.</w:t>
      </w:r>
    </w:p>
    <w:p>
      <w:pPr>
        <w:pStyle w:val="CaptionedFigure"/>
      </w:pPr>
      <w:r>
        <w:drawing>
          <wp:inline>
            <wp:extent cx="5004816" cy="3169920"/>
            <wp:effectExtent b="0" l="0" r="0" t="0"/>
            <wp:docPr descr="Signature contrast" title="" id="65" name="Picture"/>
            <a:graphic>
              <a:graphicData uri="http://schemas.openxmlformats.org/drawingml/2006/picture">
                <pic:pic>
                  <pic:nvPicPr>
                    <pic:cNvPr descr="figures/signature_contrast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816" cy="3169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6.</w:t>
      </w:r>
      <w:r>
        <w:t xml:space="preserve"> </w:t>
      </w:r>
      <w:r>
        <w:t xml:space="preserve">Signature contrast. The combustion axis is silent for driver-caused</w:t>
      </w:r>
      <w:r>
        <w:t xml:space="preserve"> </w:t>
      </w:r>
      <w:r>
        <w:t xml:space="preserve">excess while the kinematic axis carries it; the starred bench cell is physically expected.</w:t>
      </w:r>
    </w:p>
    <w:bookmarkEnd w:id="67"/>
    <w:bookmarkStart w:id="68" w:name="Xd6fc0166739812c3871d7dee08ed8f862b94f1f"/>
    <w:p>
      <w:pPr>
        <w:pStyle w:val="Heading3"/>
      </w:pPr>
      <w:r>
        <w:t xml:space="preserve">8.2 Comparison to detection and feature-relevance baselines</w:t>
      </w:r>
    </w:p>
    <w:p>
      <w:pPr>
        <w:pStyle w:val="FirstParagraph"/>
      </w:pPr>
      <w:r>
        <w:t xml:space="preserve">Existing methods detect and rank but do not attribute. The isolation forest tracks excess only weakly</w:t>
      </w:r>
      <w:r>
        <w:t xml:space="preserve"> </w:t>
      </w:r>
      <w:r>
        <w:t xml:space="preserve">(correlation 0.16 with excess), aligns with the behaviour component (0.22) but not the vehicle-baseline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0.01</m:t>
        </m:r>
      </m:oMath>
      <w:r>
        <w:t xml:space="preserve">), and returns a single anomaly score with no cause label. Permutation-importance feature</w:t>
      </w:r>
      <w:r>
        <w:t xml:space="preserve"> </w:t>
      </w:r>
      <w:r>
        <w:t xml:space="preserve">relevance ranks mean speed (0.95) and weight (0.69) highest, physical determinants of consumption but</w:t>
      </w:r>
      <w:r>
        <w:t xml:space="preserve"> </w:t>
      </w:r>
      <w:r>
        <w:t xml:space="preserve">not a per-trip driver-versus-vehicle split. A pooled model that omits the vehicle term leaves</w:t>
      </w:r>
      <w:r>
        <w:t xml:space="preserve"> </w:t>
      </w:r>
      <w:r>
        <w:t xml:space="preserve">1.23 L/100km of per-vehicle systematic effect unattributed. None of these produces the decomposition</w:t>
      </w:r>
      <w:r>
        <w:t xml:space="preserve"> </w:t>
      </w:r>
      <w:r>
        <w:t xml:space="preserve">our method does; because there is no cause-labelled real benchmark, this is a capability contrast, and</w:t>
      </w:r>
      <w:r>
        <w:t xml:space="preserve"> </w:t>
      </w:r>
      <w:r>
        <w:t xml:space="preserve">the quantitative evaluation is next.</w:t>
      </w:r>
    </w:p>
    <w:bookmarkEnd w:id="68"/>
    <w:bookmarkStart w:id="72" w:name="Xb1501bb4601b4931c307d9f0cff37d918ea1833"/>
    <w:p>
      <w:pPr>
        <w:pStyle w:val="Heading3"/>
      </w:pPr>
      <w:r>
        <w:t xml:space="preserve">8.3 Attribution accuracy on semi-synthetic ground truth</w:t>
      </w:r>
    </w:p>
    <w:p>
      <w:pPr>
        <w:pStyle w:val="FirstParagraph"/>
      </w:pPr>
      <w:r>
        <w:t xml:space="preserve">To measure attribution we give each real VED trip a driver-caused and a fault-caused variant that</w:t>
      </w:r>
      <w:r>
        <w:t xml:space="preserve"> </w:t>
      </w:r>
      <w:r>
        <w:t xml:space="preserve">raise fuel by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amount, so fuel magnitude is uninformative, and ask a frozen attributor</w:t>
      </w:r>
      <w:r>
        <w:t xml:space="preserve"> </w:t>
      </w:r>
      <w:r>
        <w:t xml:space="preserve">to recover the cause. Each variant perturbs only its own axis, at the feature level: the driver</w:t>
      </w:r>
      <w:r>
        <w:t xml:space="preserve"> </w:t>
      </w:r>
      <w:r>
        <w:t xml:space="preserve">variant shifts the kinematic features along the aggressive direction learned on the external driving</w:t>
      </w:r>
      <w:r>
        <w:t xml:space="preserve"> </w:t>
      </w:r>
      <w:r>
        <w:t xml:space="preserve">data (UAH-DriveSet, at the fleet's 1 Hz rate), and the fault variant shifts the fuel trim by the</w:t>
      </w:r>
      <w:r>
        <w:t xml:space="preserve"> </w:t>
      </w:r>
      <w:r>
        <w:t xml:space="preserve">bench's rich-mixture magnitude. The two effect sizes are calibrated from their sources rather than</w:t>
      </w:r>
      <w:r>
        <w:t xml:space="preserve"> </w:t>
      </w:r>
      <w:r>
        <w:t xml:space="preserve">assumed equal: a typical aggressive window is</w:t>
      </w:r>
      <w:r>
        <w:t xml:space="preserve"> </w:t>
      </w:r>
      <w:r>
        <w:rPr>
          <w:b/>
          <w:bCs/>
        </w:rPr>
        <w:t xml:space="preserve">0.65</w:t>
      </w:r>
      <w:r>
        <w:t xml:space="preserve"> </w:t>
      </w:r>
      <w:r>
        <w:t xml:space="preserve">standard deviations on the kinematic score</w:t>
      </w:r>
      <w:r>
        <w:t xml:space="preserve"> </w:t>
      </w:r>
      <w:r>
        <w:t xml:space="preserve">(Cohen's d on UAH), whereas the bench rich fault is</w:t>
      </w:r>
      <w:r>
        <w:t xml:space="preserve"> </w:t>
      </w:r>
      <w:r>
        <w:rPr>
          <w:b/>
          <w:bCs/>
        </w:rPr>
        <w:t xml:space="preserve">1.66</w:t>
      </w:r>
      <w:r>
        <w:t xml:space="preserve"> </w:t>
      </w:r>
      <w:r>
        <w:t xml:space="preserve">within-vehicle standard deviations on</w:t>
      </w:r>
      <w:r>
        <w:t xml:space="preserve"> </w:t>
      </w:r>
      <w:r>
        <w:t xml:space="preserve">the combustion axis. Both axes are standardized to unit variance, the driver signature is the frozen</w:t>
      </w:r>
      <w:r>
        <w:t xml:space="preserve"> </w:t>
      </w:r>
      <w:r>
        <w:t xml:space="preserve">UAH logistic, and nothing is fit to the injection labels.</w:t>
      </w:r>
    </w:p>
    <w:p>
      <w:pPr>
        <w:pStyle w:val="BodyText"/>
      </w:pPr>
      <w:r>
        <w:t xml:space="preserve">At this realistic, asymmetric operating point the frozen source-derived attributor reaches</w:t>
      </w:r>
      <w:r>
        <w:t xml:space="preserve"> </w:t>
      </w:r>
      <w:r>
        <w:rPr>
          <w:b/>
          <w:bCs/>
        </w:rPr>
        <w:t xml:space="preserve">78.5% accuracy</w:t>
      </w:r>
      <w:r>
        <w:t xml:space="preserve">, with a trained upper bound of 81.2%, while a classifier given only the matched</w:t>
      </w:r>
      <w:r>
        <w:t xml:space="preserve"> </w:t>
      </w:r>
      <w:r>
        <w:t xml:space="preserve">fuel increase is at chance (</w:t>
      </w:r>
      <w:r>
        <w:rPr>
          <w:b/>
          <w:bCs/>
        </w:rPr>
        <w:t xml:space="preserve">49.7%</w:t>
      </w:r>
      <w:r>
        <w:t xml:space="preserve">, measured, not assumed). The result is falsifiable and passes:</w:t>
      </w:r>
      <w:r>
        <w:t xml:space="preserve"> </w:t>
      </w:r>
      <w:r>
        <w:t xml:space="preserve">negating the frozen driver weights collapses accuracy to</w:t>
      </w:r>
      <w:r>
        <w:t xml:space="preserve"> </w:t>
      </w:r>
      <w:r>
        <w:rPr>
          <w:b/>
          <w:bCs/>
        </w:rPr>
        <w:t xml:space="preserve">60.0%</w:t>
      </w:r>
      <w:r>
        <w:t xml:space="preserve"> </w:t>
      </w:r>
      <w:r>
        <w:t xml:space="preserve">and shuffling them to 72.7%, so</w:t>
      </w:r>
      <w:r>
        <w:t xml:space="preserve"> </w:t>
      </w:r>
      <w:r>
        <w:t xml:space="preserve">the learned signature genuinely carries the attribution rather than the injection being trivially</w:t>
      </w:r>
      <w:r>
        <w:t xml:space="preserve"> </w:t>
      </w:r>
      <w:r>
        <w:t xml:space="preserve">recoverable (Figure 7). Accuracy rises with driver severity, from 0.79 at the realistic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 </w:t>
      </w:r>
      <w:r>
        <w:t xml:space="preserve">to 0.89 when the driver signal matches the fault magnitude and 0.93 for severe</w:t>
      </w:r>
      <w:r>
        <w:t xml:space="preserve"> </w:t>
      </w:r>
      <w:r>
        <w:t xml:space="preserve">aggression. The design measures how detectable the two signatures are against real trip-to-trip noise;</w:t>
      </w:r>
      <w:r>
        <w:t xml:space="preserve"> </w:t>
      </w:r>
      <w:r>
        <w:t xml:space="preserve">it presumes rather than proves axis-separability, which rests instead on the bench fault signature and</w:t>
      </w:r>
      <w:r>
        <w:t xml:space="preserve"> </w:t>
      </w:r>
      <w:r>
        <w:t xml:space="preserve">the silent driver-excess cell.</w:t>
      </w:r>
    </w:p>
    <w:p>
      <w:pPr>
        <w:pStyle w:val="BodyText"/>
      </w:pPr>
      <w:r>
        <w:t xml:space="preserve">A real-data check on natural variation corroborates the driver half of this result without any</w:t>
      </w:r>
      <w:r>
        <w:t xml:space="preserve"> </w:t>
      </w:r>
      <w:r>
        <w:t xml:space="preserve">injection. Among real VED trips, those whose kinematic deviation dominates carry a genuine excess of</w:t>
      </w:r>
      <w:r>
        <w:t xml:space="preserve"> </w:t>
      </w:r>
      <w:r>
        <w:rPr>
          <w:b/>
          <w:bCs/>
        </w:rPr>
        <w:t xml:space="preserve">+0.57 L/100km</w:t>
      </w:r>
      <w:r>
        <w:t xml:space="preserve"> </w:t>
      </w:r>
      <w:r>
        <w:t xml:space="preserve">over expectation, whereas those whose fueling-correction (trim) deviation</w:t>
      </w:r>
      <w:r>
        <w:t xml:space="preserve"> </w:t>
      </w:r>
      <w:r>
        <w:t xml:space="preserve">dominates carry none (−0.34, at the level of low-deviation trips; Mann-Whitney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</m:oMath>
      <w:r>
        <w:t xml:space="preserve">). Real trip excess correlates with the kinematic axis (</w:t>
      </w:r>
      <m:oMath>
        <m:r>
          <m:t>r</m:t>
        </m:r>
        <m:r>
          <m:rPr>
            <m:sty m:val="p"/>
          </m:rPr>
          <m:t>=</m:t>
        </m:r>
        <m:r>
          <m:t>0.22</m:t>
        </m:r>
      </m:oMath>
      <w:r>
        <w:t xml:space="preserve">) but not with the</w:t>
      </w:r>
      <w:r>
        <w:t xml:space="preserve"> </w:t>
      </w:r>
      <w:r>
        <w:t xml:space="preserve">combustion axis (</w:t>
      </w:r>
      <m:oMath>
        <m:r>
          <m:t>r</m:t>
        </m:r>
        <m:r>
          <m:rPr>
            <m:sty m:val="p"/>
          </m:rPr>
          <m:t>=</m:t>
        </m:r>
        <m:r>
          <m:t>0.00</m:t>
        </m:r>
      </m:oMath>
      <w:r>
        <w:t xml:space="preserve">), and the latter stays flat even within the highest-trim quartile</w:t>
      </w:r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). On real trips, then, the driver signature genuinely predicts excess fuel while the</w:t>
      </w:r>
      <w:r>
        <w:t xml:space="preserve"> </w:t>
      </w:r>
      <w:r>
        <w:t xml:space="preserve">fueling-correction signature does not, a real-data counterpart to the silent combustion cell of</w:t>
      </w:r>
      <w:r>
        <w:t xml:space="preserve"> </w:t>
      </w:r>
      <w:r>
        <w:t xml:space="preserve">Section 8.1; that the fleet contains no combustion-linked fuel excess is exactly why the malfunction</w:t>
      </w:r>
      <w:r>
        <w:t xml:space="preserve"> </w:t>
      </w:r>
      <w:r>
        <w:t xml:space="preserve">signature is anchored on the controlled bench.</w:t>
      </w:r>
    </w:p>
    <w:p>
      <w:pPr>
        <w:pStyle w:val="CaptionedFigure"/>
      </w:pPr>
      <w:r>
        <w:drawing>
          <wp:inline>
            <wp:extent cx="5212080" cy="3389376"/>
            <wp:effectExtent b="0" l="0" r="0" t="0"/>
            <wp:docPr descr="Attribution accuracy vs driver severity" title="" id="70" name="Picture"/>
            <a:graphic>
              <a:graphicData uri="http://schemas.openxmlformats.org/drawingml/2006/picture">
                <pic:pic>
                  <pic:nvPicPr>
                    <pic:cNvPr descr="figures/fig6_attribution_accuracy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080" cy="3389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7.</w:t>
      </w:r>
      <w:r>
        <w:t xml:space="preserve"> </w:t>
      </w:r>
      <w:r>
        <w:t xml:space="preserve">Attribution accuracy rises with driver aggression severity</w:t>
      </w:r>
      <w:r>
        <w:t xml:space="preserve"> </w:t>
      </w:r>
      <w:r>
        <w:t xml:space="preserve">(Cohen's d on the kinematic score); at the realistic operating point (</w:t>
      </w:r>
      <m:oMath>
        <m:r>
          <m:t>d</m:t>
        </m:r>
        <m:r>
          <m:rPr>
            <m:sty m:val="p"/>
          </m:rPr>
          <m:t>=</m:t>
        </m:r>
        <m:r>
          <m:t>0.65</m:t>
        </m:r>
      </m:oMath>
      <w:r>
        <w:t xml:space="preserve">) the frozen</w:t>
      </w:r>
      <w:r>
        <w:t xml:space="preserve"> </w:t>
      </w:r>
      <w:r>
        <w:t xml:space="preserve">source-derived attributor reaches 0.785. Negating the frozen driver weights (a falsification</w:t>
      </w:r>
      <w:r>
        <w:t xml:space="preserve"> </w:t>
      </w:r>
      <w:r>
        <w:t xml:space="preserve">control) and using fuel magnitude alone both collapse toward chance.</w:t>
      </w:r>
    </w:p>
    <w:bookmarkEnd w:id="72"/>
    <w:bookmarkStart w:id="76" w:name="abstention-mixed-causes-and-baselines"/>
    <w:p>
      <w:pPr>
        <w:pStyle w:val="Heading3"/>
      </w:pPr>
      <w:r>
        <w:t xml:space="preserve">8.4 Abstention, mixed causes, and baselines</w:t>
      </w:r>
    </w:p>
    <w:p>
      <w:pPr>
        <w:pStyle w:val="FirstParagraph"/>
      </w:pPr>
      <w:r>
        <w:t xml:space="preserve">The frozen rule supports abstention: withholding a decision when the two scores are close (a margin</w:t>
      </w:r>
      <w:r>
        <w:t xml:space="preserve"> </w:t>
      </w:r>
      <m:oMath>
        <m:r>
          <m:t>τ</m:t>
        </m:r>
      </m:oMath>
      <w:r>
        <w:t xml:space="preserve">) trades coverage for accuracy. At the realistic operating point, deciding on the 61% of</w:t>
      </w:r>
      <w:r>
        <w:t xml:space="preserve"> </w:t>
      </w:r>
      <w:r>
        <w:t xml:space="preserve">trips with the clearest evidence raises accuracy from 78.5% to 88.3%, and on the clearest 31% to</w:t>
      </w:r>
      <w:r>
        <w:t xml:space="preserve"> </w:t>
      </w:r>
      <w:r>
        <w:t xml:space="preserve">93.3%. In a maintenance setting an explicit "uncertain" verdict is preferable to a confident wrong</w:t>
      </w:r>
      <w:r>
        <w:t xml:space="preserve"> </w:t>
      </w:r>
      <w:r>
        <w:t xml:space="preserve">intervention.</w:t>
      </w:r>
    </w:p>
    <w:p>
      <w:pPr>
        <w:pStyle w:val="BodyText"/>
      </w:pPr>
      <w:r>
        <w:t xml:space="preserve">The real world does not present pure one-axis changes. Scoring dominant-cause accuracy over a grid</w:t>
      </w:r>
      <w:r>
        <w:t xml:space="preserve"> </w:t>
      </w:r>
      <w:r>
        <w:t xml:space="preserve">of driver and fault effect sizes (Figure 8), attribution is reliable off the diagonal and falls to</w:t>
      </w:r>
      <w:r>
        <w:t xml:space="preserve"> </w:t>
      </w:r>
      <w:r>
        <w:t xml:space="preserve">chance only where the two effects are equal and the cause is genuinely ambiguous.</w:t>
      </w:r>
    </w:p>
    <w:p>
      <w:pPr>
        <w:pStyle w:val="CaptionedFigure"/>
      </w:pPr>
      <w:r>
        <w:drawing>
          <wp:inline>
            <wp:extent cx="4273296" cy="3651504"/>
            <wp:effectExtent b="0" l="0" r="0" t="0"/>
            <wp:docPr descr="Mixed-cause dominant-cause accuracy grid" title="" id="74" name="Picture"/>
            <a:graphic>
              <a:graphicData uri="http://schemas.openxmlformats.org/drawingml/2006/picture">
                <pic:pic>
                  <pic:nvPicPr>
                    <pic:cNvPr descr="figures/mixed_cause_grid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296" cy="3651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8.</w:t>
      </w:r>
      <w:r>
        <w:t xml:space="preserve"> </w:t>
      </w:r>
      <w:r>
        <w:t xml:space="preserve">Dominant-cause accuracy when both causes act, over driver severity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and fault effect</w:t>
      </w:r>
      <w:r>
        <w:t xml:space="preserve"> </w:t>
      </w:r>
      <m:oMath>
        <m:sSub>
          <m:e>
            <m:r>
              <m:t>S</m:t>
            </m:r>
          </m:e>
          <m:sub>
            <m:r>
              <m:t>f</m:t>
            </m:r>
          </m:sub>
        </m:sSub>
      </m:oMath>
      <w:r>
        <w:t xml:space="preserve">; reliable off the diagonal, chance where they are equal.</w:t>
      </w:r>
    </w:p>
    <w:p>
      <w:pPr>
        <w:pStyle w:val="BodyText"/>
      </w:pPr>
      <w:r>
        <w:t xml:space="preserve">Attribution is not an artifact of one attributor. At the realistic operating point, a</w:t>
      </w:r>
      <w:r>
        <w:t xml:space="preserve"> </w:t>
      </w:r>
      <w:r>
        <w:t xml:space="preserve">likelihood-ratio prototype against source-calibrated signature distributions matches the trained</w:t>
      </w:r>
      <w:r>
        <w:t xml:space="preserve"> </w:t>
      </w:r>
      <w:r>
        <w:t xml:space="preserve">upper bound (0.81), the frozen argmax rule reaches 0.79, and fuel magnitude alone stays at chance</w:t>
      </w:r>
      <w:r>
        <w:t xml:space="preserve"> </w:t>
      </w:r>
      <w:r>
        <w:t xml:space="preserve">(Table 7). The signature separation, not the choice of attributor, carries the result.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Attributor (realistic operating point)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injection labels?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Fuel magnitude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(chance)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Negated driver weights (falsification)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Frozen source-derived argmax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Likelihood-ratio prototype (source-calibrated)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 upper bound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Attributors at the realistic asymmetric operating point. Signature-based</w:t>
      </w:r>
      <w:r>
        <w:t xml:space="preserve"> </w:t>
      </w:r>
      <w:r>
        <w:t xml:space="preserve">rules reach ~0.79–0.81 without injection labels; negating the frozen driver weights collapses the</w:t>
      </w:r>
      <w:r>
        <w:t xml:space="preserve"> </w:t>
      </w:r>
      <w:r>
        <w:t xml:space="preserve">result (falsification); fuel magnitude alone is at chance.</w:t>
      </w:r>
    </w:p>
    <w:bookmarkEnd w:id="76"/>
    <w:bookmarkStart w:id="79" w:name="Xb70b62c2f344913f38fcc3ac71a67668c178b99"/>
    <w:p>
      <w:pPr>
        <w:pStyle w:val="Heading3"/>
      </w:pPr>
      <w:r>
        <w:t xml:space="preserve">8.5 Robustness of the silent-combustion result</w:t>
      </w:r>
    </w:p>
    <w:p>
      <w:pPr>
        <w:pStyle w:val="FirstParagraph"/>
      </w:pPr>
      <w:r>
        <w:t xml:space="preserve">Two threats could make the silent combustion cell an artifact rather than a finding; both are ruled</w:t>
      </w:r>
      <w:r>
        <w:t xml:space="preserve"> </w:t>
      </w:r>
      <w:r>
        <w:t xml:space="preserve">out.</w:t>
      </w:r>
    </w:p>
    <w:bookmarkStart w:id="77" w:name="trim-blindness-of-the-fuel-target"/>
    <w:p>
      <w:pPr>
        <w:pStyle w:val="Heading4"/>
      </w:pPr>
      <w:r>
        <w:t xml:space="preserve">Trim-blindness of the fuel target</w:t>
      </w:r>
    </w:p>
    <w:p>
      <w:pPr>
        <w:pStyle w:val="FirstParagraph"/>
      </w:pPr>
      <w:r>
        <w:t xml:space="preserve">The fleet fuel target is derived from mass air-flow at stoichiometric ratio (Eq. 1), which ignores</w:t>
      </w:r>
      <w:r>
        <w:t xml:space="preserve"> </w:t>
      </w:r>
      <w:r>
        <w:t xml:space="preserve">the trim-driven fuel fraction and could suppress the combustion axis by construction. Re-deriving fuel</w:t>
      </w:r>
      <w:r>
        <w:t xml:space="preserve"> </w:t>
      </w:r>
      <w:r>
        <w:t xml:space="preserve">with the trim correction of Eq. 2 moves the combustion axis on driver-excess only from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0.012</m:t>
        </m:r>
      </m:oMath>
      <w:r>
        <w:t xml:space="preserve">; it stays silent, because the ignored fraction is small in this healthy</w:t>
      </w:r>
      <w:r>
        <w:t xml:space="preserve"> </w:t>
      </w:r>
      <w:r>
        <w:t xml:space="preserve">fleet (median 1.5%, 90th percentile 11%). The result is also robust to how the fueling-correction</w:t>
      </w:r>
      <w:r>
        <w:t xml:space="preserve"> </w:t>
      </w:r>
      <w:r>
        <w:t xml:space="preserve">signal is treated: the short- and long-term trims are individually uninformative for driver-excess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0.019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0.051</m:t>
        </m:r>
      </m:oMath>
      <w:r>
        <w:t xml:space="preserve">), and an additive versus multiplicative trim correction changes the</w:t>
      </w:r>
      <w:r>
        <w:t xml:space="preserve"> </w:t>
      </w:r>
      <w:r>
        <w:t xml:space="preserve">fuel target by a median of 0.002 L/100km and the combustion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 less than 0.01.</w:t>
      </w:r>
    </w:p>
    <w:bookmarkEnd w:id="77"/>
    <w:bookmarkStart w:id="78" w:name="range-restriction"/>
    <w:p>
      <w:pPr>
        <w:pStyle w:val="Heading4"/>
      </w:pPr>
      <w:r>
        <w:t xml:space="preserve">Range restriction</w:t>
      </w:r>
    </w:p>
    <w:p>
      <w:pPr>
        <w:pStyle w:val="FirstParagraph"/>
      </w:pPr>
      <w:r>
        <w:t xml:space="preserve">If VED simply had no combustion variance, the axis could not correlate with anything. It does have</w:t>
      </w:r>
      <w:r>
        <w:t xml:space="preserve"> </w:t>
      </w:r>
      <w:r>
        <w:t xml:space="preserve">variance (within-vehicle long-term-trim standard deviation 1.79%, between-vehicle 4.41%). Restricting</w:t>
      </w:r>
      <w:r>
        <w:t xml:space="preserve"> </w:t>
      </w:r>
      <w:r>
        <w:t xml:space="preserve">to the highest-trim quartile of vehicles (47 vehicles) still gives a near-zero excess-versus-trim</w:t>
      </w:r>
      <w:r>
        <w:t xml:space="preserve"> </w:t>
      </w:r>
      <w:r>
        <w:t xml:space="preserve">correlation (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0.14</m:t>
        </m:r>
      </m:oMath>
      <w:r>
        <w:t xml:space="preserve">). The silence therefore reflects that driver-caused excess is genuinely not</w:t>
      </w:r>
      <w:r>
        <w:t xml:space="preserve"> </w:t>
      </w:r>
      <w:r>
        <w:t xml:space="preserve">combustion-linked, not a measurement or sampling artifact.</w:t>
      </w:r>
    </w:p>
    <w:bookmarkEnd w:id="78"/>
    <w:bookmarkEnd w:id="79"/>
    <w:bookmarkStart w:id="83" w:name="a-worked-example"/>
    <w:p>
      <w:pPr>
        <w:pStyle w:val="Heading3"/>
      </w:pPr>
      <w:r>
        <w:t xml:space="preserve">8.6 A worked example</w:t>
      </w:r>
    </w:p>
    <w:p>
      <w:pPr>
        <w:pStyle w:val="FirstParagraph"/>
      </w:pPr>
      <w:r>
        <w:t xml:space="preserve">Figure 9 shows the method's per-trip product on two real trips with the same symptom and opposite</w:t>
      </w:r>
      <w:r>
        <w:t xml:space="preserve"> </w:t>
      </w:r>
      <w:r>
        <w:t xml:space="preserve">causes. Trip A burns 5.2 L/100km above its gentle-driving baseline, almost all of it driving</w:t>
      </w:r>
      <w:r>
        <w:t xml:space="preserve"> </w:t>
      </w:r>
      <w:r>
        <w:t xml:space="preserve">behaviour, with a negligible vehicle-baseline; Trip B burns 2.8 above baseline, almost all of it a</w:t>
      </w:r>
      <w:r>
        <w:t xml:space="preserve"> </w:t>
      </w:r>
      <w:r>
        <w:t xml:space="preserve">persistent vehicle-baseline offset, with negligible behaviour. Fuel per distance alone would flag both</w:t>
      </w:r>
      <w:r>
        <w:t xml:space="preserve"> </w:t>
      </w:r>
      <w:r>
        <w:t xml:space="preserve">and explain neither; the decomposition attributes each to its cause.</w:t>
      </w:r>
    </w:p>
    <w:p>
      <w:pPr>
        <w:pStyle w:val="CaptionedFigure"/>
      </w:pPr>
      <w:r>
        <w:drawing>
          <wp:inline>
            <wp:extent cx="5334000" cy="2380462"/>
            <wp:effectExtent b="0" l="0" r="0" t="0"/>
            <wp:docPr descr="Per-trip decomposition, two example trips" title="" id="81" name="Picture"/>
            <a:graphic>
              <a:graphicData uri="http://schemas.openxmlformats.org/drawingml/2006/picture">
                <pic:pic>
                  <pic:nvPicPr>
                    <pic:cNvPr descr="figures/fig7_worked_ex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Figure 9.</w:t>
      </w:r>
      <w:r>
        <w:t xml:space="preserve"> </w:t>
      </w:r>
      <w:r>
        <w:t xml:space="preserve">Two real trips, same elevated fuel, opposite cause. The decomposition</w:t>
      </w:r>
      <w:r>
        <w:t xml:space="preserve"> </w:t>
      </w:r>
      <w:r>
        <w:t xml:space="preserve">separates a driver-dominated trip (A) from a vehicle-dominated trip (B).</w:t>
      </w:r>
    </w:p>
    <w:bookmarkEnd w:id="83"/>
    <w:bookmarkEnd w:id="84"/>
    <w:bookmarkStart w:id="89" w:name="discuss"/>
    <w:p>
      <w:pPr>
        <w:pStyle w:val="Heading2"/>
      </w:pPr>
      <w:r>
        <w:t xml:space="preserve">9. Discussion</w:t>
      </w:r>
    </w:p>
    <w:bookmarkStart w:id="85" w:name="why-signature-based-attribution-works"/>
    <w:p>
      <w:pPr>
        <w:pStyle w:val="Heading3"/>
      </w:pPr>
      <w:r>
        <w:t xml:space="preserve">9.1 Why signature-based attribution works</w:t>
      </w:r>
    </w:p>
    <w:p>
      <w:pPr>
        <w:pStyle w:val="FirstParagraph"/>
      </w:pPr>
      <w:r>
        <w:t xml:space="preserve">Fuel per distance is a sum over causes, and summation destroys the information needed to separate</w:t>
      </w:r>
      <w:r>
        <w:t xml:space="preserve"> </w:t>
      </w:r>
      <w:r>
        <w:t xml:space="preserve">them: two trips with identical excess can arise from opposite mechanisms. The signature survives</w:t>
      </w:r>
      <w:r>
        <w:t xml:space="preserve"> </w:t>
      </w:r>
      <w:r>
        <w:t xml:space="preserve">because each cause perturbs the channel it physically acts on. Aggressive driving raises the tractive</w:t>
      </w:r>
      <w:r>
        <w:t xml:space="preserve"> </w:t>
      </w:r>
      <w:r>
        <w:t xml:space="preserve">power demand while the engine holds a normal air-fuel ratio, so the excess appears in kinematics and</w:t>
      </w:r>
      <w:r>
        <w:t xml:space="preserve"> </w:t>
      </w:r>
      <w:r>
        <w:t xml:space="preserve">not in the trims; a rich mixture over-fuels at a given air-flow, so the excess appears in the air-fuel</w:t>
      </w:r>
      <w:r>
        <w:t xml:space="preserve"> </w:t>
      </w:r>
      <w:r>
        <w:t xml:space="preserve">ratio and the unburnt-fuel emissions and not in kinematics. In a healthy fleet the two axes are nearly</w:t>
      </w:r>
      <w:r>
        <w:t xml:space="preserve"> </w:t>
      </w:r>
      <w:r>
        <w:t xml:space="preserve">orthogonal (trip-level correlation</w:t>
      </w:r>
      <w:r>
        <w:t xml:space="preserve"> </w:t>
      </w:r>
      <m:oMath>
        <m:r>
          <m:rPr>
            <m:sty m:val="p"/>
          </m:rPr>
          <m:t>−</m:t>
        </m:r>
        <m:r>
          <m:t>0.01</m:t>
        </m:r>
      </m:oMath>
      <w:r>
        <w:t xml:space="preserve">), which is exactly why the combustion axis is silent for</w:t>
      </w:r>
      <w:r>
        <w:t xml:space="preserve"> </w:t>
      </w:r>
      <w:r>
        <w:t xml:space="preserve">driver-caused excess and why attribution is possible from standard channels.</w:t>
      </w:r>
    </w:p>
    <w:bookmarkEnd w:id="85"/>
    <w:bookmarkStart w:id="86" w:name="deployment"/>
    <w:p>
      <w:pPr>
        <w:pStyle w:val="Heading3"/>
      </w:pPr>
      <w:r>
        <w:t xml:space="preserve">9.2 Deployment</w:t>
      </w:r>
    </w:p>
    <w:p>
      <w:pPr>
        <w:pStyle w:val="FirstParagraph"/>
      </w:pPr>
      <w:r>
        <w:t xml:space="preserve">Both axes come from signals a fleet telematics unit already collects: GPS and inertial derivatives</w:t>
      </w:r>
      <w:r>
        <w:t xml:space="preserve"> </w:t>
      </w:r>
      <w:r>
        <w:t xml:space="preserve">for the kinematic axis, and the short- and long-term fuel trims for the combustion axis. The per-trip</w:t>
      </w:r>
      <w:r>
        <w:t xml:space="preserve"> </w:t>
      </w:r>
      <w:r>
        <w:t xml:space="preserve">decomposition can therefore be computed online and routed: a persistent vehicle-baseline offset feeds</w:t>
      </w:r>
      <w:r>
        <w:t xml:space="preserve"> </w:t>
      </w:r>
      <w:r>
        <w:t xml:space="preserve">an inspection queue, while a large behaviour component feeds driver coaching, in both cases with the</w:t>
      </w:r>
      <w:r>
        <w:t xml:space="preserve"> </w:t>
      </w:r>
      <w:r>
        <w:t xml:space="preserve">attribution's uncertainty attached and a human in the loop. The accuracy curve of Section 8.3 sets</w:t>
      </w:r>
      <w:r>
        <w:t xml:space="preserve"> </w:t>
      </w:r>
      <w:r>
        <w:t xml:space="preserve">expectations for smaller faults: real degradations weaker than the bench rich fault correspond to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1.66</m:t>
        </m:r>
      </m:oMath>
      <w:r>
        <w:t xml:space="preserve"> </w:t>
      </w:r>
      <w:r>
        <w:t xml:space="preserve">and are attributed less confidently, degrading gracefully rather than failing abruptly.</w:t>
      </w:r>
    </w:p>
    <w:bookmarkEnd w:id="86"/>
    <w:bookmarkStart w:id="87" w:name="what-the-vehicle-baseline-is"/>
    <w:p>
      <w:pPr>
        <w:pStyle w:val="Heading3"/>
      </w:pPr>
      <w:r>
        <w:t xml:space="preserve">9.3 What the vehicle-baseline is</w:t>
      </w:r>
    </w:p>
    <w:p>
      <w:pPr>
        <w:pStyle w:val="FirstParagraph"/>
      </w:pPr>
      <w:r>
        <w:t xml:space="preserve">The vehicle-baseline is a real 14% of trip-fuel variance, three-quarters of it unexplained by engine</w:t>
      </w:r>
      <w:r>
        <w:t xml:space="preserve"> </w:t>
      </w:r>
      <w:r>
        <w:t xml:space="preserve">size or weight. Its mechanism is not labelled in VED and plausibly bundles tuning, tire pressure,</w:t>
      </w:r>
      <w:r>
        <w:t xml:space="preserve"> </w:t>
      </w:r>
      <w:r>
        <w:t xml:space="preserve">accumulated wear, and accessory load. That VED cannot resolve this further is itself informative: the fleet is healthy, which is why the malfunction side of the attribution is anchored on a controlled bench rather than observed in the fleet. Attribution here identifies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vehicle deviates persistently, not the specific</w:t>
      </w:r>
      <w:r>
        <w:t xml:space="preserve"> </w:t>
      </w:r>
      <w:r>
        <w:t xml:space="preserve">mechanical fault, which remains a diagnosis step.</w:t>
      </w:r>
    </w:p>
    <w:bookmarkEnd w:id="87"/>
    <w:bookmarkStart w:id="88" w:name="the-benchmark-the-field-needs"/>
    <w:p>
      <w:pPr>
        <w:pStyle w:val="Heading3"/>
      </w:pPr>
      <w:r>
        <w:t xml:space="preserve">9.4 The benchmark the field needs</w:t>
      </w:r>
    </w:p>
    <w:p>
      <w:pPr>
        <w:pStyle w:val="FirstParagraph"/>
      </w:pPr>
      <w:r>
        <w:t xml:space="preserve">Naming what would close the joint-data gap (Section 3.4) turns it into an agenda: a fleet logged with true fuel-flow meters, OBD trims, driver identifiers,</w:t>
      </w:r>
      <w:r>
        <w:t xml:space="preserve"> </w:t>
      </w:r>
      <w:r>
        <w:t xml:space="preserve">and verified maintenance or fault records on the same vehicles and trips. Such a dataset would allow</w:t>
      </w:r>
      <w:r>
        <w:t xml:space="preserve"> </w:t>
      </w:r>
      <w:r>
        <w:t xml:space="preserve">single-trip competing-cause attribution to be trained and measured directly, and the semi-synthetic</w:t>
      </w:r>
      <w:r>
        <w:t xml:space="preserve"> </w:t>
      </w:r>
      <w:r>
        <w:t xml:space="preserve">bridge to be replaced by real ground truth.</w:t>
      </w:r>
    </w:p>
    <w:bookmarkEnd w:id="88"/>
    <w:bookmarkEnd w:id="89"/>
    <w:bookmarkStart w:id="91" w:name="limits"/>
    <w:p>
      <w:pPr>
        <w:pStyle w:val="Heading2"/>
      </w:pPr>
      <w:r>
        <w:t xml:space="preserve">10. Scope and limitations</w:t>
      </w:r>
    </w:p>
    <w:p>
      <w:pPr>
        <w:pStyle w:val="FirstParagraph"/>
      </w:pPr>
      <w:r>
        <w:t xml:space="preserve">Driver and fault ground truths live in different datasets, so the signature contrast is</w:t>
      </w:r>
      <w:r>
        <w:t xml:space="preserve"> </w:t>
      </w:r>
      <w:r>
        <w:t xml:space="preserve">cross-dataset; the semi-synthetic experiment provides the single-trip competing-cause evaluation that</w:t>
      </w:r>
      <w:r>
        <w:t xml:space="preserve"> </w:t>
      </w:r>
      <w:r>
        <w:t xml:space="preserve">no real dataset supports, but it assumes additive, axis-separable effects, and a real fault that</w:t>
      </w:r>
      <w:r>
        <w:t xml:space="preserve"> </w:t>
      </w:r>
      <w:r>
        <w:t xml:space="preserve">co-moved both axes would make attribution harder than the controlled estimate. VED has effectively one</w:t>
      </w:r>
      <w:r>
        <w:t xml:space="preserve"> </w:t>
      </w:r>
      <w:r>
        <w:t xml:space="preserve">driver per vehicle, so per-trip driver-versus-vehicle causation is not identifiable from observation</w:t>
      </w:r>
      <w:r>
        <w:t xml:space="preserve"> </w:t>
      </w:r>
      <w:r>
        <w:t xml:space="preserve">alone; the decomposition is model-based and its attribution is validated on injected ground truth. The</w:t>
      </w:r>
      <w:r>
        <w:t xml:space="preserve"> </w:t>
      </w:r>
      <w:r>
        <w:t xml:space="preserve">malfunction arm is a controlled test bench with no driver context, and its fuel-relevant fault is the</w:t>
      </w:r>
      <w:r>
        <w:t xml:space="preserve"> </w:t>
      </w:r>
      <w:r>
        <w:t xml:space="preserve">rich mixture; the lean-versus-ignition label mapping follows the source paper. VED is a single-city,</w:t>
      </w:r>
      <w:r>
        <w:t xml:space="preserve"> </w:t>
      </w:r>
      <w:r>
        <w:t xml:space="preserve">single-climate, gasoline-only fleet, and its telematics are resampled to 1 Hz, so fine transient</w:t>
      </w:r>
      <w:r>
        <w:t xml:space="preserve"> </w:t>
      </w:r>
      <w:r>
        <w:t xml:space="preserve">dynamics are smoothed; the behaviour-axis transfer is shown on two labelled datasets, at 400 Hz for amplitude features and at the fleet’s own 1 Hz rate for VED-like kinematic features, rather than for the exact VED feature set.</w:t>
      </w:r>
    </w:p>
    <w:bookmarkStart w:id="90" w:name="responsible-use"/>
    <w:p>
      <w:pPr>
        <w:pStyle w:val="Heading3"/>
      </w:pPr>
      <w:r>
        <w:t xml:space="preserve">10.1 Responsible use</w:t>
      </w:r>
    </w:p>
    <w:p>
      <w:pPr>
        <w:pStyle w:val="FirstParagraph"/>
      </w:pPr>
      <w:r>
        <w:t xml:space="preserve">Driver-side attribution is, in fleet practice, a form of worker monitoring, and an attribution error</w:t>
      </w:r>
      <w:r>
        <w:t xml:space="preserve"> </w:t>
      </w:r>
      <w:r>
        <w:t xml:space="preserve">that blames a driver for a mechanical fault, or the reverse, has real consequences for pay and</w:t>
      </w:r>
      <w:r>
        <w:t xml:space="preserve"> </w:t>
      </w:r>
      <w:r>
        <w:t xml:space="preserve">employment. The method should be used with calibrated uncertainty and human review, never as an</w:t>
      </w:r>
      <w:r>
        <w:t xml:space="preserve"> </w:t>
      </w:r>
      <w:r>
        <w:t xml:space="preserve">automatic verdict; the per-trip output is a decomposition with error bars, not a judgment.</w:t>
      </w:r>
    </w:p>
    <w:bookmarkEnd w:id="90"/>
    <w:bookmarkEnd w:id="91"/>
    <w:bookmarkStart w:id="92" w:name="conclusion"/>
    <w:p>
      <w:pPr>
        <w:pStyle w:val="Heading2"/>
      </w:pPr>
      <w:r>
        <w:t xml:space="preserve">11. Conclusion</w:t>
      </w:r>
    </w:p>
    <w:p>
      <w:pPr>
        <w:pStyle w:val="FirstParagraph"/>
      </w:pPr>
      <w:r>
        <w:t xml:space="preserve">Excess fuel consumption has two causes with one symptom, and a fuel-per-distance figure cannot tell</w:t>
      </w:r>
      <w:r>
        <w:t xml:space="preserve"> </w:t>
      </w:r>
      <w:r>
        <w:t xml:space="preserve">a heavy-footed driver from a thirsty vehicle. We showed that the causes separate by signature: driver</w:t>
      </w:r>
      <w:r>
        <w:t xml:space="preserve"> </w:t>
      </w:r>
      <w:r>
        <w:t xml:space="preserve">excess is transient and kinematic, malfunction excess is steady-state and combustion-linked. On a 194-vehicle public fleet, behaviour and a persistent vehicle-baseline account for measurable 8% and 14% shares of trip-fuel variance; on a controlled bench, a rich-mixture fault burns 6.2% more with an</w:t>
      </w:r>
      <w:r>
        <w:t xml:space="preserve"> </w:t>
      </w:r>
      <w:r>
        <w:t xml:space="preserve">emissions signature; the combustion axis is silent for driver-caused excess, and that silence survives</w:t>
      </w:r>
      <w:r>
        <w:t xml:space="preserve"> </w:t>
      </w:r>
      <w:r>
        <w:t xml:space="preserve">both a trim-corrected fuel target and the highest-trim vehicles. When fuel magnitude is made</w:t>
      </w:r>
      <w:r>
        <w:t xml:space="preserve"> </w:t>
      </w:r>
      <w:r>
        <w:t xml:space="preserve">uninformative, frozen signatures learned in separate source domains attribute the cause at 78.5% at a realistic operating point (up to ~0.89 at matched severity) in a calibrated semi-synthetic transfer test with a passing falsification control, where a matched fuel-only baseline is at chance.</w:t>
      </w:r>
      <w:r>
        <w:t xml:space="preserve"> </w:t>
      </w:r>
      <w:r>
        <w:t xml:space="preserve">Because both axes derive from standard on-board-diagnostics channels, per-trip attribution is</w:t>
      </w:r>
      <w:r>
        <w:t xml:space="preserve"> </w:t>
      </w:r>
      <w:r>
        <w:t xml:space="preserve">deployable on existing telematics, and the main obstacle to pushing it further is the absence of a</w:t>
      </w:r>
      <w:r>
        <w:t xml:space="preserve"> </w:t>
      </w:r>
      <w:r>
        <w:t xml:space="preserve">public dataset that carries fuel, faults, and behaviour together.</w:t>
      </w:r>
    </w:p>
    <w:bookmarkEnd w:id="92"/>
    <w:bookmarkStart w:id="96" w:name="repro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Datasets are obtained from their original sources and not redistributed: VED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github.com/gsoh/VED</w:t>
        </w:r>
      </w:hyperlink>
      <w:r>
        <w:t xml:space="preserve">, Apache-2.0); EngineFaultDB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github.com/leoxthomas/EngineFaultDB</w:t>
        </w:r>
      </w:hyperlink>
      <w:r>
        <w:t xml:space="preserve">,</w:t>
      </w:r>
      <w:r>
        <w:t xml:space="preserve"> </w:t>
      </w:r>
      <w:r>
        <w:t xml:space="preserve">GPL-3.0); Driving Events (</w:t>
      </w:r>
      <w:hyperlink r:id="rId95">
        <w:r>
          <w:rPr>
            <w:rStyle w:val="Hyperlink"/>
          </w:rPr>
          <w:t xml:space="preserve">zenodo.org/records/6570972</w:t>
        </w:r>
      </w:hyperlink>
      <w:r>
        <w:t xml:space="preserve">, CC-BY-4.0); UAH-DriveSet [</w:t>
      </w:r>
      <w:hyperlink w:anchor="r26">
        <w:r>
          <w:rPr>
            <w:rStyle w:val="Hyperlink"/>
          </w:rPr>
          <w:t xml:space="preserve">26</w:t>
        </w:r>
      </w:hyperlink>
      <w:r>
        <w:t xml:space="preserve">] (free for research use; obtained from a public mirror as the original server was unavailable, and not redistributed here). The full pipeline (</w:t>
      </w:r>
      <w:r>
        <w:rPr>
          <w:rStyle w:val="VerbatimChar"/>
        </w:rPr>
        <w:t xml:space="preserve">scripts/p1_features.py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scripts/p15_uah_e6.py</w:t>
      </w:r>
      <w:r>
        <w:t xml:space="preserve">), results log (</w:t>
      </w:r>
      <w:r>
        <w:rPr>
          <w:rStyle w:val="VerbatimChar"/>
        </w:rPr>
        <w:t xml:space="preserve">RESULTS.md</w:t>
      </w:r>
      <w:r>
        <w:t xml:space="preserve">), and this manuscript</w:t>
      </w:r>
      <w:r>
        <w:t xml:space="preserve"> </w:t>
      </w:r>
      <w:r>
        <w:t xml:space="preserve">are in the project repository; every number traces to a script. Environment: Python 3.14,</w:t>
      </w:r>
      <w:r>
        <w:t xml:space="preserve"> </w:t>
      </w:r>
      <w:r>
        <w:t xml:space="preserve">scikit-learn 1.8, pandas 2.3, scipy 1.17, pyarrow.</w:t>
      </w:r>
    </w:p>
    <w:p>
      <w:pPr>
        <w:pStyle w:val="BodyText"/>
      </w:pPr>
      <w:r>
        <w:rPr>
          <w:b/>
          <w:bCs/>
        </w:rPr>
        <w:t xml:space="preserve">Author contributions.</w:t>
      </w:r>
      <w:r>
        <w:t xml:space="preserve"> </w:t>
      </w:r>
      <w:r>
        <w:t xml:space="preserve">A. Apartsin conceived and implemented the study and drafted</w:t>
      </w:r>
      <w:r>
        <w:t xml:space="preserve"> </w:t>
      </w:r>
      <w:r>
        <w:t xml:space="preserve">the manuscript; Y. Aperstein contributed to the study design and critically revised the manuscript.</w:t>
      </w:r>
      <w:r>
        <w:t xml:space="preserve"> </w:t>
      </w:r>
      <w:r>
        <w:rPr>
          <w:b/>
          <w:bCs/>
        </w:rPr>
        <w:t xml:space="preserve">Acknowledgements.</w:t>
      </w:r>
      <w:r>
        <w:t xml:space="preserve"> </w:t>
      </w:r>
      <w:r>
        <w:t xml:space="preserve">We thank the creators of VED, EngineFaultDB, the Driving Events dataset, and UAH-DriveSet for releasing their data openly.</w:t>
      </w:r>
    </w:p>
    <w:bookmarkEnd w:id="96"/>
    <w:bookmarkStart w:id="200" w:name="ref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bookmarkStart w:id="98" w:name="r1"/>
      <w:r>
        <w:t xml:space="preserve">G. Oh, D. J. LeBlanc, H. Peng. Vehicle Energy Dataset (VED), A Large-scale Dataset for</w:t>
      </w:r>
      <w:r>
        <w:t xml:space="preserve"> </w:t>
      </w:r>
      <w:r>
        <w:t xml:space="preserve">Vehicle Energy Consumption Research.</w:t>
      </w:r>
      <w:r>
        <w:t xml:space="preserve"> </w:t>
      </w:r>
      <w:r>
        <w:rPr>
          <w:i/>
          <w:iCs/>
        </w:rPr>
        <w:t xml:space="preserve">IEEE Transactions on Intelligent Transportation Systems</w:t>
      </w:r>
      <w:r>
        <w:t xml:space="preserve">,</w:t>
      </w:r>
      <w:r>
        <w:t xml:space="preserve"> </w:t>
      </w:r>
      <w:r>
        <w:t xml:space="preserve">2020.</w:t>
      </w:r>
      <w:r>
        <w:t xml:space="preserve"> </w:t>
      </w:r>
      <w:hyperlink r:id="rId97">
        <w:r>
          <w:rPr>
            <w:rStyle w:val="Hyperlink"/>
          </w:rPr>
          <w:t xml:space="preserve">10.1109/TITS.2020.3035596</w:t>
        </w:r>
      </w:hyperlink>
      <w:bookmarkEnd w:id="98"/>
    </w:p>
    <w:p>
      <w:pPr>
        <w:pStyle w:val="Compact"/>
        <w:numPr>
          <w:ilvl w:val="0"/>
          <w:numId w:val="1003"/>
        </w:numPr>
      </w:pPr>
      <w:bookmarkStart w:id="100" w:name="r2"/>
      <w:r>
        <w:t xml:space="preserve">L. Thomas et al. EngineFaultDB: A Novel Dataset for Automotive Engine Fault</w:t>
      </w:r>
      <w:r>
        <w:t xml:space="preserve"> </w:t>
      </w:r>
      <w:r>
        <w:t xml:space="preserve">Classification and Baseline Results.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2023.</w:t>
      </w:r>
      <w:r>
        <w:t xml:space="preserve"> </w:t>
      </w:r>
      <w:hyperlink r:id="rId99">
        <w:r>
          <w:rPr>
            <w:rStyle w:val="Hyperlink"/>
          </w:rPr>
          <w:t xml:space="preserve">10.1109/ACCESS.2023.3331316</w:t>
        </w:r>
      </w:hyperlink>
      <w:bookmarkEnd w:id="100"/>
    </w:p>
    <w:p>
      <w:pPr>
        <w:pStyle w:val="Compact"/>
        <w:numPr>
          <w:ilvl w:val="0"/>
          <w:numId w:val="1003"/>
        </w:numPr>
      </w:pPr>
      <w:bookmarkStart w:id="102" w:name="r3"/>
      <w:r>
        <w:t xml:space="preserve">A. Barbado, Ó. Corcho. Interpretable machine learning models for predicting and</w:t>
      </w:r>
      <w:r>
        <w:t xml:space="preserve"> </w:t>
      </w:r>
      <w:r>
        <w:t xml:space="preserve">explaining vehicle fuel consumption anomalies.</w:t>
      </w:r>
      <w:r>
        <w:t xml:space="preserve"> </w:t>
      </w:r>
      <w:r>
        <w:rPr>
          <w:i/>
          <w:iCs/>
        </w:rPr>
        <w:t xml:space="preserve">Engineering Applications of Artificial</w:t>
      </w:r>
      <w:r>
        <w:rPr>
          <w:i/>
          <w:iCs/>
        </w:rPr>
        <w:t xml:space="preserve"> </w:t>
      </w:r>
      <w:r>
        <w:rPr>
          <w:i/>
          <w:iCs/>
        </w:rPr>
        <w:t xml:space="preserve">Intelligence</w:t>
      </w:r>
      <w:r>
        <w:t xml:space="preserve">, 2022.</w:t>
      </w:r>
      <w:r>
        <w:t xml:space="preserve"> </w:t>
      </w:r>
      <w:hyperlink r:id="rId101">
        <w:r>
          <w:rPr>
            <w:rStyle w:val="Hyperlink"/>
          </w:rPr>
          <w:t xml:space="preserve">10.1016/j.engappai.2022.105222</w:t>
        </w:r>
      </w:hyperlink>
      <w:bookmarkEnd w:id="102"/>
    </w:p>
    <w:p>
      <w:pPr>
        <w:pStyle w:val="Compact"/>
        <w:numPr>
          <w:ilvl w:val="0"/>
          <w:numId w:val="1003"/>
        </w:numPr>
      </w:pPr>
      <w:bookmarkStart w:id="104" w:name="r4"/>
      <w:r>
        <w:t xml:space="preserve">H. Abediasl, A. Ansari, V. Hosseini, C. R. Koch, M. Shahbakhti. Real-time vehicular fuel</w:t>
      </w:r>
      <w:r>
        <w:t xml:space="preserve"> </w:t>
      </w:r>
      <w:r>
        <w:t xml:space="preserve">consumption estimation using machine learning and on-board diagnostics data.</w:t>
      </w:r>
      <w:r>
        <w:t xml:space="preserve"> </w:t>
      </w:r>
      <w:r>
        <w:rPr>
          <w:i/>
          <w:iCs/>
        </w:rPr>
        <w:t xml:space="preserve">Proc. IMechE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2024.</w:t>
      </w:r>
      <w:r>
        <w:t xml:space="preserve"> </w:t>
      </w:r>
      <w:hyperlink r:id="rId103">
        <w:r>
          <w:rPr>
            <w:rStyle w:val="Hyperlink"/>
          </w:rPr>
          <w:t xml:space="preserve">10.1177/09544070231185609</w:t>
        </w:r>
      </w:hyperlink>
      <w:bookmarkEnd w:id="104"/>
    </w:p>
    <w:p>
      <w:pPr>
        <w:pStyle w:val="Compact"/>
        <w:numPr>
          <w:ilvl w:val="0"/>
          <w:numId w:val="1003"/>
        </w:numPr>
      </w:pPr>
      <w:bookmarkStart w:id="106" w:name="r5"/>
      <w:r>
        <w:t xml:space="preserve">P. Fafoutellis, E. G. Mantouka, E. I. Vlahogianni. Eco-Driving and Its Impacts on Fuel</w:t>
      </w:r>
      <w:r>
        <w:t xml:space="preserve"> </w:t>
      </w:r>
      <w:r>
        <w:t xml:space="preserve">Efficiency: An Overview of Technologies and Data-Driven Methods.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13(1):226,</w:t>
      </w:r>
      <w:r>
        <w:t xml:space="preserve"> </w:t>
      </w:r>
      <w:r>
        <w:t xml:space="preserve">2021.</w:t>
      </w:r>
      <w:r>
        <w:t xml:space="preserve"> </w:t>
      </w:r>
      <w:hyperlink r:id="rId105">
        <w:r>
          <w:rPr>
            <w:rStyle w:val="Hyperlink"/>
          </w:rPr>
          <w:t xml:space="preserve">10.3390/su13010226</w:t>
        </w:r>
      </w:hyperlink>
      <w:bookmarkEnd w:id="106"/>
    </w:p>
    <w:p>
      <w:pPr>
        <w:pStyle w:val="Compact"/>
        <w:numPr>
          <w:ilvl w:val="0"/>
          <w:numId w:val="1003"/>
        </w:numPr>
      </w:pPr>
      <w:bookmarkStart w:id="108" w:name="r6"/>
      <w:r>
        <w:t xml:space="preserve">J. Vieira et al. Driving Events Dataset. Zenodo, 2022.</w:t>
      </w:r>
      <w:r>
        <w:t xml:space="preserve"> </w:t>
      </w:r>
      <w:hyperlink r:id="rId107">
        <w:r>
          <w:rPr>
            <w:rStyle w:val="Hyperlink"/>
          </w:rPr>
          <w:t xml:space="preserve">10.5281/zenodo.6570972</w:t>
        </w:r>
      </w:hyperlink>
      <w:bookmarkEnd w:id="108"/>
    </w:p>
    <w:p>
      <w:pPr>
        <w:pStyle w:val="Compact"/>
        <w:numPr>
          <w:ilvl w:val="0"/>
          <w:numId w:val="1003"/>
        </w:numPr>
      </w:pPr>
      <w:bookmarkStart w:id="109" w:name="r7"/>
      <w:r>
        <w:t xml:space="preserve">J. L. Jimenez-Palacios. Understanding and quantifying motor vehicle emissions with</w:t>
      </w:r>
      <w:r>
        <w:t xml:space="preserve"> </w:t>
      </w:r>
      <w:r>
        <w:t xml:space="preserve">vehicle specific power and TILDAS remote sensing. PhD thesis, MIT, 1999.</w:t>
      </w:r>
      <w:bookmarkEnd w:id="109"/>
    </w:p>
    <w:p>
      <w:pPr>
        <w:pStyle w:val="Compact"/>
        <w:numPr>
          <w:ilvl w:val="0"/>
          <w:numId w:val="1003"/>
        </w:numPr>
      </w:pPr>
      <w:bookmarkStart w:id="111" w:name="r8"/>
      <w:r>
        <w:t xml:space="preserve">K. Ahn, H. Rakha, A. Trani, M. Van Aerde. Estimating Vehicle Fuel Consumption and</w:t>
      </w:r>
      <w:r>
        <w:t xml:space="preserve"> </w:t>
      </w:r>
      <w:r>
        <w:t xml:space="preserve">Emissions based on Instantaneous Speed and Acceleration Levels.</w:t>
      </w:r>
      <w:r>
        <w:t xml:space="preserve"> </w:t>
      </w:r>
      <w:r>
        <w:rPr>
          <w:i/>
          <w:iCs/>
        </w:rPr>
        <w:t xml:space="preserve">Journal of Transportation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128(2):182–190, 2002.</w:t>
      </w:r>
      <w:r>
        <w:t xml:space="preserve"> </w:t>
      </w:r>
      <w:hyperlink r:id="rId110">
        <w:r>
          <w:rPr>
            <w:rStyle w:val="Hyperlink"/>
          </w:rPr>
          <w:t xml:space="preserve">10.1061/(ASCE)0733-947X(2002)128:2(182)</w:t>
        </w:r>
      </w:hyperlink>
      <w:bookmarkEnd w:id="111"/>
    </w:p>
    <w:p>
      <w:pPr>
        <w:pStyle w:val="Compact"/>
        <w:numPr>
          <w:ilvl w:val="0"/>
          <w:numId w:val="1003"/>
        </w:numPr>
      </w:pPr>
      <w:bookmarkStart w:id="113" w:name="r9"/>
      <w:r>
        <w:t xml:space="preserve">T. Abukhalil, H. AlMahafzah, M. Alksasbeh, B. A. Y. Alqaralleh. Fuel Consumption Using</w:t>
      </w:r>
      <w:r>
        <w:t xml:space="preserve"> </w:t>
      </w:r>
      <w:r>
        <w:t xml:space="preserve">OBD-II and Support Vector Machine Model.</w:t>
      </w:r>
      <w:r>
        <w:t xml:space="preserve"> </w:t>
      </w:r>
      <w:r>
        <w:rPr>
          <w:i/>
          <w:iCs/>
        </w:rPr>
        <w:t xml:space="preserve">Journal of Robotics</w:t>
      </w:r>
      <w:r>
        <w:t xml:space="preserve">, 2020:9450178.</w:t>
      </w:r>
      <w:r>
        <w:t xml:space="preserve"> </w:t>
      </w:r>
      <w:hyperlink r:id="rId112">
        <w:r>
          <w:rPr>
            <w:rStyle w:val="Hyperlink"/>
          </w:rPr>
          <w:t xml:space="preserve">10.1155/2020/9450178</w:t>
        </w:r>
      </w:hyperlink>
      <w:bookmarkEnd w:id="113"/>
    </w:p>
    <w:p>
      <w:pPr>
        <w:pStyle w:val="Compact"/>
        <w:numPr>
          <w:ilvl w:val="0"/>
          <w:numId w:val="1003"/>
        </w:numPr>
      </w:pPr>
      <w:bookmarkStart w:id="115" w:name="r10"/>
      <w:r>
        <w:t xml:space="preserve">R. Chu, W. H. Chik, J. Song, J. Chan, X. Li. Real-time Fuel Leakage Detection via Online</w:t>
      </w:r>
      <w:r>
        <w:t xml:space="preserve"> </w:t>
      </w:r>
      <w:r>
        <w:t xml:space="preserve">Change Point Detection. arXiv:2410.09741, 2024.</w:t>
      </w:r>
      <w:r>
        <w:t xml:space="preserve"> </w:t>
      </w:r>
      <w:hyperlink r:id="rId114">
        <w:r>
          <w:rPr>
            <w:rStyle w:val="Hyperlink"/>
          </w:rPr>
          <w:t xml:space="preserve">10.48550/arXiv.2410.09741</w:t>
        </w:r>
      </w:hyperlink>
      <w:bookmarkEnd w:id="115"/>
    </w:p>
    <w:p>
      <w:pPr>
        <w:pStyle w:val="Compact"/>
        <w:numPr>
          <w:ilvl w:val="0"/>
          <w:numId w:val="1003"/>
        </w:numPr>
      </w:pPr>
      <w:bookmarkStart w:id="117" w:name="r11"/>
      <w:r>
        <w:t xml:space="preserve">H. A. Rakha, K. Ahn, K. Moran, B. Saerens, E. Van den Bulck. Virginia Tech Comprehensive</w:t>
      </w:r>
      <w:r>
        <w:t xml:space="preserve"> </w:t>
      </w:r>
      <w:r>
        <w:t xml:space="preserve">Power-Based Fuel Consumption Model (VT-CPFM).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 16(7):492–503,</w:t>
      </w:r>
      <w:r>
        <w:t xml:space="preserve"> </w:t>
      </w:r>
      <w:r>
        <w:t xml:space="preserve">2011.</w:t>
      </w:r>
      <w:r>
        <w:t xml:space="preserve"> </w:t>
      </w:r>
      <w:hyperlink r:id="rId116">
        <w:r>
          <w:rPr>
            <w:rStyle w:val="Hyperlink"/>
          </w:rPr>
          <w:t xml:space="preserve">10.1016/j.trd.2011.05.008</w:t>
        </w:r>
      </w:hyperlink>
      <w:bookmarkEnd w:id="117"/>
    </w:p>
    <w:p>
      <w:pPr>
        <w:pStyle w:val="Compact"/>
        <w:numPr>
          <w:ilvl w:val="0"/>
          <w:numId w:val="1003"/>
        </w:numPr>
      </w:pPr>
      <w:bookmarkStart w:id="119" w:name="r12"/>
      <w:r>
        <w:t xml:space="preserve">P. Ping, W. Qin, Y. Xu, C. Miyajima, K. Takeda. Impact of Driver Behavior on Fuel</w:t>
      </w:r>
      <w:r>
        <w:t xml:space="preserve"> </w:t>
      </w:r>
      <w:r>
        <w:t xml:space="preserve">Consumption: Classification, Evaluation and Prediction Using Machine Learning.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7,</w:t>
      </w:r>
      <w:r>
        <w:t xml:space="preserve"> </w:t>
      </w:r>
      <w:r>
        <w:t xml:space="preserve">2019.</w:t>
      </w:r>
      <w:r>
        <w:t xml:space="preserve"> </w:t>
      </w:r>
      <w:hyperlink r:id="rId118">
        <w:r>
          <w:rPr>
            <w:rStyle w:val="Hyperlink"/>
          </w:rPr>
          <w:t xml:space="preserve">10.1109/ACCESS.2019.2920489</w:t>
        </w:r>
      </w:hyperlink>
      <w:bookmarkEnd w:id="119"/>
    </w:p>
    <w:p>
      <w:pPr>
        <w:pStyle w:val="Compact"/>
        <w:numPr>
          <w:ilvl w:val="0"/>
          <w:numId w:val="1003"/>
        </w:numPr>
      </w:pPr>
      <w:bookmarkStart w:id="121" w:name="r13"/>
      <w:r>
        <w:t xml:space="preserve">A. Mohammadnazar, Z. H. Khattak, A. J. Khattak. Assessing driving behavior influence on</w:t>
      </w:r>
      <w:r>
        <w:t xml:space="preserve"> </w:t>
      </w:r>
      <w:r>
        <w:t xml:space="preserve">fuel efficiency using machine learning and drive-cycle simulations.</w:t>
      </w:r>
      <w:r>
        <w:t xml:space="preserve"> </w:t>
      </w:r>
      <w:r>
        <w:rPr>
          <w:i/>
          <w:iCs/>
        </w:rPr>
        <w:t xml:space="preserve">Transportation Research Part</w:t>
      </w:r>
      <w:r>
        <w:rPr>
          <w:i/>
          <w:iCs/>
        </w:rPr>
        <w:t xml:space="preserve"> </w:t>
      </w:r>
      <w:r>
        <w:rPr>
          <w:i/>
          <w:iCs/>
        </w:rPr>
        <w:t xml:space="preserve">D</w:t>
      </w:r>
      <w:r>
        <w:t xml:space="preserve">, 126:104025, 2024.</w:t>
      </w:r>
      <w:r>
        <w:t xml:space="preserve"> </w:t>
      </w:r>
      <w:hyperlink r:id="rId120">
        <w:r>
          <w:rPr>
            <w:rStyle w:val="Hyperlink"/>
          </w:rPr>
          <w:t xml:space="preserve">10.1016/j.trd.2023.104025</w:t>
        </w:r>
      </w:hyperlink>
      <w:bookmarkEnd w:id="121"/>
    </w:p>
    <w:p>
      <w:pPr>
        <w:pStyle w:val="Compact"/>
        <w:numPr>
          <w:ilvl w:val="0"/>
          <w:numId w:val="1003"/>
        </w:numPr>
      </w:pPr>
      <w:bookmarkStart w:id="123" w:name="r14"/>
      <w:r>
        <w:t xml:space="preserve">D. A. Johnson, M. M. Trivedi. Driving style recognition using a smartphone as a sensor</w:t>
      </w:r>
      <w:r>
        <w:t xml:space="preserve"> </w:t>
      </w:r>
      <w:r>
        <w:t xml:space="preserve">platform.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2011.</w:t>
      </w:r>
      <w:r>
        <w:t xml:space="preserve"> </w:t>
      </w:r>
      <w:hyperlink r:id="rId122">
        <w:r>
          <w:rPr>
            <w:rStyle w:val="Hyperlink"/>
          </w:rPr>
          <w:t xml:space="preserve">10.1109/ITSC.2011.6083078</w:t>
        </w:r>
      </w:hyperlink>
      <w:bookmarkEnd w:id="123"/>
    </w:p>
    <w:p>
      <w:pPr>
        <w:pStyle w:val="Compact"/>
        <w:numPr>
          <w:ilvl w:val="0"/>
          <w:numId w:val="1003"/>
        </w:numPr>
      </w:pPr>
      <w:bookmarkStart w:id="125" w:name="r15"/>
      <w:r>
        <w:t xml:space="preserve">S. S. Haghshenas, A. Kouvelas, V. Astarita, S. S. Haghshenas, G. Guido. Driver behavior</w:t>
      </w:r>
      <w:r>
        <w:t xml:space="preserve"> </w:t>
      </w:r>
      <w:r>
        <w:t xml:space="preserve">classification and its impact on fuel consumption using machine learning: A comprehensive review.</w:t>
      </w:r>
      <w:r>
        <w:t xml:space="preserve"> </w:t>
      </w:r>
      <w:r>
        <w:rPr>
          <w:i/>
          <w:iCs/>
        </w:rPr>
        <w:t xml:space="preserve">Transportation Engineering</w:t>
      </w:r>
      <w:r>
        <w:t xml:space="preserve">, 2026.</w:t>
      </w:r>
      <w:r>
        <w:t xml:space="preserve"> </w:t>
      </w:r>
      <w:hyperlink r:id="rId124">
        <w:r>
          <w:rPr>
            <w:rStyle w:val="Hyperlink"/>
          </w:rPr>
          <w:t xml:space="preserve">10.1016/j.treng.2026.100436</w:t>
        </w:r>
      </w:hyperlink>
      <w:bookmarkEnd w:id="125"/>
    </w:p>
    <w:p>
      <w:pPr>
        <w:pStyle w:val="Compact"/>
        <w:numPr>
          <w:ilvl w:val="0"/>
          <w:numId w:val="1003"/>
        </w:numPr>
      </w:pPr>
      <w:bookmarkStart w:id="127" w:name="r16"/>
      <w:r>
        <w:t xml:space="preserve">M. Cervantes-Bobadilla et al. Multiple fault detection and isolation using artificial</w:t>
      </w:r>
      <w:r>
        <w:t xml:space="preserve"> </w:t>
      </w:r>
      <w:r>
        <w:t xml:space="preserve">neural networks in sensors of an internal combustion engine.</w:t>
      </w:r>
      <w:r>
        <w:t xml:space="preserve"> </w:t>
      </w:r>
      <w:r>
        <w:rPr>
          <w:i/>
          <w:iCs/>
        </w:rPr>
        <w:t xml:space="preserve">Engineering Applications of AI</w:t>
      </w:r>
      <w:r>
        <w:t xml:space="preserve">,</w:t>
      </w:r>
      <w:r>
        <w:t xml:space="preserve"> </w:t>
      </w:r>
      <w:r>
        <w:t xml:space="preserve">117:105524, 2023.</w:t>
      </w:r>
      <w:r>
        <w:t xml:space="preserve"> </w:t>
      </w:r>
      <w:hyperlink r:id="rId126">
        <w:r>
          <w:rPr>
            <w:rStyle w:val="Hyperlink"/>
          </w:rPr>
          <w:t xml:space="preserve">10.1016/j.engappai.2022.105524</w:t>
        </w:r>
      </w:hyperlink>
      <w:bookmarkEnd w:id="127"/>
    </w:p>
    <w:p>
      <w:pPr>
        <w:pStyle w:val="Compact"/>
        <w:numPr>
          <w:ilvl w:val="0"/>
          <w:numId w:val="1003"/>
        </w:numPr>
      </w:pPr>
      <w:bookmarkStart w:id="129" w:name="r17"/>
      <w:r>
        <w:t xml:space="preserve">P. Gutiérrez León et al. Implementation of a fault tolerant system for</w:t>
      </w:r>
      <w:r>
        <w:t xml:space="preserve"> </w:t>
      </w:r>
      <w:r>
        <w:t xml:space="preserve">the internal combustion engine's MAF sensor.</w:t>
      </w:r>
      <w:r>
        <w:t xml:space="preserve"> </w:t>
      </w:r>
      <w:r>
        <w:rPr>
          <w:i/>
          <w:iCs/>
        </w:rPr>
        <w:t xml:space="preserve">Measurement</w:t>
      </w:r>
      <w:r>
        <w:t xml:space="preserve">, 122, 2018.</w:t>
      </w:r>
      <w:r>
        <w:t xml:space="preserve"> </w:t>
      </w:r>
      <w:hyperlink r:id="rId128">
        <w:r>
          <w:rPr>
            <w:rStyle w:val="Hyperlink"/>
          </w:rPr>
          <w:t xml:space="preserve">10.1016/j.measurement.2018.03.006</w:t>
        </w:r>
      </w:hyperlink>
      <w:bookmarkEnd w:id="129"/>
    </w:p>
    <w:p>
      <w:pPr>
        <w:pStyle w:val="Compact"/>
        <w:numPr>
          <w:ilvl w:val="0"/>
          <w:numId w:val="1003"/>
        </w:numPr>
      </w:pPr>
      <w:bookmarkStart w:id="131" w:name="r18"/>
      <w:r>
        <w:t xml:space="preserve">C.-S. A. Gong, C.-H. S. Su, Y.-E. Liu, D.-Y. Guu, Y.-H. Chen. Deep Learning with LPC and</w:t>
      </w:r>
      <w:r>
        <w:t xml:space="preserve"> </w:t>
      </w:r>
      <w:r>
        <w:t xml:space="preserve">Wavelet Algorithms for Driving Fault Diagnosis.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22(18):7072, 2022.</w:t>
      </w:r>
      <w:r>
        <w:t xml:space="preserve"> </w:t>
      </w:r>
      <w:hyperlink r:id="rId130">
        <w:r>
          <w:rPr>
            <w:rStyle w:val="Hyperlink"/>
          </w:rPr>
          <w:t xml:space="preserve">10.3390/s22187072</w:t>
        </w:r>
      </w:hyperlink>
      <w:bookmarkEnd w:id="131"/>
    </w:p>
    <w:p>
      <w:pPr>
        <w:pStyle w:val="Compact"/>
        <w:numPr>
          <w:ilvl w:val="0"/>
          <w:numId w:val="1003"/>
        </w:numPr>
      </w:pPr>
      <w:bookmarkStart w:id="133" w:name="r19"/>
      <w:r>
        <w:t xml:space="preserve">F. T. Liu, K. M. Ting, Z.-H. Zhou. Isolation Forest.</w:t>
      </w:r>
      <w:r>
        <w:t xml:space="preserve"> </w:t>
      </w:r>
      <w:r>
        <w:rPr>
          <w:i/>
          <w:iCs/>
        </w:rPr>
        <w:t xml:space="preserve">IEEE ICDM</w:t>
      </w:r>
      <w:r>
        <w:t xml:space="preserve">, 2008.</w:t>
      </w:r>
      <w:r>
        <w:t xml:space="preserve"> </w:t>
      </w:r>
      <w:hyperlink r:id="rId132">
        <w:r>
          <w:rPr>
            <w:rStyle w:val="Hyperlink"/>
          </w:rPr>
          <w:t xml:space="preserve">10.1109/ICDM.2008.17</w:t>
        </w:r>
      </w:hyperlink>
      <w:bookmarkEnd w:id="133"/>
    </w:p>
    <w:p>
      <w:pPr>
        <w:pStyle w:val="Compact"/>
        <w:numPr>
          <w:ilvl w:val="0"/>
          <w:numId w:val="1003"/>
        </w:numPr>
      </w:pPr>
      <w:bookmarkStart w:id="135" w:name="r20"/>
      <w:r>
        <w:t xml:space="preserve">S. Longari, D. H. Nova Valcarcel, M. Zago, M. Carminati, S. Zanero. CANnolo: An Anomaly</w:t>
      </w:r>
      <w:r>
        <w:t xml:space="preserve"> </w:t>
      </w:r>
      <w:r>
        <w:t xml:space="preserve">Detection System Based on LSTM Autoencoders for Controller Area Network.</w:t>
      </w:r>
      <w:r>
        <w:t xml:space="preserve"> </w:t>
      </w:r>
      <w:r>
        <w:rPr>
          <w:i/>
          <w:iCs/>
        </w:rPr>
        <w:t xml:space="preserve">IEEE Trans. Network and</w:t>
      </w:r>
      <w:r>
        <w:rPr>
          <w:i/>
          <w:iCs/>
        </w:rPr>
        <w:t xml:space="preserve"> </w:t>
      </w:r>
      <w:r>
        <w:rPr>
          <w:i/>
          <w:iCs/>
        </w:rPr>
        <w:t xml:space="preserve">Service Management</w:t>
      </w:r>
      <w:r>
        <w:t xml:space="preserve">, 18(2), 2021.</w:t>
      </w:r>
      <w:r>
        <w:t xml:space="preserve"> </w:t>
      </w:r>
      <w:hyperlink r:id="rId134">
        <w:r>
          <w:rPr>
            <w:rStyle w:val="Hyperlink"/>
          </w:rPr>
          <w:t xml:space="preserve">10.1109/TNSM.2020.3038991</w:t>
        </w:r>
      </w:hyperlink>
      <w:bookmarkEnd w:id="135"/>
    </w:p>
    <w:p>
      <w:pPr>
        <w:pStyle w:val="Compact"/>
        <w:numPr>
          <w:ilvl w:val="0"/>
          <w:numId w:val="1003"/>
        </w:numPr>
      </w:pPr>
      <w:bookmarkStart w:id="137" w:name="r21"/>
      <w:r>
        <w:t xml:space="preserve">V. K. Kukkala, S. V. Thiruloga, S. Pasricha. INDRA: Intrusion Detection Using Recurrent</w:t>
      </w:r>
      <w:r>
        <w:t xml:space="preserve"> </w:t>
      </w:r>
      <w:r>
        <w:t xml:space="preserve">Autoencoders in Automotive Embedded Systems.</w:t>
      </w:r>
      <w:r>
        <w:t xml:space="preserve"> </w:t>
      </w:r>
      <w:r>
        <w:rPr>
          <w:i/>
          <w:iCs/>
        </w:rPr>
        <w:t xml:space="preserve">IEEE Trans. CAD of Integrated Circuits and</w:t>
      </w:r>
      <w:r>
        <w:rPr>
          <w:i/>
          <w:iCs/>
        </w:rPr>
        <w:t xml:space="preserve"> </w:t>
      </w:r>
      <w:r>
        <w:rPr>
          <w:i/>
          <w:iCs/>
        </w:rPr>
        <w:t xml:space="preserve">Systems</w:t>
      </w:r>
      <w:r>
        <w:t xml:space="preserve">, 39(11), 2020.</w:t>
      </w:r>
      <w:r>
        <w:t xml:space="preserve"> </w:t>
      </w:r>
      <w:hyperlink r:id="rId136">
        <w:r>
          <w:rPr>
            <w:rStyle w:val="Hyperlink"/>
          </w:rPr>
          <w:t xml:space="preserve">10.1109/TCAD.2020.3012749</w:t>
        </w:r>
      </w:hyperlink>
      <w:bookmarkEnd w:id="137"/>
    </w:p>
    <w:p>
      <w:pPr>
        <w:pStyle w:val="Compact"/>
        <w:numPr>
          <w:ilvl w:val="0"/>
          <w:numId w:val="1003"/>
        </w:numPr>
      </w:pPr>
      <w:bookmarkStart w:id="139" w:name="r22"/>
      <w:r>
        <w:t xml:space="preserve">P. Mansourian, N. Zhang, A. Jaekel, M. Kneppers. Deep Learning-Based Anomaly Detection for</w:t>
      </w:r>
      <w:r>
        <w:t xml:space="preserve"> </w:t>
      </w:r>
      <w:r>
        <w:t xml:space="preserve">Connected Autonomous Vehicles Using Spatiotemporal Information.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2023.</w:t>
      </w:r>
      <w:r>
        <w:t xml:space="preserve"> </w:t>
      </w:r>
      <w:hyperlink r:id="rId138">
        <w:r>
          <w:rPr>
            <w:rStyle w:val="Hyperlink"/>
          </w:rPr>
          <w:t xml:space="preserve">10.1109/TITS.2023.3286611</w:t>
        </w:r>
      </w:hyperlink>
      <w:bookmarkEnd w:id="139"/>
    </w:p>
    <w:p>
      <w:pPr>
        <w:pStyle w:val="Compact"/>
        <w:numPr>
          <w:ilvl w:val="0"/>
          <w:numId w:val="1003"/>
        </w:numPr>
      </w:pPr>
      <w:bookmarkStart w:id="141" w:name="r23"/>
      <w:r>
        <w:t xml:space="preserve">S. M. Lundberg, S.-I. Lee. A Unified Approach to Interpreting Model Predictions (SHAP).</w:t>
      </w:r>
      <w:r>
        <w:t xml:space="preserve"> </w:t>
      </w:r>
      <w:r>
        <w:t xml:space="preserve">arXiv:1705.07874, 2017.</w:t>
      </w:r>
      <w:r>
        <w:t xml:space="preserve"> </w:t>
      </w:r>
      <w:hyperlink r:id="rId140">
        <w:r>
          <w:rPr>
            <w:rStyle w:val="Hyperlink"/>
          </w:rPr>
          <w:t xml:space="preserve">10.48550/arXiv.1705.07874</w:t>
        </w:r>
      </w:hyperlink>
      <w:bookmarkEnd w:id="141"/>
    </w:p>
    <w:p>
      <w:pPr>
        <w:pStyle w:val="Compact"/>
        <w:numPr>
          <w:ilvl w:val="0"/>
          <w:numId w:val="1003"/>
        </w:numPr>
      </w:pPr>
      <w:bookmarkStart w:id="143" w:name="r24"/>
      <w:r>
        <w:t xml:space="preserve">V. Vučinić et al. Anomaly Detection for Vehicle Diagnostics Based on OBD</w:t>
      </w:r>
      <w:r>
        <w:t xml:space="preserve"> </w:t>
      </w:r>
      <w:r>
        <w:t xml:space="preserve">Snapshots With Cause Investigation.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14:24765–24785, 2026.</w:t>
      </w:r>
      <w:r>
        <w:t xml:space="preserve"> </w:t>
      </w:r>
      <w:hyperlink r:id="rId142">
        <w:r>
          <w:rPr>
            <w:rStyle w:val="Hyperlink"/>
          </w:rPr>
          <w:t xml:space="preserve">10.1109/ACCESS.2026.3664118</w:t>
        </w:r>
      </w:hyperlink>
      <w:bookmarkEnd w:id="143"/>
    </w:p>
    <w:p>
      <w:pPr>
        <w:pStyle w:val="Compact"/>
        <w:numPr>
          <w:ilvl w:val="0"/>
          <w:numId w:val="1003"/>
        </w:numPr>
      </w:pPr>
      <w:bookmarkStart w:id="145" w:name="r25"/>
      <w:r>
        <w:t xml:space="preserve">Z.-H. Zhou. A brief introduction to weakly supervised learning.</w:t>
      </w:r>
      <w:r>
        <w:t xml:space="preserve"> </w:t>
      </w:r>
      <w:r>
        <w:rPr>
          <w:i/>
          <w:iCs/>
        </w:rPr>
        <w:t xml:space="preserve">National Science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 5(1):44–53, 2018.</w:t>
      </w:r>
      <w:r>
        <w:t xml:space="preserve"> </w:t>
      </w:r>
      <w:hyperlink r:id="rId144">
        <w:r>
          <w:rPr>
            <w:rStyle w:val="Hyperlink"/>
          </w:rPr>
          <w:t xml:space="preserve">10.1093/nsr/nwx106</w:t>
        </w:r>
      </w:hyperlink>
      <w:bookmarkEnd w:id="145"/>
    </w:p>
    <w:p>
      <w:pPr>
        <w:pStyle w:val="Compact"/>
        <w:numPr>
          <w:ilvl w:val="0"/>
          <w:numId w:val="1003"/>
        </w:numPr>
      </w:pPr>
      <w:bookmarkStart w:id="147" w:name="r26"/>
      <w:r>
        <w:t xml:space="preserve">E. Romera, L. M. Bergasa, R. Arroyo. Need Data for Driver Behaviour Analysis? Presenting</w:t>
      </w:r>
      <w:r>
        <w:t xml:space="preserve"> </w:t>
      </w:r>
      <w:r>
        <w:t xml:space="preserve">the Public UAH-DriveSet.</w:t>
      </w:r>
      <w:r>
        <w:t xml:space="preserve"> </w:t>
      </w:r>
      <w:r>
        <w:rPr>
          <w:i/>
          <w:iCs/>
        </w:rPr>
        <w:t xml:space="preserve">IEEE ITSC</w:t>
      </w:r>
      <w:r>
        <w:t xml:space="preserve">, 387–392, 2016.</w:t>
      </w:r>
      <w:r>
        <w:t xml:space="preserve"> </w:t>
      </w:r>
      <w:hyperlink r:id="rId146">
        <w:r>
          <w:rPr>
            <w:rStyle w:val="Hyperlink"/>
          </w:rPr>
          <w:t xml:space="preserve">10.1109/ITSC.2016.7795584</w:t>
        </w:r>
      </w:hyperlink>
      <w:bookmarkEnd w:id="147"/>
    </w:p>
    <w:p>
      <w:pPr>
        <w:pStyle w:val="Compact"/>
        <w:numPr>
          <w:ilvl w:val="0"/>
          <w:numId w:val="1003"/>
        </w:numPr>
      </w:pPr>
      <w:bookmarkStart w:id="149" w:name="r27"/>
      <w:r>
        <w:t xml:space="preserve">F. An, M. Barth, J. Norbeck, M. Ross. Development of Comprehensive Modal Emissions Model:</w:t>
      </w:r>
      <w:r>
        <w:t xml:space="preserve"> </w:t>
      </w:r>
      <w:r>
        <w:t xml:space="preserve">Operating Under Hot-Stabilized Conditions.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1587:52–62,</w:t>
      </w:r>
      <w:r>
        <w:t xml:space="preserve"> </w:t>
      </w:r>
      <w:r>
        <w:t xml:space="preserve">1997.</w:t>
      </w:r>
      <w:r>
        <w:t xml:space="preserve"> </w:t>
      </w:r>
      <w:hyperlink r:id="rId148">
        <w:r>
          <w:rPr>
            <w:rStyle w:val="Hyperlink"/>
          </w:rPr>
          <w:t xml:space="preserve">10.3141/1587-07</w:t>
        </w:r>
      </w:hyperlink>
      <w:bookmarkEnd w:id="149"/>
    </w:p>
    <w:p>
      <w:pPr>
        <w:pStyle w:val="Compact"/>
        <w:numPr>
          <w:ilvl w:val="0"/>
          <w:numId w:val="1003"/>
        </w:numPr>
      </w:pPr>
      <w:bookmarkStart w:id="151" w:name="r28"/>
      <w:r>
        <w:t xml:space="preserve">S. Vallamsundar, J. Lin. MOVES Versus MOBILE: Comparison of Greenhouse Gas and Criteria</w:t>
      </w:r>
      <w:r>
        <w:t xml:space="preserve"> </w:t>
      </w:r>
      <w:r>
        <w:t xml:space="preserve">Pollutant Emissions.</w:t>
      </w:r>
      <w:r>
        <w:t xml:space="preserve"> </w:t>
      </w:r>
      <w:r>
        <w:rPr>
          <w:i/>
          <w:iCs/>
        </w:rPr>
        <w:t xml:space="preserve">Transportation Research Record</w:t>
      </w:r>
      <w:r>
        <w:t xml:space="preserve">, 2233:27–35, 2011.</w:t>
      </w:r>
      <w:r>
        <w:t xml:space="preserve"> </w:t>
      </w:r>
      <w:hyperlink r:id="rId150">
        <w:r>
          <w:rPr>
            <w:rStyle w:val="Hyperlink"/>
          </w:rPr>
          <w:t xml:space="preserve">10.3141/2233-04</w:t>
        </w:r>
      </w:hyperlink>
      <w:bookmarkEnd w:id="151"/>
    </w:p>
    <w:p>
      <w:pPr>
        <w:pStyle w:val="Compact"/>
        <w:numPr>
          <w:ilvl w:val="0"/>
          <w:numId w:val="1003"/>
        </w:numPr>
      </w:pPr>
      <w:bookmarkStart w:id="153" w:name="r29"/>
      <w:r>
        <w:t xml:space="preserve">Y. Yao et al. Vehicle Fuel Consumption Prediction Method Based on Driving Behavior Data</w:t>
      </w:r>
      <w:r>
        <w:t xml:space="preserve"> </w:t>
      </w:r>
      <w:r>
        <w:t xml:space="preserve">Collected from Smartphones.</w:t>
      </w:r>
      <w:r>
        <w:t xml:space="preserve"> </w:t>
      </w:r>
      <w:r>
        <w:rPr>
          <w:i/>
          <w:iCs/>
        </w:rPr>
        <w:t xml:space="preserve">Journal of Advanced Transportation</w:t>
      </w:r>
      <w:r>
        <w:t xml:space="preserve">, 2020:9263605.</w:t>
      </w:r>
      <w:r>
        <w:t xml:space="preserve"> </w:t>
      </w:r>
      <w:hyperlink r:id="rId152">
        <w:r>
          <w:rPr>
            <w:rStyle w:val="Hyperlink"/>
          </w:rPr>
          <w:t xml:space="preserve">10.1155/2020/9263605</w:t>
        </w:r>
      </w:hyperlink>
      <w:bookmarkEnd w:id="153"/>
    </w:p>
    <w:p>
      <w:pPr>
        <w:pStyle w:val="Compact"/>
        <w:numPr>
          <w:ilvl w:val="0"/>
          <w:numId w:val="1003"/>
        </w:numPr>
      </w:pPr>
      <w:bookmarkStart w:id="155" w:name="r30"/>
      <w:r>
        <w:t xml:space="preserve">E. Moradi, L. Miranda-Moreno. Vehicular fuel consumption estimation using real-world</w:t>
      </w:r>
      <w:r>
        <w:t xml:space="preserve"> </w:t>
      </w:r>
      <w:r>
        <w:t xml:space="preserve">measures through cascaded machine learning modeling.</w:t>
      </w:r>
      <w:r>
        <w:t xml:space="preserve"> </w:t>
      </w:r>
      <w:r>
        <w:rPr>
          <w:i/>
          <w:iCs/>
        </w:rPr>
        <w:t xml:space="preserve">Transportation Research Part D</w:t>
      </w:r>
      <w:r>
        <w:t xml:space="preserve">,</w:t>
      </w:r>
      <w:r>
        <w:t xml:space="preserve"> </w:t>
      </w:r>
      <w:r>
        <w:t xml:space="preserve">88:102576, 2020.</w:t>
      </w:r>
      <w:r>
        <w:t xml:space="preserve"> </w:t>
      </w:r>
      <w:hyperlink r:id="rId154">
        <w:r>
          <w:rPr>
            <w:rStyle w:val="Hyperlink"/>
          </w:rPr>
          <w:t xml:space="preserve">10.1016/j.trd.2020.102576</w:t>
        </w:r>
      </w:hyperlink>
      <w:bookmarkEnd w:id="155"/>
    </w:p>
    <w:p>
      <w:pPr>
        <w:pStyle w:val="Compact"/>
        <w:numPr>
          <w:ilvl w:val="0"/>
          <w:numId w:val="1003"/>
        </w:numPr>
      </w:pPr>
      <w:bookmarkStart w:id="157" w:name="r31"/>
      <w:r>
        <w:t xml:space="preserve">J. Topić, B. Škugor, J. Deur. Neural Network-Based Prediction of Vehicle Fuel</w:t>
      </w:r>
      <w:r>
        <w:t xml:space="preserve"> </w:t>
      </w:r>
      <w:r>
        <w:t xml:space="preserve">Consumption Based on Driving Cycle Data.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, 14(2):744, 2022.</w:t>
      </w:r>
      <w:r>
        <w:t xml:space="preserve"> </w:t>
      </w:r>
      <w:hyperlink r:id="rId156">
        <w:r>
          <w:rPr>
            <w:rStyle w:val="Hyperlink"/>
          </w:rPr>
          <w:t xml:space="preserve">10.3390/su14020744</w:t>
        </w:r>
      </w:hyperlink>
      <w:bookmarkEnd w:id="157"/>
    </w:p>
    <w:p>
      <w:pPr>
        <w:pStyle w:val="Compact"/>
        <w:numPr>
          <w:ilvl w:val="0"/>
          <w:numId w:val="1003"/>
        </w:numPr>
      </w:pPr>
      <w:bookmarkStart w:id="159" w:name="r32"/>
      <w:r>
        <w:t xml:space="preserve">H. I. Ashqar et al. Incorporating driving behavior into vehicle fuel consumption</w:t>
      </w:r>
      <w:r>
        <w:t xml:space="preserve"> </w:t>
      </w:r>
      <w:r>
        <w:t xml:space="preserve">prediction.</w:t>
      </w:r>
      <w:r>
        <w:t xml:space="preserve"> </w:t>
      </w:r>
      <w:r>
        <w:rPr>
          <w:i/>
          <w:iCs/>
        </w:rPr>
        <w:t xml:space="preserve">Discover Sustainability</w:t>
      </w:r>
      <w:r>
        <w:t xml:space="preserve">, 5, 2024.</w:t>
      </w:r>
      <w:r>
        <w:t xml:space="preserve"> </w:t>
      </w:r>
      <w:hyperlink r:id="rId158">
        <w:r>
          <w:rPr>
            <w:rStyle w:val="Hyperlink"/>
          </w:rPr>
          <w:t xml:space="preserve">10.1007/s43621-024-00511-z</w:t>
        </w:r>
      </w:hyperlink>
      <w:bookmarkEnd w:id="159"/>
    </w:p>
    <w:p>
      <w:pPr>
        <w:pStyle w:val="Compact"/>
        <w:numPr>
          <w:ilvl w:val="0"/>
          <w:numId w:val="1003"/>
        </w:numPr>
      </w:pPr>
      <w:bookmarkStart w:id="161" w:name="r33"/>
      <w:r>
        <w:t xml:space="preserve">T. A. Dingus et al. Driver crash risk factors and prevalence evaluation using</w:t>
      </w:r>
      <w:r>
        <w:t xml:space="preserve"> </w:t>
      </w:r>
      <w:r>
        <w:t xml:space="preserve">naturalistic driving data.</w:t>
      </w:r>
      <w:r>
        <w:t xml:space="preserve"> </w:t>
      </w:r>
      <w:r>
        <w:rPr>
          <w:i/>
          <w:iCs/>
        </w:rPr>
        <w:t xml:space="preserve">PNAS</w:t>
      </w:r>
      <w:r>
        <w:t xml:space="preserve">, 113(10):2636–2641, 2016.</w:t>
      </w:r>
      <w:r>
        <w:t xml:space="preserve"> </w:t>
      </w:r>
      <w:hyperlink r:id="rId160">
        <w:r>
          <w:rPr>
            <w:rStyle w:val="Hyperlink"/>
          </w:rPr>
          <w:t xml:space="preserve">10.1073/pnas.1513271113</w:t>
        </w:r>
      </w:hyperlink>
      <w:bookmarkEnd w:id="161"/>
    </w:p>
    <w:p>
      <w:pPr>
        <w:pStyle w:val="Compact"/>
        <w:numPr>
          <w:ilvl w:val="0"/>
          <w:numId w:val="1003"/>
        </w:numPr>
      </w:pPr>
      <w:bookmarkStart w:id="163" w:name="r34"/>
      <w:r>
        <w:t xml:space="preserve">Y. Huang et al. Eco-driving technology for sustainable road transport: A review.</w:t>
      </w:r>
      <w:r>
        <w:t xml:space="preserve"> </w:t>
      </w:r>
      <w:r>
        <w:rPr>
          <w:i/>
          <w:iCs/>
        </w:rPr>
        <w:t xml:space="preserve">Renewable and Sustainable Energy Reviews</w:t>
      </w:r>
      <w:r>
        <w:t xml:space="preserve">, 93:596–609, 2018.</w:t>
      </w:r>
      <w:r>
        <w:t xml:space="preserve"> </w:t>
      </w:r>
      <w:hyperlink r:id="rId162">
        <w:r>
          <w:rPr>
            <w:rStyle w:val="Hyperlink"/>
          </w:rPr>
          <w:t xml:space="preserve">10.1016/j.rser.2018.05.030</w:t>
        </w:r>
      </w:hyperlink>
      <w:bookmarkEnd w:id="163"/>
    </w:p>
    <w:p>
      <w:pPr>
        <w:pStyle w:val="Compact"/>
        <w:numPr>
          <w:ilvl w:val="0"/>
          <w:numId w:val="1003"/>
        </w:numPr>
      </w:pPr>
      <w:bookmarkStart w:id="165" w:name="r35"/>
      <w:r>
        <w:t xml:space="preserve">D. I. Tselentis, E. I. Vlahogianni, G. Yannis. Innovative motor insurance schemes: A review</w:t>
      </w:r>
      <w:r>
        <w:t xml:space="preserve"> </w:t>
      </w:r>
      <w:r>
        <w:t xml:space="preserve">of current practices and emerging challenges.</w:t>
      </w:r>
      <w:r>
        <w:t xml:space="preserve"> </w:t>
      </w:r>
      <w:r>
        <w:rPr>
          <w:i/>
          <w:iCs/>
        </w:rPr>
        <w:t xml:space="preserve">Accident Analysis and Prevention</w:t>
      </w:r>
      <w:r>
        <w:t xml:space="preserve">,</w:t>
      </w:r>
      <w:r>
        <w:t xml:space="preserve"> </w:t>
      </w:r>
      <w:r>
        <w:t xml:space="preserve">98:139–148, 2017.</w:t>
      </w:r>
      <w:r>
        <w:t xml:space="preserve"> </w:t>
      </w:r>
      <w:hyperlink r:id="rId164">
        <w:r>
          <w:rPr>
            <w:rStyle w:val="Hyperlink"/>
          </w:rPr>
          <w:t xml:space="preserve">10.1016/j.aap.2016.10.006</w:t>
        </w:r>
      </w:hyperlink>
      <w:bookmarkEnd w:id="165"/>
    </w:p>
    <w:p>
      <w:pPr>
        <w:pStyle w:val="Compact"/>
        <w:numPr>
          <w:ilvl w:val="0"/>
          <w:numId w:val="1003"/>
        </w:numPr>
      </w:pPr>
      <w:bookmarkStart w:id="167" w:name="r36"/>
      <w:r>
        <w:t xml:space="preserve">C. M. Martínez, M. Heucke, F.-Y. Wang, B. Gao, D. Cao. Driving Style Recognition for</w:t>
      </w:r>
      <w:r>
        <w:t xml:space="preserve"> </w:t>
      </w:r>
      <w:r>
        <w:t xml:space="preserve">Intelligent Vehicle Control and Advanced Driver Assistance: A Survey.</w:t>
      </w:r>
      <w:r>
        <w:t xml:space="preserve"> </w:t>
      </w:r>
      <w:r>
        <w:rPr>
          <w:i/>
          <w:iCs/>
        </w:rPr>
        <w:t xml:space="preserve">IEEE Trans. Intelligent</w:t>
      </w:r>
      <w:r>
        <w:rPr>
          <w:i/>
          <w:iCs/>
        </w:rPr>
        <w:t xml:space="preserve"> </w:t>
      </w:r>
      <w:r>
        <w:rPr>
          <w:i/>
          <w:iCs/>
        </w:rPr>
        <w:t xml:space="preserve">Transportation Systems</w:t>
      </w:r>
      <w:r>
        <w:t xml:space="preserve">, 19(3):666–676, 2018.</w:t>
      </w:r>
      <w:r>
        <w:t xml:space="preserve"> </w:t>
      </w:r>
      <w:hyperlink r:id="rId166">
        <w:r>
          <w:rPr>
            <w:rStyle w:val="Hyperlink"/>
          </w:rPr>
          <w:t xml:space="preserve">10.1109/TITS.2017.2706978</w:t>
        </w:r>
      </w:hyperlink>
      <w:bookmarkEnd w:id="167"/>
    </w:p>
    <w:p>
      <w:pPr>
        <w:pStyle w:val="Compact"/>
        <w:numPr>
          <w:ilvl w:val="0"/>
          <w:numId w:val="1003"/>
        </w:numPr>
      </w:pPr>
      <w:bookmarkStart w:id="169" w:name="r37"/>
      <w:r>
        <w:t xml:space="preserve">Y. Barnard et al. The study design of UDRIVE: the naturalistic driving study across</w:t>
      </w:r>
      <w:r>
        <w:t xml:space="preserve"> </w:t>
      </w:r>
      <w:r>
        <w:t xml:space="preserve">Europe.</w:t>
      </w:r>
      <w:r>
        <w:t xml:space="preserve"> </w:t>
      </w:r>
      <w:r>
        <w:rPr>
          <w:i/>
          <w:iCs/>
        </w:rPr>
        <w:t xml:space="preserve">European Transport Research Review</w:t>
      </w:r>
      <w:r>
        <w:t xml:space="preserve">, 8, 2016.</w:t>
      </w:r>
      <w:r>
        <w:t xml:space="preserve"> </w:t>
      </w:r>
      <w:hyperlink r:id="rId168">
        <w:r>
          <w:rPr>
            <w:rStyle w:val="Hyperlink"/>
          </w:rPr>
          <w:t xml:space="preserve">10.1007/s12544-016-0202-z</w:t>
        </w:r>
      </w:hyperlink>
      <w:bookmarkEnd w:id="169"/>
    </w:p>
    <w:p>
      <w:pPr>
        <w:pStyle w:val="Compact"/>
        <w:numPr>
          <w:ilvl w:val="0"/>
          <w:numId w:val="1003"/>
        </w:numPr>
      </w:pPr>
      <w:bookmarkStart w:id="171" w:name="r38"/>
      <w:r>
        <w:t xml:space="preserve">N. van Nes et al. The potential of naturalistic driving for in-depth understanding of</w:t>
      </w:r>
      <w:r>
        <w:t xml:space="preserve"> </w:t>
      </w:r>
      <w:r>
        <w:t xml:space="preserve">driver behavior: UDRIVE results and beyond.</w:t>
      </w:r>
      <w:r>
        <w:t xml:space="preserve"> </w:t>
      </w:r>
      <w:r>
        <w:rPr>
          <w:i/>
          <w:iCs/>
        </w:rPr>
        <w:t xml:space="preserve">Safety Science</w:t>
      </w:r>
      <w:r>
        <w:t xml:space="preserve">, 119:11–20, 2019.</w:t>
      </w:r>
      <w:r>
        <w:t xml:space="preserve"> </w:t>
      </w:r>
      <w:hyperlink r:id="rId170">
        <w:r>
          <w:rPr>
            <w:rStyle w:val="Hyperlink"/>
          </w:rPr>
          <w:t xml:space="preserve">10.1016/j.ssci.2018.12.029</w:t>
        </w:r>
      </w:hyperlink>
      <w:bookmarkEnd w:id="171"/>
    </w:p>
    <w:p>
      <w:pPr>
        <w:pStyle w:val="Compact"/>
        <w:numPr>
          <w:ilvl w:val="0"/>
          <w:numId w:val="1003"/>
        </w:numPr>
      </w:pPr>
      <w:bookmarkStart w:id="173" w:name="r39"/>
      <w:r>
        <w:t xml:space="preserve">Z. Kharazian et al. SCANIA Component X: a real-world multivariate time series dataset for</w:t>
      </w:r>
      <w:r>
        <w:t xml:space="preserve"> </w:t>
      </w:r>
      <w:r>
        <w:t xml:space="preserve">predictive maintenance.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12, 2025.</w:t>
      </w:r>
      <w:r>
        <w:t xml:space="preserve"> </w:t>
      </w:r>
      <w:hyperlink r:id="rId172">
        <w:r>
          <w:rPr>
            <w:rStyle w:val="Hyperlink"/>
          </w:rPr>
          <w:t xml:space="preserve">10.1038/s41597-025-04802-6</w:t>
        </w:r>
      </w:hyperlink>
      <w:bookmarkEnd w:id="173"/>
    </w:p>
    <w:p>
      <w:pPr>
        <w:pStyle w:val="Compact"/>
        <w:numPr>
          <w:ilvl w:val="0"/>
          <w:numId w:val="1003"/>
        </w:numPr>
      </w:pPr>
      <w:bookmarkStart w:id="175" w:name="r40"/>
      <w:r>
        <w:t xml:space="preserve">S. Zheng, K. Ristovski, A. Farahat, C. Gupta. Long Short-Term Memory Network for Remaining</w:t>
      </w:r>
      <w:r>
        <w:t xml:space="preserve"> </w:t>
      </w:r>
      <w:r>
        <w:t xml:space="preserve">Useful Life estimation.</w:t>
      </w:r>
      <w:r>
        <w:t xml:space="preserve"> </w:t>
      </w:r>
      <w:r>
        <w:rPr>
          <w:i/>
          <w:iCs/>
        </w:rPr>
        <w:t xml:space="preserve">IEEE ICPHM</w:t>
      </w:r>
      <w:r>
        <w:t xml:space="preserve">, 88–95, 2017.</w:t>
      </w:r>
      <w:r>
        <w:t xml:space="preserve"> </w:t>
      </w:r>
      <w:hyperlink r:id="rId174">
        <w:r>
          <w:rPr>
            <w:rStyle w:val="Hyperlink"/>
          </w:rPr>
          <w:t xml:space="preserve">10.1109/ICPHM.2017.7998311</w:t>
        </w:r>
      </w:hyperlink>
      <w:bookmarkEnd w:id="175"/>
    </w:p>
    <w:p>
      <w:pPr>
        <w:pStyle w:val="Compact"/>
        <w:numPr>
          <w:ilvl w:val="0"/>
          <w:numId w:val="1003"/>
        </w:numPr>
      </w:pPr>
      <w:bookmarkStart w:id="177" w:name="r41"/>
      <w:r>
        <w:t xml:space="preserve">O. Serradilla, E. Zugasti, J. Rodriguez, U. Zurutuza. Deep learning models for predictive</w:t>
      </w:r>
      <w:r>
        <w:t xml:space="preserve"> </w:t>
      </w:r>
      <w:r>
        <w:t xml:space="preserve">maintenance: a survey, comparison, challenges and prospects.</w:t>
      </w:r>
      <w:r>
        <w:t xml:space="preserve"> </w:t>
      </w:r>
      <w:r>
        <w:rPr>
          <w:i/>
          <w:iCs/>
        </w:rPr>
        <w:t xml:space="preserve">Applied Intelligence</w:t>
      </w:r>
      <w:r>
        <w:t xml:space="preserve">,</w:t>
      </w:r>
      <w:r>
        <w:t xml:space="preserve"> </w:t>
      </w:r>
      <w:r>
        <w:t xml:space="preserve">52:10934–10964, 2022.</w:t>
      </w:r>
      <w:r>
        <w:t xml:space="preserve"> </w:t>
      </w:r>
      <w:hyperlink r:id="rId176">
        <w:r>
          <w:rPr>
            <w:rStyle w:val="Hyperlink"/>
          </w:rPr>
          <w:t xml:space="preserve">10.1007/s10489-021-03004-y</w:t>
        </w:r>
      </w:hyperlink>
      <w:bookmarkEnd w:id="177"/>
    </w:p>
    <w:p>
      <w:pPr>
        <w:pStyle w:val="Compact"/>
        <w:numPr>
          <w:ilvl w:val="0"/>
          <w:numId w:val="1003"/>
        </w:numPr>
      </w:pPr>
      <w:bookmarkStart w:id="179" w:name="r42"/>
      <w:r>
        <w:t xml:space="preserve">W. Zhang, D. Yang, H. Wang. Data-Driven Methods for Predictive Maintenance of Industrial</w:t>
      </w:r>
      <w:r>
        <w:t xml:space="preserve"> </w:t>
      </w:r>
      <w:r>
        <w:t xml:space="preserve">Equipment: A Survey.</w:t>
      </w:r>
      <w:r>
        <w:t xml:space="preserve"> </w:t>
      </w:r>
      <w:r>
        <w:rPr>
          <w:i/>
          <w:iCs/>
        </w:rPr>
        <w:t xml:space="preserve">IEEE Systems Journal</w:t>
      </w:r>
      <w:r>
        <w:t xml:space="preserve">, 13(3):2213–2227, 2019.</w:t>
      </w:r>
      <w:r>
        <w:t xml:space="preserve"> </w:t>
      </w:r>
      <w:hyperlink r:id="rId178">
        <w:r>
          <w:rPr>
            <w:rStyle w:val="Hyperlink"/>
          </w:rPr>
          <w:t xml:space="preserve">10.1109/JSYST.2019.2905565</w:t>
        </w:r>
      </w:hyperlink>
      <w:bookmarkEnd w:id="179"/>
    </w:p>
    <w:p>
      <w:pPr>
        <w:pStyle w:val="Compact"/>
        <w:numPr>
          <w:ilvl w:val="0"/>
          <w:numId w:val="1003"/>
        </w:numPr>
      </w:pPr>
      <w:bookmarkStart w:id="181" w:name="r43"/>
      <w:r>
        <w:t xml:space="preserve">Y. Bai et al. Compression Reconstruction and Fault Diagnosis of Diesel Engine Vibration</w:t>
      </w:r>
      <w:r>
        <w:t xml:space="preserve"> </w:t>
      </w:r>
      <w:r>
        <w:t xml:space="preserve">Signal.</w:t>
      </w:r>
      <w:r>
        <w:t xml:space="preserve"> </w:t>
      </w:r>
      <w:r>
        <w:rPr>
          <w:i/>
          <w:iCs/>
        </w:rPr>
        <w:t xml:space="preserve">Sensors</w:t>
      </w:r>
      <w:r>
        <w:t xml:space="preserve">, 22(10):3884, 2022.</w:t>
      </w:r>
      <w:r>
        <w:t xml:space="preserve"> </w:t>
      </w:r>
      <w:hyperlink r:id="rId180">
        <w:r>
          <w:rPr>
            <w:rStyle w:val="Hyperlink"/>
          </w:rPr>
          <w:t xml:space="preserve">10.3390/s22103884</w:t>
        </w:r>
      </w:hyperlink>
      <w:bookmarkEnd w:id="181"/>
    </w:p>
    <w:p>
      <w:pPr>
        <w:pStyle w:val="Compact"/>
        <w:numPr>
          <w:ilvl w:val="0"/>
          <w:numId w:val="1003"/>
        </w:numPr>
      </w:pPr>
      <w:bookmarkStart w:id="183" w:name="r44"/>
      <w:r>
        <w:t xml:space="preserve">B. Schölkopf, J. C. Platt, J. Shawe-Taylor, A. J. Smola, R. C. Williamson. Estimating the</w:t>
      </w:r>
      <w:r>
        <w:t xml:space="preserve"> </w:t>
      </w:r>
      <w:r>
        <w:t xml:space="preserve">Support of a High-Dimensional Distribution.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13(7):1443–1471, 2001.</w:t>
      </w:r>
      <w:r>
        <w:t xml:space="preserve"> </w:t>
      </w:r>
      <w:hyperlink r:id="rId182">
        <w:r>
          <w:rPr>
            <w:rStyle w:val="Hyperlink"/>
          </w:rPr>
          <w:t xml:space="preserve">10.1162/089976601750264965</w:t>
        </w:r>
      </w:hyperlink>
      <w:bookmarkEnd w:id="183"/>
    </w:p>
    <w:p>
      <w:pPr>
        <w:pStyle w:val="Compact"/>
        <w:numPr>
          <w:ilvl w:val="0"/>
          <w:numId w:val="1003"/>
        </w:numPr>
      </w:pPr>
      <w:bookmarkStart w:id="185" w:name="r45"/>
      <w:r>
        <w:t xml:space="preserve">S. Aminikhanghahi, D. J. Cook. A survey of methods for time series change point detection.</w:t>
      </w:r>
      <w:r>
        <w:t xml:space="preserve"> </w:t>
      </w:r>
      <w:r>
        <w:rPr>
          <w:i/>
          <w:iCs/>
        </w:rPr>
        <w:t xml:space="preserve">Knowledge and Information Systems</w:t>
      </w:r>
      <w:r>
        <w:t xml:space="preserve">, 51(2):339–367, 2017.</w:t>
      </w:r>
      <w:r>
        <w:t xml:space="preserve"> </w:t>
      </w:r>
      <w:hyperlink r:id="rId184">
        <w:r>
          <w:rPr>
            <w:rStyle w:val="Hyperlink"/>
          </w:rPr>
          <w:t xml:space="preserve">10.1007/s10115-016-0987-z</w:t>
        </w:r>
      </w:hyperlink>
      <w:bookmarkEnd w:id="185"/>
    </w:p>
    <w:p>
      <w:pPr>
        <w:pStyle w:val="Compact"/>
        <w:numPr>
          <w:ilvl w:val="0"/>
          <w:numId w:val="1003"/>
        </w:numPr>
      </w:pPr>
      <w:bookmarkStart w:id="187" w:name="r46"/>
      <w:r>
        <w:t xml:space="preserve">Y. Zhao, Z. Nasrullah, Z. Li. PyOD: A Python Toolbox for Scalable Outlier Detection.</w:t>
      </w:r>
      <w:r>
        <w:t xml:space="preserve"> </w:t>
      </w:r>
      <w:r>
        <w:t xml:space="preserve">arXiv:1901.01588, 2019.</w:t>
      </w:r>
      <w:r>
        <w:t xml:space="preserve"> </w:t>
      </w:r>
      <w:hyperlink r:id="rId186">
        <w:r>
          <w:rPr>
            <w:rStyle w:val="Hyperlink"/>
          </w:rPr>
          <w:t xml:space="preserve">10.48550/arXiv.1901.01588</w:t>
        </w:r>
      </w:hyperlink>
      <w:bookmarkEnd w:id="187"/>
    </w:p>
    <w:p>
      <w:pPr>
        <w:pStyle w:val="Compact"/>
        <w:numPr>
          <w:ilvl w:val="0"/>
          <w:numId w:val="1003"/>
        </w:numPr>
      </w:pPr>
      <w:bookmarkStart w:id="189" w:name="r47"/>
      <w:r>
        <w:t xml:space="preserve">R. Chalapathy, S. Chawla. Deep Learning for Anomaly Detection: A Survey. arXiv:1901.03407,</w:t>
      </w:r>
      <w:r>
        <w:t xml:space="preserve"> </w:t>
      </w:r>
      <w:r>
        <w:t xml:space="preserve">2019.</w:t>
      </w:r>
      <w:r>
        <w:t xml:space="preserve"> </w:t>
      </w:r>
      <w:hyperlink r:id="rId188">
        <w:r>
          <w:rPr>
            <w:rStyle w:val="Hyperlink"/>
          </w:rPr>
          <w:t xml:space="preserve">10.48550/arXiv.1901.03407</w:t>
        </w:r>
      </w:hyperlink>
      <w:bookmarkEnd w:id="189"/>
    </w:p>
    <w:p>
      <w:pPr>
        <w:pStyle w:val="Compact"/>
        <w:numPr>
          <w:ilvl w:val="0"/>
          <w:numId w:val="1003"/>
        </w:numPr>
      </w:pPr>
      <w:bookmarkStart w:id="191" w:name="r48"/>
      <w:r>
        <w:t xml:space="preserve">S. Wachter, B. Mittelstadt, C. Russell. Counterfactual Explanations Without Opening the Black</w:t>
      </w:r>
      <w:r>
        <w:t xml:space="preserve"> </w:t>
      </w:r>
      <w:r>
        <w:t xml:space="preserve">Box: Automated Decisions and the GDPR.</w:t>
      </w:r>
      <w:r>
        <w:t xml:space="preserve"> </w:t>
      </w:r>
      <w:r>
        <w:rPr>
          <w:i/>
          <w:iCs/>
        </w:rPr>
        <w:t xml:space="preserve">Harvard Journal of Law &amp; Technology</w:t>
      </w:r>
      <w:r>
        <w:t xml:space="preserve">, 31(2), 2017.</w:t>
      </w:r>
      <w:r>
        <w:t xml:space="preserve"> </w:t>
      </w:r>
      <w:hyperlink r:id="rId190">
        <w:r>
          <w:rPr>
            <w:rStyle w:val="Hyperlink"/>
          </w:rPr>
          <w:t xml:space="preserve">10.2139/ssrn.3063289</w:t>
        </w:r>
      </w:hyperlink>
      <w:bookmarkEnd w:id="191"/>
    </w:p>
    <w:p>
      <w:pPr>
        <w:pStyle w:val="Compact"/>
        <w:numPr>
          <w:ilvl w:val="0"/>
          <w:numId w:val="1003"/>
        </w:numPr>
      </w:pPr>
      <w:bookmarkStart w:id="193" w:name="r49"/>
      <w:r>
        <w:t xml:space="preserve">S. J. Pan, Q. Yang. A Survey on Transfer Learning.</w:t>
      </w:r>
      <w:r>
        <w:t xml:space="preserve"> </w:t>
      </w:r>
      <w:r>
        <w:rPr>
          <w:i/>
          <w:iCs/>
        </w:rPr>
        <w:t xml:space="preserve">IEEE Trans. Knowledge and Data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</w:t>
      </w:r>
      <w:r>
        <w:t xml:space="preserve">, 22(10):1345–1359, 2010.</w:t>
      </w:r>
      <w:r>
        <w:t xml:space="preserve"> </w:t>
      </w:r>
      <w:hyperlink r:id="rId192">
        <w:r>
          <w:rPr>
            <w:rStyle w:val="Hyperlink"/>
          </w:rPr>
          <w:t xml:space="preserve">10.1109/TKDE.2009.191</w:t>
        </w:r>
      </w:hyperlink>
      <w:bookmarkEnd w:id="193"/>
    </w:p>
    <w:p>
      <w:pPr>
        <w:pStyle w:val="Compact"/>
        <w:numPr>
          <w:ilvl w:val="0"/>
          <w:numId w:val="1003"/>
        </w:numPr>
      </w:pPr>
      <w:bookmarkStart w:id="195" w:name="r50"/>
      <w:r>
        <w:t xml:space="preserve">S. Sun, H. Shi, Y. Wu. A survey of multi-source domain adaptation.</w:t>
      </w:r>
      <w:r>
        <w:t xml:space="preserve"> </w:t>
      </w:r>
      <w:r>
        <w:rPr>
          <w:i/>
          <w:iCs/>
        </w:rPr>
        <w:t xml:space="preserve">Information Fusion</w:t>
      </w:r>
      <w:r>
        <w:t xml:space="preserve">,</w:t>
      </w:r>
      <w:r>
        <w:t xml:space="preserve"> </w:t>
      </w:r>
      <w:r>
        <w:t xml:space="preserve">24:84–92, 2015.</w:t>
      </w:r>
      <w:r>
        <w:t xml:space="preserve"> </w:t>
      </w:r>
      <w:hyperlink r:id="rId194">
        <w:r>
          <w:rPr>
            <w:rStyle w:val="Hyperlink"/>
          </w:rPr>
          <w:t xml:space="preserve">10.1016/j.inffus.2014.12.003</w:t>
        </w:r>
      </w:hyperlink>
      <w:bookmarkEnd w:id="195"/>
    </w:p>
    <w:p>
      <w:pPr>
        <w:pStyle w:val="Compact"/>
        <w:numPr>
          <w:ilvl w:val="0"/>
          <w:numId w:val="1003"/>
        </w:numPr>
      </w:pPr>
      <w:bookmarkStart w:id="197" w:name="r51"/>
      <w:r>
        <w:t xml:space="preserve">A. Ratner, S. H. Bach, H. Ehrenberg, J. Fries, S. Wu, C. Ré. Snorkel: Rapid Training</w:t>
      </w:r>
      <w:r>
        <w:t xml:space="preserve"> </w:t>
      </w:r>
      <w:r>
        <w:t xml:space="preserve">Data Creation with Weak Supervision.</w:t>
      </w:r>
      <w:r>
        <w:t xml:space="preserve"> </w:t>
      </w:r>
      <w:r>
        <w:rPr>
          <w:i/>
          <w:iCs/>
        </w:rPr>
        <w:t xml:space="preserve">Proc. VLDB Endowment</w:t>
      </w:r>
      <w:r>
        <w:t xml:space="preserve">, 11(3):269–282, 2017.</w:t>
      </w:r>
      <w:r>
        <w:t xml:space="preserve"> </w:t>
      </w:r>
      <w:hyperlink r:id="rId196">
        <w:r>
          <w:rPr>
            <w:rStyle w:val="Hyperlink"/>
          </w:rPr>
          <w:t xml:space="preserve">10.14778/3157794.3157797</w:t>
        </w:r>
      </w:hyperlink>
      <w:bookmarkEnd w:id="197"/>
    </w:p>
    <w:p>
      <w:pPr>
        <w:pStyle w:val="Compact"/>
        <w:numPr>
          <w:ilvl w:val="0"/>
          <w:numId w:val="1003"/>
        </w:numPr>
      </w:pPr>
      <w:bookmarkStart w:id="199" w:name="r52"/>
      <w:r>
        <w:t xml:space="preserve">R. A. Jacobs, M. I. Jordan, S. J. Nowlan, G. E. Hinton. Adaptive Mixtures of Local Experts.</w:t>
      </w:r>
      <w:r>
        <w:t xml:space="preserve"> </w:t>
      </w:r>
      <w:r>
        <w:rPr>
          <w:i/>
          <w:iCs/>
        </w:rPr>
        <w:t xml:space="preserve">Neural Computation</w:t>
      </w:r>
      <w:r>
        <w:t xml:space="preserve">, 3(1):79–87, 1991.</w:t>
      </w:r>
      <w:r>
        <w:t xml:space="preserve"> </w:t>
      </w:r>
      <w:hyperlink r:id="rId198">
        <w:r>
          <w:rPr>
            <w:rStyle w:val="Hyperlink"/>
          </w:rPr>
          <w:t xml:space="preserve">10.1162/neco.1991.3.1.79</w:t>
        </w:r>
      </w:hyperlink>
      <w:bookmarkEnd w:id="199"/>
    </w:p>
    <w:p>
      <w:pPr>
        <w:pStyle w:val="Bibliography"/>
      </w:pPr>
      <w:r>
        <w:t xml:space="preserve">© 2026 Alexander Apartsin and Yehudit Aperstein.</w:t>
      </w:r>
    </w:p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80" Target="media/rId80.png" /><Relationship Type="http://schemas.openxmlformats.org/officeDocument/2006/relationships/image" Id="rId73" Target="media/rId73.png" /><Relationship Type="http://schemas.openxmlformats.org/officeDocument/2006/relationships/image" Id="rId21" Target="media/rId21.png" /><Relationship Type="http://schemas.openxmlformats.org/officeDocument/2006/relationships/image" Id="rId64" Target="media/rId64.png" /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https://doi.org/10.1007/s10115-016-0987-z" TargetMode="External" /><Relationship Type="http://schemas.openxmlformats.org/officeDocument/2006/relationships/hyperlink" Id="rId176" Target="https://doi.org/10.1007/s10489-021-03004-y" TargetMode="External" /><Relationship Type="http://schemas.openxmlformats.org/officeDocument/2006/relationships/hyperlink" Id="rId168" Target="https://doi.org/10.1007/s12544-016-0202-z" TargetMode="External" /><Relationship Type="http://schemas.openxmlformats.org/officeDocument/2006/relationships/hyperlink" Id="rId158" Target="https://doi.org/10.1007/s43621-024-00511-z" TargetMode="External" /><Relationship Type="http://schemas.openxmlformats.org/officeDocument/2006/relationships/hyperlink" Id="rId164" Target="https://doi.org/10.1016/j.aap.2016.10.006" TargetMode="External" /><Relationship Type="http://schemas.openxmlformats.org/officeDocument/2006/relationships/hyperlink" Id="rId101" Target="https://doi.org/10.1016/j.engappai.2022.105222" TargetMode="External" /><Relationship Type="http://schemas.openxmlformats.org/officeDocument/2006/relationships/hyperlink" Id="rId126" Target="https://doi.org/10.1016/j.engappai.2022.105524" TargetMode="External" /><Relationship Type="http://schemas.openxmlformats.org/officeDocument/2006/relationships/hyperlink" Id="rId194" Target="https://doi.org/10.1016/j.inffus.2014.12.003" TargetMode="External" /><Relationship Type="http://schemas.openxmlformats.org/officeDocument/2006/relationships/hyperlink" Id="rId128" Target="https://doi.org/10.1016/j.measurement.2018.03.006" TargetMode="External" /><Relationship Type="http://schemas.openxmlformats.org/officeDocument/2006/relationships/hyperlink" Id="rId162" Target="https://doi.org/10.1016/j.rser.2018.05.030" TargetMode="External" /><Relationship Type="http://schemas.openxmlformats.org/officeDocument/2006/relationships/hyperlink" Id="rId170" Target="https://doi.org/10.1016/j.ssci.2018.12.029" TargetMode="External" /><Relationship Type="http://schemas.openxmlformats.org/officeDocument/2006/relationships/hyperlink" Id="rId116" Target="https://doi.org/10.1016/j.trd.2011.05.008" TargetMode="External" /><Relationship Type="http://schemas.openxmlformats.org/officeDocument/2006/relationships/hyperlink" Id="rId154" Target="https://doi.org/10.1016/j.trd.2020.102576" TargetMode="External" /><Relationship Type="http://schemas.openxmlformats.org/officeDocument/2006/relationships/hyperlink" Id="rId120" Target="https://doi.org/10.1016/j.trd.2023.104025" TargetMode="External" /><Relationship Type="http://schemas.openxmlformats.org/officeDocument/2006/relationships/hyperlink" Id="rId124" Target="https://doi.org/10.1016/j.treng.2026.100436" TargetMode="External" /><Relationship Type="http://schemas.openxmlformats.org/officeDocument/2006/relationships/hyperlink" Id="rId172" Target="https://doi.org/10.1038/s41597-025-04802-6" TargetMode="External" /><Relationship Type="http://schemas.openxmlformats.org/officeDocument/2006/relationships/hyperlink" Id="rId110" Target="https://doi.org/10.1061/(ASCE)0733-947X(2002)128:2(182)" TargetMode="External" /><Relationship Type="http://schemas.openxmlformats.org/officeDocument/2006/relationships/hyperlink" Id="rId160" Target="https://doi.org/10.1073/pnas.1513271113" TargetMode="External" /><Relationship Type="http://schemas.openxmlformats.org/officeDocument/2006/relationships/hyperlink" Id="rId144" Target="https://doi.org/10.1093/nsr/nwx106" TargetMode="External" /><Relationship Type="http://schemas.openxmlformats.org/officeDocument/2006/relationships/hyperlink" Id="rId118" Target="https://doi.org/10.1109/ACCESS.2019.2920489" TargetMode="External" /><Relationship Type="http://schemas.openxmlformats.org/officeDocument/2006/relationships/hyperlink" Id="rId99" Target="https://doi.org/10.1109/ACCESS.2023.3331316" TargetMode="External" /><Relationship Type="http://schemas.openxmlformats.org/officeDocument/2006/relationships/hyperlink" Id="rId142" Target="https://doi.org/10.1109/ACCESS.2026.3664118" TargetMode="External" /><Relationship Type="http://schemas.openxmlformats.org/officeDocument/2006/relationships/hyperlink" Id="rId132" Target="https://doi.org/10.1109/ICDM.2008.17" TargetMode="External" /><Relationship Type="http://schemas.openxmlformats.org/officeDocument/2006/relationships/hyperlink" Id="rId174" Target="https://doi.org/10.1109/ICPHM.2017.7998311" TargetMode="External" /><Relationship Type="http://schemas.openxmlformats.org/officeDocument/2006/relationships/hyperlink" Id="rId122" Target="https://doi.org/10.1109/ITSC.2011.6083078" TargetMode="External" /><Relationship Type="http://schemas.openxmlformats.org/officeDocument/2006/relationships/hyperlink" Id="rId146" Target="https://doi.org/10.1109/ITSC.2016.7795584" TargetMode="External" /><Relationship Type="http://schemas.openxmlformats.org/officeDocument/2006/relationships/hyperlink" Id="rId178" Target="https://doi.org/10.1109/JSYST.2019.2905565" TargetMode="External" /><Relationship Type="http://schemas.openxmlformats.org/officeDocument/2006/relationships/hyperlink" Id="rId136" Target="https://doi.org/10.1109/TCAD.2020.3012749" TargetMode="External" /><Relationship Type="http://schemas.openxmlformats.org/officeDocument/2006/relationships/hyperlink" Id="rId166" Target="https://doi.org/10.1109/TITS.2017.2706978" TargetMode="External" /><Relationship Type="http://schemas.openxmlformats.org/officeDocument/2006/relationships/hyperlink" Id="rId97" Target="https://doi.org/10.1109/TITS.2020.3035596" TargetMode="External" /><Relationship Type="http://schemas.openxmlformats.org/officeDocument/2006/relationships/hyperlink" Id="rId138" Target="https://doi.org/10.1109/TITS.2023.3286611" TargetMode="External" /><Relationship Type="http://schemas.openxmlformats.org/officeDocument/2006/relationships/hyperlink" Id="rId192" Target="https://doi.org/10.1109/TKDE.2009.191" TargetMode="External" /><Relationship Type="http://schemas.openxmlformats.org/officeDocument/2006/relationships/hyperlink" Id="rId134" Target="https://doi.org/10.1109/TNSM.2020.3038991" TargetMode="External" /><Relationship Type="http://schemas.openxmlformats.org/officeDocument/2006/relationships/hyperlink" Id="rId152" Target="https://doi.org/10.1155/2020/9263605" TargetMode="External" /><Relationship Type="http://schemas.openxmlformats.org/officeDocument/2006/relationships/hyperlink" Id="rId112" Target="https://doi.org/10.1155/2020/9450178" TargetMode="External" /><Relationship Type="http://schemas.openxmlformats.org/officeDocument/2006/relationships/hyperlink" Id="rId182" Target="https://doi.org/10.1162/089976601750264965" TargetMode="External" /><Relationship Type="http://schemas.openxmlformats.org/officeDocument/2006/relationships/hyperlink" Id="rId198" Target="https://doi.org/10.1162/neco.1991.3.1.79" TargetMode="External" /><Relationship Type="http://schemas.openxmlformats.org/officeDocument/2006/relationships/hyperlink" Id="rId103" Target="https://doi.org/10.1177/09544070231185609" TargetMode="External" /><Relationship Type="http://schemas.openxmlformats.org/officeDocument/2006/relationships/hyperlink" Id="rId196" Target="https://doi.org/10.14778/3157794.3157797" TargetMode="External" /><Relationship Type="http://schemas.openxmlformats.org/officeDocument/2006/relationships/hyperlink" Id="rId190" Target="https://doi.org/10.2139/ssrn.3063289" TargetMode="External" /><Relationship Type="http://schemas.openxmlformats.org/officeDocument/2006/relationships/hyperlink" Id="rId148" Target="https://doi.org/10.3141/1587-07" TargetMode="External" /><Relationship Type="http://schemas.openxmlformats.org/officeDocument/2006/relationships/hyperlink" Id="rId150" Target="https://doi.org/10.3141/2233-04" TargetMode="External" /><Relationship Type="http://schemas.openxmlformats.org/officeDocument/2006/relationships/hyperlink" Id="rId180" Target="https://doi.org/10.3390/s22103884" TargetMode="External" /><Relationship Type="http://schemas.openxmlformats.org/officeDocument/2006/relationships/hyperlink" Id="rId130" Target="https://doi.org/10.3390/s22187072" TargetMode="External" /><Relationship Type="http://schemas.openxmlformats.org/officeDocument/2006/relationships/hyperlink" Id="rId105" Target="https://doi.org/10.3390/su13010226" TargetMode="External" /><Relationship Type="http://schemas.openxmlformats.org/officeDocument/2006/relationships/hyperlink" Id="rId156" Target="https://doi.org/10.3390/su14020744" TargetMode="External" /><Relationship Type="http://schemas.openxmlformats.org/officeDocument/2006/relationships/hyperlink" Id="rId140" Target="https://doi.org/10.48550/arXiv.1705.07874" TargetMode="External" /><Relationship Type="http://schemas.openxmlformats.org/officeDocument/2006/relationships/hyperlink" Id="rId186" Target="https://doi.org/10.48550/arXiv.1901.01588" TargetMode="External" /><Relationship Type="http://schemas.openxmlformats.org/officeDocument/2006/relationships/hyperlink" Id="rId188" Target="https://doi.org/10.48550/arXiv.1901.03407" TargetMode="External" /><Relationship Type="http://schemas.openxmlformats.org/officeDocument/2006/relationships/hyperlink" Id="rId114" Target="https://doi.org/10.48550/arXiv.2410.09741" TargetMode="External" /><Relationship Type="http://schemas.openxmlformats.org/officeDocument/2006/relationships/hyperlink" Id="rId107" Target="https://doi.org/10.5281/zenodo.6570972" TargetMode="External" /><Relationship Type="http://schemas.openxmlformats.org/officeDocument/2006/relationships/hyperlink" Id="rId93" Target="https://github.com/gsoh/VED" TargetMode="External" /><Relationship Type="http://schemas.openxmlformats.org/officeDocument/2006/relationships/hyperlink" Id="rId94" Target="https://github.com/leoxthomas/EngineFaultDB" TargetMode="External" /><Relationship Type="http://schemas.openxmlformats.org/officeDocument/2006/relationships/hyperlink" Id="rId95" Target="https://zenodo.org/records/65709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Driver or Vehicle? Multi-Source Signature Attribution of Excess Fuel</dc:title>
  <dc:creator/>
  <dc:language>en</dc:language>
  <cp:keywords/>
  <dcterms:created xsi:type="dcterms:W3CDTF">2026-08-31T11:37:31Z</dcterms:created>
  <dcterms:modified xsi:type="dcterms:W3CDTF">2026-08-31T11:37:31Z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