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none; and</w:t>
      </w:r>
      <w:r>
        <w:t xml:space="preserve"> </w:t>
      </w:r>
      <w:r>
        <w:t xml:space="preserve">the two causes are not even fuel-matched in reality, a realistic aggressive-driving shift costing +1.1%</w:t>
      </w:r>
      <w:r>
        <w:t xml:space="preserve"> </w:t>
      </w:r>
      <w:r>
        <w:t xml:space="preserve">median fuel against the rich fault's +6.2%, so excess magnitude itself is cause-informative. To measure</w:t>
      </w:r>
      <w:r>
        <w:t xml:space="preserve"> </w:t>
      </w:r>
      <w:r>
        <w:t xml:space="preserve">attribution accuracy where no real dataset can (on the target there is no ground-truth cause, and any</w:t>
      </w:r>
      <w:r>
        <w:t xml:space="preserve"> </w:t>
      </w:r>
      <w:r>
        <w:t xml:space="preserve">proxy drawn from the two axes is circular with the attributor), we use a controlled injection deliberately</w:t>
      </w:r>
      <w:r>
        <w:t xml:space="preserve"> </w:t>
      </w:r>
      <w:r>
        <w:t xml:space="preserve">constrained so both causes raise fuel identically and magnitude carries no information: signatures learned</w:t>
      </w:r>
      <w:r>
        <w:t xml:space="preserve"> </w:t>
      </w:r>
      <w:r>
        <w:t xml:space="preserve">only in their source domains, frozen and combined on the target without joint supervision, attribute</w:t>
      </w:r>
      <w:r>
        <w:t xml:space="preserve"> </w:t>
      </w:r>
      <w:r>
        <w:t xml:space="preserve">driver-versus-fault excess at 78.5% at a source-calibrated operating point (rising to about 0.89 when the</w:t>
      </w:r>
      <w:r>
        <w:t xml:space="preserve"> </w:t>
      </w:r>
      <w:r>
        <w:t xml:space="preserve">driver signal matches the fault magnitude), agreeing to within 0.01 with the closed-form prediction of the</w:t>
      </w:r>
      <w:r>
        <w:t xml:space="preserve"> </w:t>
      </w:r>
      <w:r>
        <w:t xml:space="preserve">score model, passing a negated-weights falsification, and beating a matched fuel-only baseline pinned at</w:t>
      </w:r>
      <w:r>
        <w:t xml:space="preserve"> </w:t>
      </w:r>
      <w:r>
        <w:t xml:space="preserve">chance. Because real fuel magnitudes differ by cause, this equal-magnitude accuracy is a conservative</w:t>
      </w:r>
      <w:r>
        <w:t xml:space="preserve"> </w:t>
      </w:r>
      <w:r>
        <w:t xml:space="preserve">floor. A conformal abstention rule gives each issued decision a finite-sample selective-risk guarantee.</w:t>
      </w:r>
      <w:r>
        <w:t xml:space="preserve"> </w:t>
      </w:r>
      <w:r>
        <w:t xml:space="preserve">Both axes derive from standard on-board-diagnostics channels, making per-trip attribution deployable as a</w:t>
      </w:r>
      <w:r>
        <w:t xml:space="preserve"> </w:t>
      </w:r>
      <w:r>
        <w:t xml:space="preserve">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dissociation measured on real data</w:t>
      </w:r>
      <w:r>
        <w:t xml:space="preserve">: the combustion axis is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vehicles; on real fleet trips kinematic-dominant trips carry +0.57 L/100km of excess</w:t>
      </w:r>
      <w:r>
        <w:t xml:space="preserve"> </w:t>
      </w:r>
      <w:r>
        <w:t xml:space="preserve">while trim-dominant trips carry none; and the two causes are not fuel-matched, a realistic</w:t>
      </w:r>
      <w:r>
        <w:t xml:space="preserve"> </w:t>
      </w:r>
      <w:r>
        <w:t xml:space="preserve">aggressive-driving shift costing +1.1% median fuel against the rich fault's +6.2%.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controlled-injection evaluation</w:t>
      </w:r>
      <w:r>
        <w:t xml:space="preserve"> </w:t>
      </w:r>
      <w:r>
        <w:t xml:space="preserve">with source-calibrated effect sizes: frozen source-derived</w:t>
      </w:r>
      <w:r>
        <w:t xml:space="preserve"> </w:t>
      </w:r>
      <w:r>
        <w:t xml:space="preserve">signatures learned in separate domains attribute driver-versus-fault excess at 78.5% at a realistic</w:t>
      </w:r>
      <w:r>
        <w:t xml:space="preserve"> </w:t>
      </w:r>
      <w:r>
        <w:t xml:space="preserve">operating point (up to ~0.89 at matched severity) with no joint supervision, matching the closed-form</w:t>
      </w:r>
      <w:r>
        <w:t xml:space="preserve"> </w:t>
      </w:r>
      <w:r>
        <w:t xml:space="preserve">prediction of the score model, passing a negated-weights falsification, and beating a fuel-only</w:t>
      </w:r>
      <w:r>
        <w:t xml:space="preserve"> </w:t>
      </w:r>
      <w:r>
        <w:t xml:space="preserve">baseline at chance; because real fuel magnitudes differ by cause this is a conservative floor. A</w:t>
      </w:r>
      <w:r>
        <w:t xml:space="preserve"> </w:t>
      </w:r>
      <w:r>
        <w:t xml:space="preserve">likelihood-ratio fusion with split-conformal abstention gives each decision a finite-sample</w:t>
      </w:r>
      <w:r>
        <w:t xml:space="preserve"> </w:t>
      </w:r>
      <w:r>
        <w:t xml:space="preserve">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a controlled</w:t>
      </w:r>
      <w:r>
        <w:t xml:space="preserve"> </w:t>
      </w:r>
      <w:r>
        <w:t xml:space="preserve">injection with source-calibrated effect sizes measures attribution accuracy where no real dataset can,</w:t>
      </w:r>
      <w:r>
        <w:t xml:space="preserve"> </w:t>
      </w:r>
      <w:r>
        <w:t xml:space="preserve">as a conservative floor.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(controlled injection,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axes: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This equal-fuel</w:t>
      </w:r>
      <w:r>
        <w:t xml:space="preserve"> </w:t>
      </w:r>
      <w:r>
        <w:t xml:space="preserve">constraint is deliberately adversarial: in reality the two causes are not fuel-matched (Section 8.3</w:t>
      </w:r>
      <w:r>
        <w:t xml:space="preserve"> </w:t>
      </w:r>
      <w:r>
        <w:t xml:space="preserve">measures a realistic driver shift at +1.1% median fuel against the fault's +6.2%), so withholding</w:t>
      </w:r>
      <w:r>
        <w:t xml:space="preserve"> </w:t>
      </w:r>
      <w:r>
        <w:t xml:space="preserve">magnitude makes the resulting accuracy a conservative floor rather than an optimistic estimate.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</w:t>
      </w:r>
      <w:r>
        <w:t xml:space="preserve"> </w:t>
      </w:r>
      <w:r>
        <w:t xml:space="preserve">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a deliberately adversarial constraint that withholds magnitude</w:t>
      </w:r>
      <w:r>
        <w:t xml:space="preserve"> </w:t>
      </w:r>
      <w:r>
        <w:t xml:space="preserve">information from the attributor (its physical justification, and why it makes the result a floor,</w:t>
      </w:r>
      <w:r>
        <w:t xml:space="preserve"> </w:t>
      </w:r>
      <w:r>
        <w:t xml:space="preserve">follow below), and ask a frozen attributor 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conservative, because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49.6%</w:t>
      </w:r>
      <w:r>
        <w:t xml:space="preserve">), confirming</w:t>
      </w:r>
      <w:r>
        <w:t xml:space="preserve"> </w:t>
      </w:r>
      <w:r>
        <w:t xml:space="preserve">no magnitude leak. These measured values agree to within 0.01 with the closed-form predictions of the</w:t>
      </w:r>
      <w:r>
        <w:t xml:space="preserve"> </w:t>
      </w:r>
      <w:r>
        <w:t xml:space="preserve">Gaussian score model (0.778 and 0.813; Section 4.6): the experiment's evidential content is that this</w:t>
      </w:r>
      <w:r>
        <w:t xml:space="preserve"> </w:t>
      </w:r>
      <w:r>
        <w:t xml:space="preserve">score model holds against real fleet trip-to-trip noise and that the frozen weights pass falsification,</w:t>
      </w:r>
      <w:r>
        <w:t xml:space="preserve"> </w:t>
      </w:r>
      <w:r>
        <w:t xml:space="preserve">not the accuracy value itself, which the two source-calibrated effect sizes determine. The result is</w:t>
      </w:r>
      <w:r>
        <w:t xml:space="preserve"> </w:t>
      </w:r>
      <w:r>
        <w:t xml:space="preserve">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The equal-fuel constraint is deliberately adversarial, and two measured facts show both what it gives</w:t>
      </w:r>
      <w:r>
        <w:t xml:space="preserve"> </w:t>
      </w:r>
      <w:r>
        <w:t xml:space="preserve">away and why it costs almost nothing. First, pushing the calibrated driver perturbation through the</w:t>
      </w:r>
      <w:r>
        <w:t xml:space="preserve"> </w:t>
      </w:r>
      <w:r>
        <w:t xml:space="preserve">expected-fuel model raises fuel by only</w:t>
      </w:r>
      <w:r>
        <w:t xml:space="preserve"> </w:t>
      </w:r>
      <w:r>
        <w:rPr>
          <w:b/>
          <w:bCs/>
        </w:rPr>
        <w:t xml:space="preserve">+1.1% at the median</w:t>
      </w:r>
      <w:r>
        <w:t xml:space="preserve"> </w:t>
      </w:r>
      <w:r>
        <w:t xml:space="preserve">(+3.5% at the 90th percentile),</w:t>
      </w:r>
      <w:r>
        <w:t xml:space="preserve"> </w:t>
      </w:r>
      <w:r>
        <w:t xml:space="preserve">against the bench fault's</w:t>
      </w:r>
      <w:r>
        <w:t xml:space="preserve"> </w:t>
      </w:r>
      <w:r>
        <w:rPr>
          <w:b/>
          <w:bCs/>
        </w:rPr>
        <w:t xml:space="preserve">+6.2%</w:t>
      </w:r>
      <w:r>
        <w:t xml:space="preserve">: in expectation the two causes are not fuel-matched, so magnitude</w:t>
      </w:r>
      <w:r>
        <w:t xml:space="preserve"> </w:t>
      </w:r>
      <w:r>
        <w:t xml:space="preserve">does carry cause information. Second, that information is nearly unusable per trip. Single-trip excess</w:t>
      </w:r>
      <w:r>
        <w:t xml:space="preserve"> </w:t>
      </w:r>
      <w:r>
        <w:t xml:space="preserve">magnitude alone attributes at just</w:t>
      </w:r>
      <w:r>
        <w:t xml:space="preserve"> </w:t>
      </w:r>
      <w:r>
        <w:rPr>
          <w:b/>
          <w:bCs/>
        </w:rPr>
        <w:t xml:space="preserve">0.562</w:t>
      </w:r>
      <w:r>
        <w:t xml:space="preserve">, barely above chance, because trip-to-trip fuel variation</w:t>
      </w:r>
      <w:r>
        <w:t xml:space="preserve"> </w:t>
      </w:r>
      <w:r>
        <w:t xml:space="preserve">(out-of-fold residual standard deviation 17%) swamps the five-point mean gap; adding magnitude as a third</w:t>
      </w:r>
      <w:r>
        <w:t xml:space="preserve"> </w:t>
      </w:r>
      <w:r>
        <w:t xml:space="preserve">likelihood channel to the signature fusion moves accuracy only from 0.812 to</w:t>
      </w:r>
      <w:r>
        <w:t xml:space="preserve"> </w:t>
      </w:r>
      <w:r>
        <w:rPr>
          <w:b/>
          <w:bCs/>
        </w:rPr>
        <w:t xml:space="preserve">0.815</w:t>
      </w:r>
      <w:r>
        <w:t xml:space="preserve">. The</w:t>
      </w:r>
      <w:r>
        <w:t xml:space="preserve"> </w:t>
      </w:r>
      <w:r>
        <w:t xml:space="preserve">equal-magnitude accuracy is therefore a floor, but a tight one: withholding magnitude costs about</w:t>
      </w:r>
      <w:r>
        <w:t xml:space="preserve"> </w:t>
      </w:r>
      <w:r>
        <w:t xml:space="preserve">0.003 at the single-trip level, and the closed-form separations confirm it (magnitude effect size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0.30</m:t>
        </m:r>
      </m:oMath>
      <w:r>
        <w:t xml:space="preserve">, giving Bayes accuracy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0.15</m:t>
            </m:r>
          </m:e>
        </m:d>
        <m:r>
          <m:rPr>
            <m:sty m:val="p"/>
          </m:rPr>
          <m:t>=</m:t>
        </m:r>
        <m:r>
          <m:t>0.56</m:t>
        </m:r>
      </m:oMath>
      <w:r>
        <w:t xml:space="preserve">, against the signatures' combined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</m:t>
        </m:r>
      </m:oMath>
      <w:r>
        <w:t xml:space="preserve">). The same measurement closes the obvious shortcut of simply thresholding the excess:</w:t>
      </w:r>
      <w:r>
        <w:t xml:space="preserve"> </w:t>
      </w:r>
      <w:r>
        <w:t xml:space="preserve">at the trip level that rule is near chance, so the cause-specific signatures, not the fuel magnitude,</w:t>
      </w:r>
      <w:r>
        <w:t xml:space="preserve"> </w:t>
      </w:r>
      <w:r>
        <w:t xml:space="preserve">carry the attribution. The physical asymmetry still holds, a typical aggressive episode being a small</w:t>
      </w:r>
      <w:r>
        <w:t xml:space="preserve"> </w:t>
      </w:r>
      <w:r>
        <w:t xml:space="preserve">persistent cost and a rich fault a large one, and over many trips of a vehicle the magnitude gap does</w:t>
      </w:r>
      <w:r>
        <w:t xml:space="preserve"> </w:t>
      </w:r>
      <w:r>
        <w:t xml:space="preserve">become usable; but per trip the signatures are the discriminative evidence. This trip-level +1.1%</w:t>
      </w:r>
      <w:r>
        <w:t xml:space="preserve"> </w:t>
      </w:r>
      <w:r>
        <w:t xml:space="preserve">(a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shift from each trip's own driving) is a smaller, differently-referenced quantity than</w:t>
      </w:r>
      <w:r>
        <w:t xml:space="preserve"> </w:t>
      </w:r>
      <w:r>
        <w:t xml:space="preserve">the +0.47 L/100km (~5%) behaviour counterfactual of Section 6.2, which contrasts observed driving against</w:t>
      </w:r>
      <w:r>
        <w:t xml:space="preserve"> </w:t>
      </w:r>
      <w:r>
        <w:t xml:space="preserve">a gentle 20th-percentile reference, a much wider gap.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unchanged under a trim-corrected fuel target, at the level of</w:t>
      </w:r>
      <w:r>
        <w:t xml:space="preserve"> </w:t>
      </w:r>
      <w:r>
        <w:t xml:space="preserve">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</w:t>
      </w:r>
      <w:r>
        <w:t xml:space="preserve"> </w:t>
      </w:r>
      <w:r>
        <w:t xml:space="preserve">This last point is a hard boundary, not a choice of convenience: proxy cause labels constructed on the</w:t>
      </w:r>
      <w:r>
        <w:t xml:space="preserve"> </w:t>
      </w:r>
      <w:r>
        <w:t xml:space="preserve">target from the kinematic or combustion axes cannot validate attribution, because the attributor decides</w:t>
      </w:r>
      <w:r>
        <w:t xml:space="preserve"> </w:t>
      </w:r>
      <w:r>
        <w:t xml:space="preserve">on those same axes, so any such proxy is recovered trivially and carries no information. Only injected or</w:t>
      </w:r>
      <w:r>
        <w:t xml:space="preserve"> </w:t>
      </w:r>
      <w:r>
        <w:t xml:space="preserve">externally labelled ground truth is evidential here.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The two causes are not even</w:t>
      </w:r>
      <w:r>
        <w:t xml:space="preserve"> </w:t>
      </w:r>
      <w:r>
        <w:t xml:space="preserve">fuel-matched, a realistic aggressive-driving shift costing +1.1% median fuel against the fault's +6.2%,</w:t>
      </w:r>
      <w:r>
        <w:t xml:space="preserve"> </w:t>
      </w:r>
      <w:r>
        <w:t xml:space="preserve">so magnitude itself is cause-informative. In a controlled injection that deliberately withholds that</w:t>
      </w:r>
      <w:r>
        <w:t xml:space="preserve"> </w:t>
      </w:r>
      <w:r>
        <w:t xml:space="preserve">magnitude, frozen signatures learned in separate source domains attribute the cause at 78.5% at a</w:t>
      </w:r>
      <w:r>
        <w:t xml:space="preserve"> </w:t>
      </w:r>
      <w:r>
        <w:t xml:space="preserve">realistic operating point (up to ~0.89 at matched severity), matching the closed-form score model and</w:t>
      </w:r>
      <w:r>
        <w:t xml:space="preserve"> </w:t>
      </w:r>
      <w:r>
        <w:t xml:space="preserve">passing a falsification control where a fuel-only baseline is at chance; since real magnitudes differ by</w:t>
      </w:r>
      <w:r>
        <w:t xml:space="preserve"> </w:t>
      </w:r>
      <w:r>
        <w:t xml:space="preserve">cause, this is a conservative floor.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scripts/p20_driver_fuelcost.py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2026-08-31T12:55:11Z</dcterms:created>
  <dcterms:modified xsi:type="dcterms:W3CDTF">2026-08-31T12:55:11Z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