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svg" ContentType="image/svg+xml"/>
  <Override PartName="/word/media/rId47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8.png" ContentType="image/png"/>
  <Override PartName="/word/media/rId75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Signature-Based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  <w:r>
        <w:t xml:space="preserve"> </w:t>
      </w:r>
      <w:r>
        <w:t xml:space="preserve">Consumption</w:t>
      </w:r>
    </w:p>
    <w:bookmarkStart w:id="20" w:name="Xb86f25cd334bec3280bd4d2fc6af5404396d8df"/>
    <w:p>
      <w:pPr>
        <w:pStyle w:val="Heading1"/>
      </w:pPr>
      <w:r>
        <w:t xml:space="preserve">Driver or Vehicle? Signature-Based Attribution of Excess Fuel Consumption</w:t>
      </w:r>
      <w:r>
        <w:br/>
      </w:r>
      <w:r>
        <w:t xml:space="preserve">Using Public Fleet Telemetry and an Engine-Fault Bench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an independent labelled driving dataset.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semi-synthetic ground truth, where both</w:t>
      </w:r>
      <w:r>
        <w:t xml:space="preserve"> </w:t>
      </w:r>
      <w:r>
        <w:t xml:space="preserve">causes raise fuel by the same amount so that magnitude is uninformative, the signature attributes</w:t>
      </w:r>
      <w:r>
        <w:t xml:space="preserve"> </w:t>
      </w:r>
      <w:r>
        <w:t xml:space="preserve">driver-versus-fault excess at 95.9% accuracy (95% CI [95.6, 96.2]) against a fuel-only baseline at</w:t>
      </w:r>
      <w:r>
        <w:t xml:space="preserve"> </w:t>
      </w:r>
      <w:r>
        <w:t xml:space="preserve">chance. Both axes derive from</w:t>
      </w:r>
      <w:r>
        <w:t xml:space="preserve"> </w:t>
      </w:r>
      <w:r>
        <w:t xml:space="preserve">standard on-board-diagnostics channels, making per-trip attribution deployable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signature-based framework that attributes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using only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vehicles, ruling out a measurement artifact.</w:t>
      </w:r>
    </w:p>
    <w:p>
      <w:pPr>
        <w:pStyle w:val="Compact"/>
        <w:numPr>
          <w:ilvl w:val="0"/>
          <w:numId w:val="1001"/>
        </w:numPr>
      </w:pPr>
      <w:r>
        <w:t xml:space="preserve">A measured</w:t>
      </w:r>
      <w:r>
        <w:t xml:space="preserve"> </w:t>
      </w:r>
      <w:r>
        <w:rPr>
          <w:b/>
          <w:bCs/>
        </w:rPr>
        <w:t xml:space="preserve">attribution accuracy of 95.9%</w:t>
      </w:r>
      <w:r>
        <w:t xml:space="preserve"> </w:t>
      </w:r>
      <w:r>
        <w:t xml:space="preserve">(95% CI [95.6, 96.2]) on semi-synthetic ground</w:t>
      </w:r>
      <w:r>
        <w:t xml:space="preserve"> </w:t>
      </w:r>
      <w:r>
        <w:t xml:space="preserve">truth at a bench-calibrated fault magnitude, where fuel magnitude alone is at chance.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reproducible pipeline and paper in which every number traces to a script.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svg+xml;base64,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an independent dataset validates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 (the vehicle-baseline defined in Section 4.3).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an independent labelled driving dataset validates the kinematic axis; and the</w:t>
      </w:r>
      <w:r>
        <w:t xml:space="preserve"> </w:t>
      </w:r>
      <w:r>
        <w:t xml:space="preserve">semi-synthetic injection measures attribution accuracy directly.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</w:t>
      </w:r>
      <w:r>
        <w:t xml:space="preserve"> </w:t>
      </w:r>
      <w:r>
        <w:t xml:space="preserve">behaviour axis is validated to transfer to an independent dataset;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the signature recovers the cause at 95.9% accuracy.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</w:t>
      </w:r>
      <w:r>
        <w:t xml:space="preserve"> </w:t>
      </w:r>
      <w:r>
        <w:t xml:space="preserve">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</w:t>
      </w:r>
      <w:r>
        <w:t xml:space="preserve"> </w:t>
      </w:r>
      <w:r>
        <w:t xml:space="preserve">[</w:t>
      </w:r>
      <w:hyperlink w:anchor="r13">
        <w:r>
          <w:rPr>
            <w:rStyle w:val="Hyperlink"/>
          </w:rPr>
          <w:t xml:space="preserve">13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methods, and</w:t>
      </w:r>
      <w:r>
        <w:t xml:space="preserve"> </w:t>
      </w:r>
      <w:r>
        <w:t xml:space="preserve">autoencoder or recurrent models.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Fuel theft or leakage is a related but distinct anomaly, detected as an abrupt change</w:t>
      </w:r>
      <w:r>
        <w:t xml:space="preserve"> </w:t>
      </w:r>
      <w:r>
        <w:t xml:space="preserve">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 that is a sudden step in fuel level, whereas the excess we attribute is</w:t>
      </w:r>
      <w:r>
        <w:t xml:space="preserve"> </w:t>
      </w:r>
      <w:r>
        <w:t xml:space="preserve">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</w:t>
      </w:r>
      <w:r>
        <w:t xml:space="preserve"> </w:t>
      </w:r>
      <w:r>
        <w:t xml:space="preserve">its input features.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95.9%)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three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4" w:name="method"/>
    <w:p>
      <w:pPr>
        <w:pStyle w:val="Heading2"/>
      </w:pPr>
      <w:r>
        <w:t xml:space="preserve">4. Method</w:t>
      </w:r>
    </w:p>
    <w:bookmarkStart w:id="38" w:name="fuel-target"/>
    <w:p>
      <w:pPr>
        <w:pStyle w:val="Heading3"/>
      </w:pPr>
      <w:r>
        <w:t xml:space="preserve">4.1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8.4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8"/>
    <w:bookmarkStart w:id="39" w:name="expected-fuel-model-and-excess"/>
    <w:p>
      <w:pPr>
        <w:pStyle w:val="Heading3"/>
      </w:pPr>
      <w:r>
        <w:t xml:space="preserve">4.2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39"/>
    <w:bookmarkStart w:id="40" w:name="decomposition"/>
    <w:p>
      <w:pPr>
        <w:pStyle w:val="Heading3"/>
      </w:pPr>
      <w:r>
        <w:t xml:space="preserve">4.3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0"/>
    <w:bookmarkStart w:id="41" w:name="the-two-axes-and-the-signature-contrast"/>
    <w:p>
      <w:pPr>
        <w:pStyle w:val="Heading3"/>
      </w:pPr>
      <w:r>
        <w:t xml:space="preserve">4.4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The</w:t>
      </w:r>
      <w:r>
        <w:t xml:space="preserve"> </w:t>
      </w:r>
      <w:r>
        <w:t xml:space="preserve">combustion axis is observable in both worlds and placed on a common percent-fuel-per-air scale: in</w:t>
      </w:r>
      <w:r>
        <w:t xml:space="preserve"> </w:t>
      </w:r>
      <w:r>
        <w:t xml:space="preserve">VED as the fuel trims,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and on the bench directly from the</w:t>
      </w:r>
      <w:r>
        <w:t xml:space="preserve"> </w:t>
      </w:r>
      <w:r>
        <w:t xml:space="preserve">air-fuel ratio,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1"/>
    <w:bookmarkStart w:id="42" w:name="semi-synthetic-attribution"/>
    <w:p>
      <w:pPr>
        <w:pStyle w:val="Heading3"/>
      </w:pPr>
      <w:r>
        <w:t xml:space="preserve">4.5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</w:t>
      </w:r>
      <w:r>
        <w:t xml:space="preserve"> </w:t>
      </w:r>
      <m:oMath>
        <m:r>
          <m:t>Δ</m:t>
        </m:r>
        <m:r>
          <m:t>f</m:t>
        </m:r>
      </m:oMath>
      <w:r>
        <w:t xml:space="preserve">, so that fuel magnitude carries no information about the cause. The</w:t>
      </w:r>
      <w:r>
        <w:t xml:space="preserve"> </w:t>
      </w:r>
      <w:r>
        <w:t xml:space="preserve">driver variant adds signal to the kinematic axis and leaves the combustion axis at its real value; the</w:t>
      </w:r>
      <w:r>
        <w:t xml:space="preserve"> </w:t>
      </w:r>
      <w:r>
        <w:t xml:space="preserve">fault variant adds signal to the combustion axis and leaves kinematics unchanged. The injected strength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expressed in units of the natural within-vehicle standard deviation of the axis, so that real</w:t>
      </w:r>
      <w:r>
        <w:t xml:space="preserve"> </w:t>
      </w:r>
      <w:r>
        <w:t xml:space="preserve">trip-to-trip variation supplies the confounding noise. Writing</w:t>
      </w:r>
      <w:r>
        <w:t xml:space="preserve"> </w:t>
      </w:r>
      <m:oMath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real</w:t>
      </w:r>
      <w:r>
        <w:t xml:space="preserve"> </w:t>
      </w:r>
      <w:r>
        <w:t xml:space="preserve">within-vehicle-standardized kinematic and combustion deviations,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calibrate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measured rich-mixture fault: its combustion shift of 3.0% fuel-per-air,</w:t>
      </w:r>
      <w:r>
        <w:t xml:space="preserve"> </w:t>
      </w:r>
      <w:r>
        <w:t xml:space="preserve">divided by the median within-vehicle long-term-trim standard deviation of 1.79%, gives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 </w:t>
      </w:r>
      <w:r>
        <w:t xml:space="preserve">(from the unrounded shift and standard deviation). A logistic attributor is trained on the two axis-deviations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z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 </w:t>
      </w:r>
      <w:r>
        <w:t xml:space="preserve">together with the vehicle baseline, under GroupKFold by vehicle; a control classifier that sees only the fuel excess</w:t>
      </w:r>
      <w:r>
        <w:t xml:space="preserve"> </w:t>
      </w:r>
      <m:oMath>
        <m:r>
          <m:t>Δ</m:t>
        </m:r>
        <m:r>
          <m:t>f</m:t>
        </m:r>
      </m:oMath>
      <w:r>
        <w:t xml:space="preserve"> </w:t>
      </w:r>
      <w:r>
        <w:t xml:space="preserve">is the chance baseline.</w:t>
      </w:r>
    </w:p>
    <w:bookmarkEnd w:id="42"/>
    <w:bookmarkStart w:id="43" w:name="baselines"/>
    <w:p>
      <w:pPr>
        <w:pStyle w:val="Heading3"/>
      </w:pPr>
      <w:r>
        <w:t xml:space="preserve">4.6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3"/>
    <w:bookmarkEnd w:id="44"/>
    <w:bookmarkStart w:id="45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(400 boosting</w:t>
      </w:r>
      <w:r>
        <w:t xml:space="preserve"> </w:t>
      </w:r>
      <w:r>
        <w:t xml:space="preserve">iterations, learning rate 0.05, maximum depth 6; the auxiliary conditions-only and behaviour-only</w:t>
      </w:r>
      <w:r>
        <w:t xml:space="preserve"> </w:t>
      </w:r>
      <w:r>
        <w:t xml:space="preserve">models use 300 iterations and depth 5),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</w:t>
      </w:r>
    </w:p>
    <w:bookmarkEnd w:id="45"/>
    <w:bookmarkStart w:id="58" w:name="arm1"/>
    <w:p>
      <w:pPr>
        <w:pStyle w:val="Heading2"/>
      </w:pPr>
      <w:r>
        <w:t xml:space="preserve">6. Results: driver arm (VED)</w:t>
      </w:r>
    </w:p>
    <w:bookmarkStart w:id="46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6"/>
    <w:bookmarkStart w:id="53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with independently measured</w:t>
      </w:r>
      <w:r>
        <w:t xml:space="preserve"> </w:t>
      </w:r>
      <w:r>
        <w:t xml:space="preserve">aggression: across deciles of harsh-event rate its mean rises from 0.34 to 1.55 L/100km (Figure 3),</w:t>
      </w:r>
      <w:r>
        <w:t xml:space="preserve"> </w:t>
      </w:r>
      <w:r>
        <w:t xml:space="preserve">monotone from the median upward, with a Spearman rank correlation of 0.96 across deciles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8" name="Picture"/>
            <a:graphic>
              <a:graphicData uri="http://schemas.openxmlformats.org/drawingml/2006/picture">
                <pic:pic>
                  <pic:nvPicPr>
                    <pic:cNvPr descr="figures/fig1_variance_decomposi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1" name="Picture"/>
            <a:graphic>
              <a:graphicData uri="http://schemas.openxmlformats.org/drawingml/2006/picture">
                <pic:pic>
                  <pic:nvPicPr>
                    <pic:cNvPr descr="figures/fig3_behaviour_monotonicit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3"/>
    <w:bookmarkStart w:id="57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5" name="Picture"/>
            <a:graphic>
              <a:graphicData uri="http://schemas.openxmlformats.org/drawingml/2006/picture">
                <pic:pic>
                  <pic:nvPicPr>
                    <pic:cNvPr descr="figures/fig4_behaviour_roc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bookmarkEnd w:id="57"/>
    <w:bookmarkEnd w:id="58"/>
    <w:bookmarkStart w:id="62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0" name="Picture"/>
            <a:graphic>
              <a:graphicData uri="http://schemas.openxmlformats.org/drawingml/2006/picture">
                <pic:pic>
                  <pic:nvPicPr>
                    <pic:cNvPr descr="figures/fig5_fault_signatur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2"/>
    <w:bookmarkStart w:id="79" w:name="attrib"/>
    <w:p>
      <w:pPr>
        <w:pStyle w:val="Heading2"/>
      </w:pPr>
      <w:r>
        <w:t xml:space="preserve">8. Attribution</w:t>
      </w:r>
    </w:p>
    <w:bookmarkStart w:id="66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4" name="Picture"/>
            <a:graphic>
              <a:graphicData uri="http://schemas.openxmlformats.org/drawingml/2006/picture">
                <pic:pic>
                  <pic:nvPicPr>
                    <pic:cNvPr descr="figures/signature_contrast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6"/>
    <w:bookmarkStart w:id="67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7"/>
    <w:bookmarkStart w:id="71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Injecting driver-caused and fault-caused excess into 11,520 real VED trips (139 vehicles) with the</w:t>
      </w:r>
      <w:r>
        <w:t xml:space="preserve"> </w:t>
      </w:r>
      <w:r>
        <w:t xml:space="preserve">same fuel increase for both, so that magnitude is uninformative, the signature attributor recovers the</w:t>
      </w:r>
      <w:r>
        <w:t xml:space="preserve"> </w:t>
      </w:r>
      <w:r>
        <w:t xml:space="preserve">cause with accuracy that rises with signature strength: 0.713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0.866 at 1.0, 0.946 at</w:t>
      </w:r>
      <w:r>
        <w:t xml:space="preserve"> </w:t>
      </w:r>
      <w:r>
        <w:t xml:space="preserve">1.5, 0.979 at 2.0, and 0.998 at 3.0, while the fuel-only baseline stays at chance (about 0.50)</w:t>
      </w:r>
      <w:r>
        <w:t xml:space="preserve"> </w:t>
      </w:r>
      <w:r>
        <w:t xml:space="preserve">throughout (Figure 7). At the bench-calibrated magnitude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≈</m:t>
        </m:r>
        <m:r>
          <m:t>1.66</m:t>
        </m:r>
      </m:oMath>
      <w:r>
        <w:t xml:space="preserve"> </w:t>
      </w:r>
      <w:r>
        <w:t xml:space="preserve">the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0.959</w:t>
      </w:r>
      <w:r>
        <w:t xml:space="preserve"> </w:t>
      </w:r>
      <w:r>
        <w:t xml:space="preserve">(95% CI [0.956, 0.962], F1 0.959, with near-symmetric errors of about 4% each way).</w:t>
      </w:r>
      <w:r>
        <w:t xml:space="preserve"> </w:t>
      </w:r>
      <w:r>
        <w:t xml:space="preserve">This measures attribution rather than asserting it: the design makes fuel magnitude uninformative by</w:t>
      </w:r>
      <w:r>
        <w:t xml:space="preserve"> </w:t>
      </w:r>
      <w:r>
        <w:t xml:space="preserve">construction, so the accuracy comes entirely from the signature, and by controlling the injected</w:t>
      </w:r>
      <w:r>
        <w:t xml:space="preserve"> </w:t>
      </w:r>
      <w:r>
        <w:t xml:space="preserve">magnitude it sidesteps the trim-blindness of the fleet fuel target and the healthy-fleet range</w:t>
      </w:r>
      <w:r>
        <w:t xml:space="preserve"> </w:t>
      </w:r>
      <w:r>
        <w:t xml:space="preserve">restriction examined next. Two caveats on scope. The injection places each cause purely on its own</w:t>
      </w:r>
      <w:r>
        <w:t xml:space="preserve"> </w:t>
      </w:r>
      <w:r>
        <w:t xml:space="preserve">axis, so the experiment measures how detectable that separation is against real trip-to-trip noise; it</w:t>
      </w:r>
      <w:r>
        <w:t xml:space="preserve"> </w:t>
      </w:r>
      <w:r>
        <w:t xml:space="preserve">presumes rather than proves axis-separability, which rests instead on the bench signature and the</w:t>
      </w:r>
      <w:r>
        <w:t xml:space="preserve"> </w:t>
      </w:r>
      <w:r>
        <w:t xml:space="preserve">silent driver-excess cell. And the measured accuracy sits above the Gaussian-optimal bound of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≈</m:t>
        </m:r>
        <m:r>
          <m:t>0.88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</m:oMath>
      <w:r>
        <w:t xml:space="preserve">, because the real within-vehicle deviations are</w:t>
      </w:r>
      <w:r>
        <w:t xml:space="preserve"> </w:t>
      </w:r>
      <w:r>
        <w:t xml:space="preserve">tighter than the median standard deviation used for calibration and the attributor also sees each</w:t>
      </w:r>
      <w:r>
        <w:t xml:space="preserve"> </w:t>
      </w:r>
      <w:r>
        <w:t xml:space="preserve">vehicle's baseline; the two axes are in fact near-independent in the fleet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what makes them separable.</w:t>
      </w:r>
    </w:p>
    <w:p>
      <w:pPr>
        <w:pStyle w:val="CaptionedFigure"/>
      </w:pPr>
      <w:r>
        <w:drawing>
          <wp:inline>
            <wp:extent cx="5187696" cy="3176016"/>
            <wp:effectExtent b="0" l="0" r="0" t="0"/>
            <wp:docPr descr="Attribution accuracy vs signature strength" title="" id="69" name="Picture"/>
            <a:graphic>
              <a:graphicData uri="http://schemas.openxmlformats.org/drawingml/2006/picture">
                <pic:pic>
                  <pic:nvPicPr>
                    <pic:cNvPr descr="figures/fig6_attribution_accurac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69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versus signature strength, reaching 95.9% at the</w:t>
      </w:r>
      <w:r>
        <w:t xml:space="preserve"> </w:t>
      </w:r>
      <w:r>
        <w:t xml:space="preserve">bench-calibrated fault magnitude while the fuel-magnitude baseline stays at chance.</w:t>
      </w:r>
    </w:p>
    <w:bookmarkEnd w:id="71"/>
    <w:bookmarkStart w:id="74" w:name="Xb70b62c2f344913f38fcc3ac71a67668c178b99"/>
    <w:p>
      <w:pPr>
        <w:pStyle w:val="Heading3"/>
      </w:pPr>
      <w:r>
        <w:t xml:space="preserve">8.4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2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</w:t>
      </w:r>
    </w:p>
    <w:bookmarkEnd w:id="72"/>
    <w:bookmarkStart w:id="73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3"/>
    <w:bookmarkEnd w:id="74"/>
    <w:bookmarkStart w:id="78" w:name="a-worked-example"/>
    <w:p>
      <w:pPr>
        <w:pStyle w:val="Heading3"/>
      </w:pPr>
      <w:r>
        <w:t xml:space="preserve">8.5 A worked example</w:t>
      </w:r>
    </w:p>
    <w:p>
      <w:pPr>
        <w:pStyle w:val="FirstParagraph"/>
      </w:pPr>
      <w:r>
        <w:t xml:space="preserve">Figure 8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76" name="Picture"/>
            <a:graphic>
              <a:graphicData uri="http://schemas.openxmlformats.org/drawingml/2006/picture">
                <pic:pic>
                  <pic:nvPicPr>
                    <pic:cNvPr descr="figures/fig7_worked_exampl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78"/>
    <w:bookmarkEnd w:id="79"/>
    <w:bookmarkStart w:id="84" w:name="discuss"/>
    <w:p>
      <w:pPr>
        <w:pStyle w:val="Heading2"/>
      </w:pPr>
      <w:r>
        <w:t xml:space="preserve">9. Discussion</w:t>
      </w:r>
    </w:p>
    <w:bookmarkStart w:id="80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0"/>
    <w:bookmarkStart w:id="81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1"/>
    <w:bookmarkStart w:id="82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2"/>
    <w:bookmarkStart w:id="83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3"/>
    <w:bookmarkEnd w:id="84"/>
    <w:bookmarkStart w:id="86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for amplitude features across sensing</w:t>
      </w:r>
      <w:r>
        <w:t xml:space="preserve"> </w:t>
      </w:r>
      <w:r>
        <w:t xml:space="preserve">regimes rather than for the exact VED feature set, and a dedicated 1 Hz-versus-high-rate sensitivity</w:t>
      </w:r>
      <w:r>
        <w:t xml:space="preserve"> </w:t>
      </w:r>
      <w:r>
        <w:t xml:space="preserve">analysis is left to future work.</w:t>
      </w:r>
    </w:p>
    <w:bookmarkStart w:id="85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85"/>
    <w:bookmarkEnd w:id="86"/>
    <w:bookmarkStart w:id="87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When fuel magnitude is made</w:t>
      </w:r>
      <w:r>
        <w:t xml:space="preserve"> </w:t>
      </w:r>
      <w:r>
        <w:t xml:space="preserve">uninformative, the signature attributes the cause at 95.9% accuracy where magnitude alone is at chance.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87"/>
    <w:bookmarkStart w:id="91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0">
        <w:r>
          <w:rPr>
            <w:rStyle w:val="Hyperlink"/>
          </w:rPr>
          <w:t xml:space="preserve">zenodo.org/records/6570972</w:t>
        </w:r>
      </w:hyperlink>
      <w:r>
        <w:t xml:space="preserve">,</w:t>
      </w:r>
      <w:r>
        <w:t xml:space="preserve"> </w:t>
      </w:r>
      <w:r>
        <w:t xml:space="preserve">CC-BY-4.0).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scripts/p10_consolidated.py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and the Driving Events dataset</w:t>
      </w:r>
      <w:r>
        <w:t xml:space="preserve"> </w:t>
      </w:r>
      <w:r>
        <w:t xml:space="preserve">for releasing their data openly.</w:t>
      </w:r>
    </w:p>
    <w:bookmarkEnd w:id="91"/>
    <w:bookmarkStart w:id="137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93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2">
        <w:r>
          <w:rPr>
            <w:rStyle w:val="Hyperlink"/>
          </w:rPr>
          <w:t xml:space="preserve">10.1109/TITS.2020.3035596</w:t>
        </w:r>
      </w:hyperlink>
      <w:bookmarkEnd w:id="93"/>
    </w:p>
    <w:p>
      <w:pPr>
        <w:pStyle w:val="Compact"/>
        <w:numPr>
          <w:ilvl w:val="0"/>
          <w:numId w:val="1002"/>
        </w:numPr>
      </w:pPr>
      <w:bookmarkStart w:id="95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4">
        <w:r>
          <w:rPr>
            <w:rStyle w:val="Hyperlink"/>
          </w:rPr>
          <w:t xml:space="preserve">10.1109/ACCESS.2023.3331316</w:t>
        </w:r>
      </w:hyperlink>
      <w:bookmarkEnd w:id="95"/>
    </w:p>
    <w:p>
      <w:pPr>
        <w:pStyle w:val="Compact"/>
        <w:numPr>
          <w:ilvl w:val="0"/>
          <w:numId w:val="1002"/>
        </w:numPr>
      </w:pPr>
      <w:bookmarkStart w:id="97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96">
        <w:r>
          <w:rPr>
            <w:rStyle w:val="Hyperlink"/>
          </w:rPr>
          <w:t xml:space="preserve">10.1016/j.engappai.2022.105222</w:t>
        </w:r>
      </w:hyperlink>
      <w:bookmarkEnd w:id="97"/>
    </w:p>
    <w:p>
      <w:pPr>
        <w:pStyle w:val="Compact"/>
        <w:numPr>
          <w:ilvl w:val="0"/>
          <w:numId w:val="1002"/>
        </w:numPr>
      </w:pPr>
      <w:bookmarkStart w:id="99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98">
        <w:r>
          <w:rPr>
            <w:rStyle w:val="Hyperlink"/>
          </w:rPr>
          <w:t xml:space="preserve">10.1177/09544070231185609</w:t>
        </w:r>
      </w:hyperlink>
      <w:bookmarkEnd w:id="99"/>
    </w:p>
    <w:p>
      <w:pPr>
        <w:pStyle w:val="Compact"/>
        <w:numPr>
          <w:ilvl w:val="0"/>
          <w:numId w:val="1002"/>
        </w:numPr>
      </w:pPr>
      <w:bookmarkStart w:id="101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0">
        <w:r>
          <w:rPr>
            <w:rStyle w:val="Hyperlink"/>
          </w:rPr>
          <w:t xml:space="preserve">10.3390/su13010226</w:t>
        </w:r>
      </w:hyperlink>
      <w:bookmarkEnd w:id="101"/>
    </w:p>
    <w:p>
      <w:pPr>
        <w:pStyle w:val="Compact"/>
        <w:numPr>
          <w:ilvl w:val="0"/>
          <w:numId w:val="1002"/>
        </w:numPr>
      </w:pPr>
      <w:bookmarkStart w:id="103" w:name="r6"/>
      <w:r>
        <w:t xml:space="preserve">J. Vieira et al. Driving Events Dataset. Zenodo, 2022.</w:t>
      </w:r>
      <w:r>
        <w:t xml:space="preserve"> </w:t>
      </w:r>
      <w:hyperlink r:id="rId102">
        <w:r>
          <w:rPr>
            <w:rStyle w:val="Hyperlink"/>
          </w:rPr>
          <w:t xml:space="preserve">10.5281/zenodo.6570972</w:t>
        </w:r>
      </w:hyperlink>
      <w:bookmarkEnd w:id="103"/>
    </w:p>
    <w:p>
      <w:pPr>
        <w:pStyle w:val="Compact"/>
        <w:numPr>
          <w:ilvl w:val="0"/>
          <w:numId w:val="1002"/>
        </w:numPr>
      </w:pPr>
      <w:bookmarkStart w:id="104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4"/>
    </w:p>
    <w:p>
      <w:pPr>
        <w:pStyle w:val="Compact"/>
        <w:numPr>
          <w:ilvl w:val="0"/>
          <w:numId w:val="1002"/>
        </w:numPr>
      </w:pPr>
      <w:bookmarkStart w:id="106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05">
        <w:r>
          <w:rPr>
            <w:rStyle w:val="Hyperlink"/>
          </w:rPr>
          <w:t xml:space="preserve">10.1061/(ASCE)0733-947X(2002)128:2(182)</w:t>
        </w:r>
      </w:hyperlink>
      <w:bookmarkEnd w:id="106"/>
    </w:p>
    <w:p>
      <w:pPr>
        <w:pStyle w:val="Compact"/>
        <w:numPr>
          <w:ilvl w:val="0"/>
          <w:numId w:val="1002"/>
        </w:numPr>
      </w:pPr>
      <w:bookmarkStart w:id="108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07">
        <w:r>
          <w:rPr>
            <w:rStyle w:val="Hyperlink"/>
          </w:rPr>
          <w:t xml:space="preserve">10.1155/2020/9450178</w:t>
        </w:r>
      </w:hyperlink>
      <w:bookmarkEnd w:id="108"/>
    </w:p>
    <w:p>
      <w:pPr>
        <w:pStyle w:val="Compact"/>
        <w:numPr>
          <w:ilvl w:val="0"/>
          <w:numId w:val="1002"/>
        </w:numPr>
      </w:pPr>
      <w:bookmarkStart w:id="110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09">
        <w:r>
          <w:rPr>
            <w:rStyle w:val="Hyperlink"/>
          </w:rPr>
          <w:t xml:space="preserve">10.48550/arXiv.2410.09741</w:t>
        </w:r>
      </w:hyperlink>
      <w:bookmarkEnd w:id="110"/>
    </w:p>
    <w:p>
      <w:pPr>
        <w:pStyle w:val="Compact"/>
        <w:numPr>
          <w:ilvl w:val="0"/>
          <w:numId w:val="1002"/>
        </w:numPr>
      </w:pPr>
      <w:bookmarkStart w:id="112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1">
        <w:r>
          <w:rPr>
            <w:rStyle w:val="Hyperlink"/>
          </w:rPr>
          <w:t xml:space="preserve">10.1016/j.trd.2011.05.008</w:t>
        </w:r>
      </w:hyperlink>
      <w:bookmarkEnd w:id="112"/>
    </w:p>
    <w:p>
      <w:pPr>
        <w:pStyle w:val="Compact"/>
        <w:numPr>
          <w:ilvl w:val="0"/>
          <w:numId w:val="1002"/>
        </w:numPr>
      </w:pPr>
      <w:bookmarkStart w:id="114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3">
        <w:r>
          <w:rPr>
            <w:rStyle w:val="Hyperlink"/>
          </w:rPr>
          <w:t xml:space="preserve">10.1109/ACCESS.2019.2920489</w:t>
        </w:r>
      </w:hyperlink>
      <w:bookmarkEnd w:id="114"/>
    </w:p>
    <w:p>
      <w:pPr>
        <w:pStyle w:val="Compact"/>
        <w:numPr>
          <w:ilvl w:val="0"/>
          <w:numId w:val="1002"/>
        </w:numPr>
      </w:pPr>
      <w:bookmarkStart w:id="116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15">
        <w:r>
          <w:rPr>
            <w:rStyle w:val="Hyperlink"/>
          </w:rPr>
          <w:t xml:space="preserve">10.1016/j.trd.2023.104025</w:t>
        </w:r>
      </w:hyperlink>
      <w:bookmarkEnd w:id="116"/>
    </w:p>
    <w:p>
      <w:pPr>
        <w:pStyle w:val="Compact"/>
        <w:numPr>
          <w:ilvl w:val="0"/>
          <w:numId w:val="1002"/>
        </w:numPr>
      </w:pPr>
      <w:bookmarkStart w:id="118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17">
        <w:r>
          <w:rPr>
            <w:rStyle w:val="Hyperlink"/>
          </w:rPr>
          <w:t xml:space="preserve">10.1109/ITSC.2011.6083078</w:t>
        </w:r>
      </w:hyperlink>
      <w:bookmarkEnd w:id="118"/>
    </w:p>
    <w:p>
      <w:pPr>
        <w:pStyle w:val="Compact"/>
        <w:numPr>
          <w:ilvl w:val="0"/>
          <w:numId w:val="1002"/>
        </w:numPr>
      </w:pPr>
      <w:bookmarkStart w:id="120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19">
        <w:r>
          <w:rPr>
            <w:rStyle w:val="Hyperlink"/>
          </w:rPr>
          <w:t xml:space="preserve">10.1016/j.treng.2026.100436</w:t>
        </w:r>
      </w:hyperlink>
      <w:bookmarkEnd w:id="120"/>
    </w:p>
    <w:p>
      <w:pPr>
        <w:pStyle w:val="Compact"/>
        <w:numPr>
          <w:ilvl w:val="0"/>
          <w:numId w:val="1002"/>
        </w:numPr>
      </w:pPr>
      <w:bookmarkStart w:id="122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1">
        <w:r>
          <w:rPr>
            <w:rStyle w:val="Hyperlink"/>
          </w:rPr>
          <w:t xml:space="preserve">10.1016/j.engappai.2022.105524</w:t>
        </w:r>
      </w:hyperlink>
      <w:bookmarkEnd w:id="122"/>
    </w:p>
    <w:p>
      <w:pPr>
        <w:pStyle w:val="Compact"/>
        <w:numPr>
          <w:ilvl w:val="0"/>
          <w:numId w:val="1002"/>
        </w:numPr>
      </w:pPr>
      <w:bookmarkStart w:id="124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3">
        <w:r>
          <w:rPr>
            <w:rStyle w:val="Hyperlink"/>
          </w:rPr>
          <w:t xml:space="preserve">10.1016/j.measurement.2018.03.006</w:t>
        </w:r>
      </w:hyperlink>
      <w:bookmarkEnd w:id="124"/>
    </w:p>
    <w:p>
      <w:pPr>
        <w:pStyle w:val="Compact"/>
        <w:numPr>
          <w:ilvl w:val="0"/>
          <w:numId w:val="1002"/>
        </w:numPr>
      </w:pPr>
      <w:bookmarkStart w:id="126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25">
        <w:r>
          <w:rPr>
            <w:rStyle w:val="Hyperlink"/>
          </w:rPr>
          <w:t xml:space="preserve">10.3390/s22187072</w:t>
        </w:r>
      </w:hyperlink>
      <w:bookmarkEnd w:id="126"/>
    </w:p>
    <w:p>
      <w:pPr>
        <w:pStyle w:val="Compact"/>
        <w:numPr>
          <w:ilvl w:val="0"/>
          <w:numId w:val="1002"/>
        </w:numPr>
      </w:pPr>
      <w:bookmarkStart w:id="128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27">
        <w:r>
          <w:rPr>
            <w:rStyle w:val="Hyperlink"/>
          </w:rPr>
          <w:t xml:space="preserve">10.1109/ICDM.2008.17</w:t>
        </w:r>
      </w:hyperlink>
      <w:bookmarkEnd w:id="128"/>
    </w:p>
    <w:p>
      <w:pPr>
        <w:pStyle w:val="Compact"/>
        <w:numPr>
          <w:ilvl w:val="0"/>
          <w:numId w:val="1002"/>
        </w:numPr>
      </w:pPr>
      <w:bookmarkStart w:id="130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29">
        <w:r>
          <w:rPr>
            <w:rStyle w:val="Hyperlink"/>
          </w:rPr>
          <w:t xml:space="preserve">10.1109/TNSM.2020.3038991</w:t>
        </w:r>
      </w:hyperlink>
      <w:bookmarkEnd w:id="130"/>
    </w:p>
    <w:p>
      <w:pPr>
        <w:pStyle w:val="Compact"/>
        <w:numPr>
          <w:ilvl w:val="0"/>
          <w:numId w:val="1002"/>
        </w:numPr>
      </w:pPr>
      <w:bookmarkStart w:id="132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1">
        <w:r>
          <w:rPr>
            <w:rStyle w:val="Hyperlink"/>
          </w:rPr>
          <w:t xml:space="preserve">10.1109/TCAD.2020.3012749</w:t>
        </w:r>
      </w:hyperlink>
      <w:bookmarkEnd w:id="132"/>
    </w:p>
    <w:p>
      <w:pPr>
        <w:pStyle w:val="Compact"/>
        <w:numPr>
          <w:ilvl w:val="0"/>
          <w:numId w:val="1002"/>
        </w:numPr>
      </w:pPr>
      <w:bookmarkStart w:id="134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3">
        <w:r>
          <w:rPr>
            <w:rStyle w:val="Hyperlink"/>
          </w:rPr>
          <w:t xml:space="preserve">10.1109/TITS.2023.3286611</w:t>
        </w:r>
      </w:hyperlink>
      <w:bookmarkEnd w:id="134"/>
    </w:p>
    <w:p>
      <w:pPr>
        <w:pStyle w:val="Compact"/>
        <w:numPr>
          <w:ilvl w:val="0"/>
          <w:numId w:val="1002"/>
        </w:numPr>
      </w:pPr>
      <w:bookmarkStart w:id="136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35">
        <w:r>
          <w:rPr>
            <w:rStyle w:val="Hyperlink"/>
          </w:rPr>
          <w:t xml:space="preserve">10.48550/arXiv.1705.07874</w:t>
        </w:r>
      </w:hyperlink>
      <w:bookmarkEnd w:id="136"/>
    </w:p>
    <w:p>
      <w:pPr>
        <w:pStyle w:val="Bibliography"/>
      </w:pPr>
      <w:r>
        <w:t xml:space="preserve">© 2026 Alexander Apartsin and Yehudit Aperstein.</w:t>
      </w:r>
    </w:p>
    <w:bookmarkEnd w:id="1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sv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75" Target="media/rId75.png" /><Relationship Type="http://schemas.openxmlformats.org/officeDocument/2006/relationships/image" Id="rId63" Target="media/rId63.png" /><Relationship Type="http://schemas.openxmlformats.org/officeDocument/2006/relationships/hyperlink" Id="rId96" Target="https://doi.org/10.1016/j.engappai.2022.105222" TargetMode="External" /><Relationship Type="http://schemas.openxmlformats.org/officeDocument/2006/relationships/hyperlink" Id="rId121" Target="https://doi.org/10.1016/j.engappai.2022.105524" TargetMode="External" /><Relationship Type="http://schemas.openxmlformats.org/officeDocument/2006/relationships/hyperlink" Id="rId123" Target="https://doi.org/10.1016/j.measurement.2018.03.006" TargetMode="External" /><Relationship Type="http://schemas.openxmlformats.org/officeDocument/2006/relationships/hyperlink" Id="rId111" Target="https://doi.org/10.1016/j.trd.2011.05.008" TargetMode="External" /><Relationship Type="http://schemas.openxmlformats.org/officeDocument/2006/relationships/hyperlink" Id="rId115" Target="https://doi.org/10.1016/j.trd.2023.104025" TargetMode="External" /><Relationship Type="http://schemas.openxmlformats.org/officeDocument/2006/relationships/hyperlink" Id="rId119" Target="https://doi.org/10.1016/j.treng.2026.100436" TargetMode="External" /><Relationship Type="http://schemas.openxmlformats.org/officeDocument/2006/relationships/hyperlink" Id="rId105" Target="https://doi.org/10.1061/(ASCE)0733-947X(2002)128:2(182)" TargetMode="External" /><Relationship Type="http://schemas.openxmlformats.org/officeDocument/2006/relationships/hyperlink" Id="rId113" Target="https://doi.org/10.1109/ACCESS.2019.2920489" TargetMode="External" /><Relationship Type="http://schemas.openxmlformats.org/officeDocument/2006/relationships/hyperlink" Id="rId94" Target="https://doi.org/10.1109/ACCESS.2023.3331316" TargetMode="External" /><Relationship Type="http://schemas.openxmlformats.org/officeDocument/2006/relationships/hyperlink" Id="rId127" Target="https://doi.org/10.1109/ICDM.2008.17" TargetMode="External" /><Relationship Type="http://schemas.openxmlformats.org/officeDocument/2006/relationships/hyperlink" Id="rId117" Target="https://doi.org/10.1109/ITSC.2011.6083078" TargetMode="External" /><Relationship Type="http://schemas.openxmlformats.org/officeDocument/2006/relationships/hyperlink" Id="rId131" Target="https://doi.org/10.1109/TCAD.2020.3012749" TargetMode="External" /><Relationship Type="http://schemas.openxmlformats.org/officeDocument/2006/relationships/hyperlink" Id="rId92" Target="https://doi.org/10.1109/TITS.2020.3035596" TargetMode="External" /><Relationship Type="http://schemas.openxmlformats.org/officeDocument/2006/relationships/hyperlink" Id="rId133" Target="https://doi.org/10.1109/TITS.2023.3286611" TargetMode="External" /><Relationship Type="http://schemas.openxmlformats.org/officeDocument/2006/relationships/hyperlink" Id="rId129" Target="https://doi.org/10.1109/TNSM.2020.3038991" TargetMode="External" /><Relationship Type="http://schemas.openxmlformats.org/officeDocument/2006/relationships/hyperlink" Id="rId107" Target="https://doi.org/10.1155/2020/9450178" TargetMode="External" /><Relationship Type="http://schemas.openxmlformats.org/officeDocument/2006/relationships/hyperlink" Id="rId98" Target="https://doi.org/10.1177/09544070231185609" TargetMode="External" /><Relationship Type="http://schemas.openxmlformats.org/officeDocument/2006/relationships/hyperlink" Id="rId125" Target="https://doi.org/10.3390/s22187072" TargetMode="External" /><Relationship Type="http://schemas.openxmlformats.org/officeDocument/2006/relationships/hyperlink" Id="rId100" Target="https://doi.org/10.3390/su13010226" TargetMode="External" /><Relationship Type="http://schemas.openxmlformats.org/officeDocument/2006/relationships/hyperlink" Id="rId135" Target="https://doi.org/10.48550/arXiv.1705.07874" TargetMode="External" /><Relationship Type="http://schemas.openxmlformats.org/officeDocument/2006/relationships/hyperlink" Id="rId109" Target="https://doi.org/10.48550/arXiv.2410.09741" TargetMode="External" /><Relationship Type="http://schemas.openxmlformats.org/officeDocument/2006/relationships/hyperlink" Id="rId102" Target="https://doi.org/10.5281/zenodo.6570972" TargetMode="External" /><Relationship Type="http://schemas.openxmlformats.org/officeDocument/2006/relationships/hyperlink" Id="rId88" Target="https://github.com/gsoh/VED" TargetMode="External" /><Relationship Type="http://schemas.openxmlformats.org/officeDocument/2006/relationships/hyperlink" Id="rId89" Target="https://github.com/leoxthomas/EngineFaultDB" TargetMode="External" /><Relationship Type="http://schemas.openxmlformats.org/officeDocument/2006/relationships/hyperlink" Id="rId90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16/j.engappai.2022.105222" TargetMode="External" /><Relationship Type="http://schemas.openxmlformats.org/officeDocument/2006/relationships/hyperlink" Id="rId121" Target="https://doi.org/10.1016/j.engappai.2022.105524" TargetMode="External" /><Relationship Type="http://schemas.openxmlformats.org/officeDocument/2006/relationships/hyperlink" Id="rId123" Target="https://doi.org/10.1016/j.measurement.2018.03.006" TargetMode="External" /><Relationship Type="http://schemas.openxmlformats.org/officeDocument/2006/relationships/hyperlink" Id="rId111" Target="https://doi.org/10.1016/j.trd.2011.05.008" TargetMode="External" /><Relationship Type="http://schemas.openxmlformats.org/officeDocument/2006/relationships/hyperlink" Id="rId115" Target="https://doi.org/10.1016/j.trd.2023.104025" TargetMode="External" /><Relationship Type="http://schemas.openxmlformats.org/officeDocument/2006/relationships/hyperlink" Id="rId119" Target="https://doi.org/10.1016/j.treng.2026.100436" TargetMode="External" /><Relationship Type="http://schemas.openxmlformats.org/officeDocument/2006/relationships/hyperlink" Id="rId105" Target="https://doi.org/10.1061/(ASCE)0733-947X(2002)128:2(182)" TargetMode="External" /><Relationship Type="http://schemas.openxmlformats.org/officeDocument/2006/relationships/hyperlink" Id="rId113" Target="https://doi.org/10.1109/ACCESS.2019.2920489" TargetMode="External" /><Relationship Type="http://schemas.openxmlformats.org/officeDocument/2006/relationships/hyperlink" Id="rId94" Target="https://doi.org/10.1109/ACCESS.2023.3331316" TargetMode="External" /><Relationship Type="http://schemas.openxmlformats.org/officeDocument/2006/relationships/hyperlink" Id="rId127" Target="https://doi.org/10.1109/ICDM.2008.17" TargetMode="External" /><Relationship Type="http://schemas.openxmlformats.org/officeDocument/2006/relationships/hyperlink" Id="rId117" Target="https://doi.org/10.1109/ITSC.2011.6083078" TargetMode="External" /><Relationship Type="http://schemas.openxmlformats.org/officeDocument/2006/relationships/hyperlink" Id="rId131" Target="https://doi.org/10.1109/TCAD.2020.3012749" TargetMode="External" /><Relationship Type="http://schemas.openxmlformats.org/officeDocument/2006/relationships/hyperlink" Id="rId92" Target="https://doi.org/10.1109/TITS.2020.3035596" TargetMode="External" /><Relationship Type="http://schemas.openxmlformats.org/officeDocument/2006/relationships/hyperlink" Id="rId133" Target="https://doi.org/10.1109/TITS.2023.3286611" TargetMode="External" /><Relationship Type="http://schemas.openxmlformats.org/officeDocument/2006/relationships/hyperlink" Id="rId129" Target="https://doi.org/10.1109/TNSM.2020.3038991" TargetMode="External" /><Relationship Type="http://schemas.openxmlformats.org/officeDocument/2006/relationships/hyperlink" Id="rId107" Target="https://doi.org/10.1155/2020/9450178" TargetMode="External" /><Relationship Type="http://schemas.openxmlformats.org/officeDocument/2006/relationships/hyperlink" Id="rId98" Target="https://doi.org/10.1177/09544070231185609" TargetMode="External" /><Relationship Type="http://schemas.openxmlformats.org/officeDocument/2006/relationships/hyperlink" Id="rId125" Target="https://doi.org/10.3390/s22187072" TargetMode="External" /><Relationship Type="http://schemas.openxmlformats.org/officeDocument/2006/relationships/hyperlink" Id="rId100" Target="https://doi.org/10.3390/su13010226" TargetMode="External" /><Relationship Type="http://schemas.openxmlformats.org/officeDocument/2006/relationships/hyperlink" Id="rId135" Target="https://doi.org/10.48550/arXiv.1705.07874" TargetMode="External" /><Relationship Type="http://schemas.openxmlformats.org/officeDocument/2006/relationships/hyperlink" Id="rId109" Target="https://doi.org/10.48550/arXiv.2410.09741" TargetMode="External" /><Relationship Type="http://schemas.openxmlformats.org/officeDocument/2006/relationships/hyperlink" Id="rId102" Target="https://doi.org/10.5281/zenodo.6570972" TargetMode="External" /><Relationship Type="http://schemas.openxmlformats.org/officeDocument/2006/relationships/hyperlink" Id="rId88" Target="https://github.com/gsoh/VED" TargetMode="External" /><Relationship Type="http://schemas.openxmlformats.org/officeDocument/2006/relationships/hyperlink" Id="rId89" Target="https://github.com/leoxthomas/EngineFaultDB" TargetMode="External" /><Relationship Type="http://schemas.openxmlformats.org/officeDocument/2006/relationships/hyperlink" Id="rId90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Signature-Based Attribution of Excess Fuel Consumption</dc:title>
  <dc:creator/>
  <dc:language>en</dc:language>
  <cp:keywords/>
  <dcterms:created xsi:type="dcterms:W3CDTF">2026-08-30T04:22:28Z</dcterms:created>
  <dcterms:modified xsi:type="dcterms:W3CDTF">2026-08-30T04:22:28Z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