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none. On</w:t>
      </w:r>
      <w:r>
        <w:t xml:space="preserve"> </w:t>
      </w:r>
      <w:r>
        <w:t xml:space="preserve">semi-synthetic ground truth, where both causes raise fuel by the same amount so that magnitude is</w:t>
      </w:r>
      <w:r>
        <w:t xml:space="preserve"> </w:t>
      </w:r>
      <w:r>
        <w:t xml:space="preserve">uninformative, signatures learned only in their source domains, frozen and combined on the target</w:t>
      </w:r>
      <w:r>
        <w:t xml:space="preserve"> </w:t>
      </w:r>
      <w:r>
        <w:t xml:space="preserve">without joint supervision, attribute driver-versus-fault excess at 78.5% at a source-calibrated</w:t>
      </w:r>
      <w:r>
        <w:t xml:space="preserve"> </w:t>
      </w:r>
      <w:r>
        <w:t xml:space="preserve">operating point (rising to about 0.89 when the driver signal matches the fault magnitude), where a</w:t>
      </w:r>
      <w:r>
        <w:t xml:space="preserve"> </w:t>
      </w:r>
      <w:r>
        <w:t xml:space="preserve">matched fuel-only baseline is at chance and removing the driver information drops accuracy to a fault</w:t>
      </w:r>
      <w:r>
        <w:t xml:space="preserve"> </w:t>
      </w:r>
      <w:r>
        <w:t xml:space="preserve">-axis-only floor; a conformal abstention rule gives the decision a finite-sample selective-risk</w:t>
      </w:r>
      <w:r>
        <w:t xml:space="preserve"> </w:t>
      </w:r>
      <w:r>
        <w:t xml:space="preserve">guarantee. Both axes derive from standard on-board-diagnostics channels, making per-trip attribution</w:t>
      </w:r>
      <w:r>
        <w:t xml:space="preserve"> </w:t>
      </w:r>
      <w:r>
        <w:t xml:space="preserve">deployable as a 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78.5% at a realistic operating point (up to ~0.89 at matched severity) with no joint</w:t>
      </w:r>
      <w:r>
        <w:t xml:space="preserve"> </w:t>
      </w:r>
      <w:r>
        <w:t xml:space="preserve">supervision and a passing falsification control, where a matched fuel-only baseline is at chance;</w:t>
      </w:r>
      <w:r>
        <w:t xml:space="preserve"> </w:t>
      </w:r>
      <w:r>
        <w:t xml:space="preserve">a likelihood-ratio fusion with split-conformal abstention gives the decision a finite-sample</w:t>
      </w:r>
      <w:r>
        <w:t xml:space="preserve"> </w:t>
      </w:r>
      <w:r>
        <w:t xml:space="preserve">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</w:t>
      </w:r>
      <w:r>
        <w:t xml:space="preserve"> </w:t>
      </w:r>
      <w:r>
        <w:t xml:space="preserve">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so fuel magnitude is uninformative, and ask a frozen attributor</w:t>
      </w:r>
      <w:r>
        <w:t xml:space="preserve"> </w:t>
      </w:r>
      <w:r>
        <w:t xml:space="preserve">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conservative, because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49.6%</w:t>
      </w:r>
      <w:r>
        <w:t xml:space="preserve">), confirming</w:t>
      </w:r>
      <w:r>
        <w:t xml:space="preserve"> </w:t>
      </w:r>
      <w:r>
        <w:t xml:space="preserve">no magnitude leak. The result is 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unchanged under a trim-corrected fuel target, at the level of</w:t>
      </w:r>
      <w:r>
        <w:t xml:space="preserve"> </w:t>
      </w:r>
      <w:r>
        <w:t xml:space="preserve">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78.5% at a realistic operating point (up to ~0.89 at matched severity) in a calibrated semi-synthetic transfer test with a passing falsification control, where a matched fuel-only baseline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scripts/p20_driver_fuelcost.py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2026-08-31T12:18:40Z</dcterms:created>
  <dcterms:modified xsi:type="dcterms:W3CDTF">2026-08-31T12:18:40Z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