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and without any injection,</w:t>
      </w:r>
      <w:r>
        <w:t xml:space="preserve"> </w:t>
      </w:r>
      <w:r>
        <w:t xml:space="preserve">kinematic-dominant trips carry +0.57 L/100km of excess fuel while trim-dominant trips carry none. On</w:t>
      </w:r>
      <w:r>
        <w:t xml:space="preserve"> </w:t>
      </w:r>
      <w:r>
        <w:t xml:space="preserve">semi-synthetic ground truth, where both causes raise fuel by the same amount so that magnitude is</w:t>
      </w:r>
      <w:r>
        <w:t xml:space="preserve"> </w:t>
      </w:r>
      <w:r>
        <w:t xml:space="preserve">uninformative, signatures learned only in their source domains, frozen and combined on the target</w:t>
      </w:r>
      <w:r>
        <w:t xml:space="preserve"> </w:t>
      </w:r>
      <w:r>
        <w:t xml:space="preserve">without joint supervision, attribute driver-versus-fault excess at 78.5% at a source-calibrated</w:t>
      </w:r>
      <w:r>
        <w:t xml:space="preserve"> </w:t>
      </w:r>
      <w:r>
        <w:t xml:space="preserve">operating point (rising to about 0.89 when the driver signal matches the fault magnitude), where a</w:t>
      </w:r>
      <w:r>
        <w:t xml:space="preserve"> </w:t>
      </w:r>
      <w:r>
        <w:t xml:space="preserve">matched fuel-only baseline is at chance and removing the driver information drops accuracy to a fault</w:t>
      </w:r>
      <w:r>
        <w:t xml:space="preserve"> </w:t>
      </w:r>
      <w:r>
        <w:t xml:space="preserve">-axis-only floor; a conformal abstention rule gives the decision a finite-sample selective-risk</w:t>
      </w:r>
      <w:r>
        <w:t xml:space="preserve"> </w:t>
      </w:r>
      <w:r>
        <w:t xml:space="preserve">guarantee. Both axes derive from standard on-board-diagnostics channels, making per-trip attribution</w:t>
      </w:r>
      <w:r>
        <w:t xml:space="preserve"> </w:t>
      </w:r>
      <w:r>
        <w:t xml:space="preserve">deployable as a coach-versus-inspect triage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78.5% at a realistic operating point (up to ~0.89 at matched severity) with no joint</w:t>
      </w:r>
      <w:r>
        <w:t xml:space="preserve"> </w:t>
      </w:r>
      <w:r>
        <w:t xml:space="preserve">supervision and a passing falsification control, where a matched fuel-only baseline is at chance;</w:t>
      </w:r>
      <w:r>
        <w:t xml:space="preserve"> </w:t>
      </w:r>
      <w:r>
        <w:t xml:space="preserve">a likelihood-ratio fusion with split-conformal abstention gives the decision a finite-sample</w:t>
      </w:r>
      <w:r>
        <w:t xml:space="preserve"> </w:t>
      </w:r>
      <w:r>
        <w:t xml:space="preserve">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0.79–0.93)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ignition). Lean and ignition, which are</w:t>
      </w:r>
      <w:r>
        <w:t xml:space="preserve"> </w:t>
      </w:r>
      <w:r>
        <w:t xml:space="preserve">not over-fuelling faults, do not trigger the vehicle-fuel-fault signature, so the method targets the</w:t>
      </w:r>
      <w:r>
        <w:t xml:space="preserve"> </w:t>
      </w:r>
      <w:r>
        <w:t xml:space="preserve">fuel-relevant fault rather than any deviation from normal.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so fuel magnitude is uninformative, and ask a frozen attributor</w:t>
      </w:r>
      <w:r>
        <w:t xml:space="preserve"> </w:t>
      </w:r>
      <w:r>
        <w:t xml:space="preserve">to recover the cause.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(matched between the two classes by construction) is at chance (</w:t>
      </w:r>
      <w:r>
        <w:rPr>
          <w:b/>
          <w:bCs/>
        </w:rPr>
        <w:t xml:space="preserve">49.7%</w:t>
      </w:r>
      <w:r>
        <w:t xml:space="preserve">), confirming</w:t>
      </w:r>
      <w:r>
        <w:t xml:space="preserve"> </w:t>
      </w:r>
      <w:r>
        <w:t xml:space="preserve">no magnitude leak. The result is falsifiable and passes:</w:t>
      </w:r>
      <w:r>
        <w:t xml:space="preserve"> </w:t>
      </w:r>
      <w:r>
        <w:t xml:space="preserve">removing the driver information entirely (weights orthogonal to the aggressive direction, leaving the</w:t>
      </w:r>
      <w:r>
        <w:t xml:space="preserve"> </w:t>
      </w:r>
      <w:r>
        <w:t xml:space="preserve">fault axis intact) sets the floor at</w:t>
      </w:r>
      <w:r>
        <w:t xml:space="preserve"> </w:t>
      </w:r>
      <w:r>
        <w:rPr>
          <w:b/>
          <w:bCs/>
        </w:rPr>
        <w:t xml:space="preserve">0.70</w:t>
      </w:r>
      <w:r>
        <w:t xml:space="preserve">; the frozen signature adds nine points over it</w:t>
      </w:r>
      <w:r>
        <w:t xml:space="preserve"> </w:t>
      </w:r>
      <w:r>
        <w:t xml:space="preserve">(0.785), while negating the weights costs ten points below it (0.60) and shuffling them lands between</w:t>
      </w:r>
      <w:r>
        <w:t xml:space="preserve"> </w:t>
      </w:r>
      <w:r>
        <w:t xml:space="preserve">(0.73), so the learned signature genuinely carries the attribution rather than the injection being</w:t>
      </w:r>
      <w:r>
        <w:t xml:space="preserve"> </w:t>
      </w:r>
      <w:r>
        <w:t xml:space="preserve">trivially 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 and 0.93 for severe</w:t>
      </w:r>
      <w:r>
        <w:t xml:space="preserve"> </w:t>
      </w:r>
      <w:r>
        <w:t xml:space="preserve">aggression. The design measures how detectable the two signatures are against real trip-to-trip noise;</w:t>
      </w:r>
      <w:r>
        <w:t xml:space="preserve"> </w:t>
      </w:r>
      <w:r>
        <w:t xml:space="preserve">it presumes rather than proves axis-separability, which rests instead on the bench fault signature and</w:t>
      </w:r>
      <w:r>
        <w:t xml:space="preserve"> </w:t>
      </w:r>
      <w:r>
        <w:t xml:space="preserve">the silent driver-excess cell.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at the level of 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(a falsification</w:t>
      </w:r>
      <w:r>
        <w:t xml:space="preserve"> </w:t>
      </w:r>
      <w:r>
        <w:t xml:space="preserve">control) and using fuel magnitude alone both collapse toward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recovers the trained upper bound exactly (0.812,</w:t>
      </w:r>
      <w:r>
        <w:t xml:space="preserve"> </w:t>
      </w:r>
      <w:r>
        <w:t xml:space="preserve">Table 7), and a split-conformal threshold calibrated on held-out normal trips bounds the selective</w:t>
      </w:r>
      <w:r>
        <w:t xml:space="preserve"> </w:t>
      </w:r>
      <w:r>
        <w:t xml:space="preserve">error: at a 5% target the method decides on 46% of trips with a realized error of 4.8%, and at a 10%</w:t>
      </w:r>
      <w:r>
        <w:t xml:space="preserve"> </w:t>
      </w:r>
      <w:r>
        <w:t xml:space="preserve">target on 69% with 10.1%, so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holds by construction. In</w:t>
      </w:r>
      <w:r>
        <w:t xml:space="preserve"> </w:t>
      </w:r>
      <w:r>
        <w:t xml:space="preserve">a maintenance setting this converts "uncertain" from a heuristic into a controlled abstention with a</w:t>
      </w:r>
      <w:r>
        <w:t xml:space="preserve"> </w:t>
      </w:r>
      <w:r>
        <w:t xml:space="preserve">stated error bound, and an all-ratios-below-one case flags a cause outside the known set.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chance where they are equal.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78.5% at a realistic operating point (up to ~0.89 at matched severity) in a calibrated semi-synthetic transfer test with a passing falsification control, where a matched fuel-only baseline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scripts/p15_uah_e6.py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2026-08-31T11:52:15Z</dcterms:created>
  <dcterms:modified xsi:type="dcterms:W3CDTF">2026-08-31T11:52:15Z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