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svg" ContentType="image/svg+xml"/>
  <Override PartName="/word/media/rId47.png" ContentType="image/png"/>
  <Override PartName="/word/media/rId63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8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Signature-Based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  <w:r>
        <w:t xml:space="preserve"> </w:t>
      </w:r>
      <w:r>
        <w:t xml:space="preserve">Consumption</w:t>
      </w:r>
    </w:p>
    <w:p>
      <w:pPr>
        <w:pStyle w:val="FirstParagraph"/>
      </w:pPr>
      <w:r>
        <w:t xml:space="preserve">Working draft</w:t>
      </w:r>
      <w:r>
        <w:t xml:space="preserve">v0.4 (full)</w:t>
      </w:r>
    </w:p>
    <w:bookmarkStart w:id="20" w:name="Xb86f25cd334bec3280bd4d2fc6af5404396d8df"/>
    <w:p>
      <w:pPr>
        <w:pStyle w:val="Heading1"/>
      </w:pPr>
      <w:r>
        <w:t xml:space="preserve">Driver or Vehicle? Signature-Based Attribution of Excess Fuel Consumption</w:t>
      </w:r>
      <w:r>
        <w:br/>
      </w:r>
      <w:r>
        <w:t xml:space="preserve">Using Public Fleet Telemetry and an Engine-Fault Bench</w:t>
      </w:r>
    </w:p>
    <w:p>
      <w:pPr>
        <w:pStyle w:val="FirstParagraph"/>
      </w:pPr>
      <w:r>
        <w:t xml:space="preserve">Alexander Apartsin</w:t>
      </w:r>
    </w:p>
    <w:p>
      <w:pPr>
        <w:pStyle w:val="BodyText"/>
      </w:pPr>
      <w:r>
        <w:t xml:space="preserve">Full-length draft. Every number is a computed result traceable to a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 an 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; confidence intervals are cluster</w:t>
      </w:r>
      <w:r>
        <w:t xml:space="preserve"> </w:t>
      </w:r>
      <w:r>
        <w:t xml:space="preserve">bootstraps. References validated with bibtest.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Because no public dataset carries fuel, mechanical-fault labels,</w:t>
      </w:r>
      <w:r>
        <w:t xml:space="preserve"> </w:t>
      </w:r>
      <w:r>
        <w:t xml:space="preserve">and driver behaviour jointly, we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an independent labelled driving dataset.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within 0.02 of zero),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the signature attributes</w:t>
      </w:r>
      <w:r>
        <w:t xml:space="preserve"> </w:t>
      </w:r>
      <w:r>
        <w:t xml:space="preserve">driver-versus-fault excess at 95.9% accuracy (95% CI [95.6, 96.2]) against a fuel-only baseline at</w:t>
      </w:r>
      <w:r>
        <w:t xml:space="preserve"> </w:t>
      </w:r>
      <w:r>
        <w:t xml:space="preserve">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signature-based framework that attributes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using only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197-vehicle public fleet (14,170 trips after</w:t>
      </w:r>
      <w:r>
        <w:t xml:space="preserve"> </w:t>
      </w:r>
      <w:r>
        <w:t xml:space="preserve">fuel-quality filtering)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within 0.02 of zero),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t xml:space="preserve">A measured</w:t>
      </w:r>
      <w:r>
        <w:t xml:space="preserve"> </w:t>
      </w:r>
      <w:r>
        <w:rPr>
          <w:b/>
          <w:bCs/>
        </w:rPr>
        <w:t xml:space="preserve">attribution accuracy of 95.9%</w:t>
      </w:r>
      <w:r>
        <w:t xml:space="preserve"> </w:t>
      </w:r>
      <w:r>
        <w:t xml:space="preserve">(95% CI [95.6, 96.2]) on semi-synthetic ground</w:t>
      </w:r>
      <w:r>
        <w:t xml:space="preserve"> </w:t>
      </w:r>
      <w:r>
        <w:t xml:space="preserve">truth at a bench-calibrated fault magnitude,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An account of the field-wide absence of any joint fuel + fault + behaviour dataset, and a</w:t>
      </w:r>
      <w:r>
        <w:t xml:space="preserve"> </w:t>
      </w:r>
      <w:r>
        <w:t xml:space="preserve">reproducible pipeline and paper in which every number traces to a script.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svg+xml;base64,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" id="2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an independent dataset validates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dimensionality-reduced,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an independent labelled driving dataset validates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</w:t>
      </w:r>
      <w:r>
        <w:t xml:space="preserve"> </w:t>
      </w:r>
      <w:r>
        <w:t xml:space="preserve">behaviour axis is validated to transfer to an independent dataset;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the signature recovers the cause at 95.9% accuracy.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</w:t>
      </w:r>
      <w:r>
        <w:t xml:space="preserve"> </w:t>
      </w:r>
      <w:r>
        <w:t xml:space="preserve">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</w:t>
      </w:r>
      <w:r>
        <w:t xml:space="preserve"> </w:t>
      </w:r>
      <w:r>
        <w:t xml:space="preserve">[</w:t>
      </w:r>
      <w:hyperlink w:anchor="r13">
        <w:r>
          <w:rPr>
            <w:rStyle w:val="Hyperlink"/>
          </w:rPr>
          <w:t xml:space="preserve">13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methods, and</w:t>
      </w:r>
      <w:r>
        <w:t xml:space="preserve"> </w:t>
      </w:r>
      <w:r>
        <w:t xml:space="preserve">autoencoder or recurrent models.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Fuel theft or leakage is a related but distinct anomaly, detected as an abrupt change</w:t>
      </w:r>
      <w:r>
        <w:t xml:space="preserve"> </w:t>
      </w:r>
      <w:r>
        <w:t xml:space="preserve">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 that is a sudden step in fuel level, whereas the excess we attribute is</w:t>
      </w:r>
      <w:r>
        <w:t xml:space="preserve"> </w:t>
      </w:r>
      <w:r>
        <w:t xml:space="preserve">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</w:t>
      </w:r>
      <w:r>
        <w:t xml:space="preserve"> </w:t>
      </w:r>
      <w:r>
        <w:t xml:space="preserve">its input features.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96%)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is the reason for the two-arm design and the semi-synthetic</w:t>
      </w:r>
      <w:r>
        <w:t xml:space="preserve"> </w:t>
      </w:r>
      <w:r>
        <w:t xml:space="preserve">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three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4" w:name="method"/>
    <w:p>
      <w:pPr>
        <w:pStyle w:val="Heading2"/>
      </w:pPr>
      <w:r>
        <w:t xml:space="preserve">4. Method</w:t>
      </w:r>
    </w:p>
    <w:bookmarkStart w:id="38" w:name="fuel-target"/>
    <w:p>
      <w:pPr>
        <w:pStyle w:val="Heading3"/>
      </w:pPr>
      <w:r>
        <w:t xml:space="preserve">4.1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8.4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8"/>
    <w:bookmarkStart w:id="39" w:name="expected-fuel-model-and-excess"/>
    <w:p>
      <w:pPr>
        <w:pStyle w:val="Heading3"/>
      </w:pPr>
      <w:r>
        <w:t xml:space="preserve">4.2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39"/>
    <w:bookmarkStart w:id="40" w:name="decomposition"/>
    <w:p>
      <w:pPr>
        <w:pStyle w:val="Heading3"/>
      </w:pPr>
      <w:r>
        <w:t xml:space="preserve">4.3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.</w:t>
      </w:r>
    </w:p>
    <w:bookmarkEnd w:id="40"/>
    <w:bookmarkStart w:id="41" w:name="the-two-axes-and-the-signature-contrast"/>
    <w:p>
      <w:pPr>
        <w:pStyle w:val="Heading3"/>
      </w:pPr>
      <w:r>
        <w:t xml:space="preserve">4.4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The</w:t>
      </w:r>
      <w:r>
        <w:t xml:space="preserve"> </w:t>
      </w:r>
      <w:r>
        <w:t xml:space="preserve">combustion axis is observable in both worlds and placed on a common percent-fuel-per-air scale: in</w:t>
      </w:r>
      <w:r>
        <w:t xml:space="preserve"> </w:t>
      </w:r>
      <w:r>
        <w:t xml:space="preserve">VED as the fuel trims,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and on the bench directly from the</w:t>
      </w:r>
      <w:r>
        <w:t xml:space="preserve"> </w:t>
      </w:r>
      <w:r>
        <w:t xml:space="preserve">air-fuel ratio,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1"/>
    <w:bookmarkStart w:id="42" w:name="semi-synthetic-attribution"/>
    <w:p>
      <w:pPr>
        <w:pStyle w:val="Heading3"/>
      </w:pPr>
      <w:r>
        <w:t xml:space="preserve">4.5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2"/>
    <w:bookmarkStart w:id="43" w:name="baselines"/>
    <w:p>
      <w:pPr>
        <w:pStyle w:val="Heading3"/>
      </w:pPr>
      <w:r>
        <w:t xml:space="preserve">4.6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 Because no cause-labelled</w:t>
      </w:r>
      <w:r>
        <w:t xml:space="preserve"> </w:t>
      </w:r>
      <w:r>
        <w:t xml:space="preserve">trip benchmark exists on real data, these comparisons establish a capability contrast; the</w:t>
      </w:r>
      <w:r>
        <w:t xml:space="preserve"> </w:t>
      </w:r>
      <w:r>
        <w:t xml:space="preserve">quantitative accuracy comparison is the semi-synthetic experiment of Section 4.5.</w:t>
      </w:r>
    </w:p>
    <w:bookmarkEnd w:id="43"/>
    <w:bookmarkEnd w:id="44"/>
    <w:bookmarkStart w:id="45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(400 boosting</w:t>
      </w:r>
      <w:r>
        <w:t xml:space="preserve"> </w:t>
      </w:r>
      <w:r>
        <w:t xml:space="preserve">iterations, learning rate 0.05, maximum depth 6; the auxiliary conditions-only and behaviour-only</w:t>
      </w:r>
      <w:r>
        <w:t xml:space="preserve"> </w:t>
      </w:r>
      <w:r>
        <w:t xml:space="preserve">models use 300 iterations and depth 5),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</w:t>
      </w:r>
    </w:p>
    <w:bookmarkEnd w:id="45"/>
    <w:bookmarkStart w:id="58" w:name="arm1"/>
    <w:p>
      <w:pPr>
        <w:pStyle w:val="Heading2"/>
      </w:pPr>
      <w:r>
        <w:t xml:space="preserve">6. Results: driver arm (VED)</w:t>
      </w:r>
    </w:p>
    <w:bookmarkStart w:id="46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6"/>
    <w:bookmarkStart w:id="53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with independently measured</w:t>
      </w:r>
      <w:r>
        <w:t xml:space="preserve"> </w:t>
      </w:r>
      <w:r>
        <w:t xml:space="preserve">aggression: across deciles of harsh-event rate its mean rises from 0.34 to 1.55 L/100km (Figure 3),</w:t>
      </w:r>
      <w:r>
        <w:t xml:space="preserve"> </w:t>
      </w:r>
      <w:r>
        <w:t xml:space="preserve">monotone from the median upward, with a Spearman rank correlation of 0.96 across deciles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8" name="Picture"/>
            <a:graphic>
              <a:graphicData uri="http://schemas.openxmlformats.org/drawingml/2006/picture">
                <pic:pic>
                  <pic:nvPicPr>
                    <pic:cNvPr descr="figures/fig1_variance_decomposi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1" name="Picture"/>
            <a:graphic>
              <a:graphicData uri="http://schemas.openxmlformats.org/drawingml/2006/picture">
                <pic:pic>
                  <pic:nvPicPr>
                    <pic:cNvPr descr="figures/fig3_behaviour_monotonicity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3"/>
    <w:bookmarkStart w:id="57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0.992). A random forest reaches 0.79; with only two training drivers per fold</w:t>
      </w:r>
      <w:r>
        <w:t xml:space="preserve"> </w:t>
      </w:r>
      <w:r>
        <w:t xml:space="preserve">the linear model generalizes across drivers better, and we report both. A 1,000-permutation test</w:t>
      </w:r>
      <w:r>
        <w:t xml:space="preserve"> </w:t>
      </w:r>
      <w:r>
        <w:t xml:space="preserve">collapses the AUC to chance (permuted mean 0.471,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0.001</m:t>
        </m:r>
      </m:oMath>
      <w:r>
        <w:t xml:space="preserve">).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5" name="Picture"/>
            <a:graphic>
              <a:graphicData uri="http://schemas.openxmlformats.org/drawingml/2006/picture">
                <pic:pic>
                  <pic:nvPicPr>
                    <pic:cNvPr descr="figures/fig4_behaviour_roc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bookmarkEnd w:id="57"/>
    <w:bookmarkEnd w:id="58"/>
    <w:bookmarkStart w:id="62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5), only the</w:t>
      </w:r>
      <w:r>
        <w:t xml:space="preserve"> </w:t>
      </w:r>
      <w:r>
        <w:t xml:space="preserve">rich mixture burns measurably more:</w:t>
      </w:r>
      <w:r>
        <w:t xml:space="preserve"> </w:t>
      </w:r>
      <w:r>
        <w:rPr>
          <w:b/>
          <w:bCs/>
        </w:rPr>
        <w:t xml:space="preserve">+0.498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0" name="Picture"/>
            <a:graphic>
              <a:graphicData uri="http://schemas.openxmlformats.org/drawingml/2006/picture">
                <pic:pic>
                  <pic:nvPicPr>
                    <pic:cNvPr descr="figures/fig5_fault_signatur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2"/>
    <w:bookmarkStart w:id="79" w:name="attrib"/>
    <w:p>
      <w:pPr>
        <w:pStyle w:val="Heading2"/>
      </w:pPr>
      <w:r>
        <w:t xml:space="preserve">8. Attribution</w:t>
      </w:r>
    </w:p>
    <w:bookmarkStart w:id="66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6) gives the central qualitative result. The kinematic</w:t>
      </w:r>
      <w:r>
        <w:t xml:space="preserve"> </w:t>
      </w:r>
      <w:r>
        <w:t xml:space="preserve">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0.107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  <w:r>
        <w:t xml:space="preserve"> </w:t>
      </w:r>
      <w:r>
        <w:t xml:space="preserve">This reproduces, as an independent consistency check, an earlier finding that per-vehicle fuel</w:t>
      </w:r>
      <w:r>
        <w:t xml:space="preserve"> </w:t>
      </w:r>
      <w:r>
        <w:t xml:space="preserve">residual does not track fuel-trim drift on VED.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4" name="Picture"/>
            <a:graphic>
              <a:graphicData uri="http://schemas.openxmlformats.org/drawingml/2006/picture">
                <pic:pic>
                  <pic:nvPicPr>
                    <pic:cNvPr descr="figures/fig2_double_dissociation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6"/>
    <w:bookmarkStart w:id="67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7"/>
    <w:bookmarkStart w:id="71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 Two caveats on scope. The injection places each cause purely on its own</w:t>
      </w:r>
      <w:r>
        <w:t xml:space="preserve"> </w:t>
      </w:r>
      <w:r>
        <w:t xml:space="preserve">axis, so the experiment measures how detectable that separation is against real trip-to-trip noise; it</w:t>
      </w:r>
      <w:r>
        <w:t xml:space="preserve"> </w:t>
      </w:r>
      <w:r>
        <w:t xml:space="preserve">presumes rather than proves axis-separability, which rests instead on the bench signature and the</w:t>
      </w:r>
      <w:r>
        <w:t xml:space="preserve"> </w:t>
      </w:r>
      <w:r>
        <w:t xml:space="preserve">silent driver-excess cell. And the measured accuracy sits above the Gaussian-optimal bound of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≈</m:t>
        </m:r>
        <m:r>
          <m:t>0.88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</m:oMath>
      <w:r>
        <w:t xml:space="preserve">, because the real within-vehicle deviations are</w:t>
      </w:r>
      <w:r>
        <w:t xml:space="preserve"> </w:t>
      </w:r>
      <w:r>
        <w:t xml:space="preserve">tighter than the median standard deviation used for calibration and the attributor also sees each</w:t>
      </w:r>
      <w:r>
        <w:t xml:space="preserve"> </w:t>
      </w:r>
      <w:r>
        <w:t xml:space="preserve">vehicle's baseline; the two axes are in fact near-independent in the fleet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what makes them separable.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69" name="Picture"/>
            <a:graphic>
              <a:graphicData uri="http://schemas.openxmlformats.org/drawingml/2006/picture">
                <pic:pic>
                  <pic:nvPicPr>
                    <pic:cNvPr descr="figures/fig6_attribution_accurac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95.9% at the</w:t>
      </w:r>
      <w:r>
        <w:t xml:space="preserve"> </w:t>
      </w:r>
      <w:r>
        <w:t xml:space="preserve">bench-calibrated fault magnitude while the fuel-magnitude baseline stays at chance.</w:t>
      </w:r>
    </w:p>
    <w:bookmarkEnd w:id="71"/>
    <w:bookmarkStart w:id="74" w:name="Xb70b62c2f344913f38fcc3ac71a67668c178b99"/>
    <w:p>
      <w:pPr>
        <w:pStyle w:val="Heading3"/>
      </w:pPr>
      <w:r>
        <w:t xml:space="preserve">8.4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2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</w:t>
      </w:r>
    </w:p>
    <w:bookmarkEnd w:id="72"/>
    <w:bookmarkStart w:id="73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3"/>
    <w:bookmarkEnd w:id="74"/>
    <w:bookmarkStart w:id="78" w:name="a-worked-example"/>
    <w:p>
      <w:pPr>
        <w:pStyle w:val="Heading3"/>
      </w:pPr>
      <w:r>
        <w:t xml:space="preserve">8.5 A worked example</w:t>
      </w:r>
    </w:p>
    <w:p>
      <w:pPr>
        <w:pStyle w:val="FirstParagraph"/>
      </w:pPr>
      <w:r>
        <w:t xml:space="preserve">Figure 8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76" name="Picture"/>
            <a:graphic>
              <a:graphicData uri="http://schemas.openxmlformats.org/drawingml/2006/picture">
                <pic:pic>
                  <pic:nvPicPr>
                    <pic:cNvPr descr="figures/fig7_worked_exampl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78"/>
    <w:bookmarkEnd w:id="79"/>
    <w:bookmarkStart w:id="84" w:name="discuss"/>
    <w:p>
      <w:pPr>
        <w:pStyle w:val="Heading2"/>
      </w:pPr>
      <w:r>
        <w:t xml:space="preserve">9. Discussion</w:t>
      </w:r>
    </w:p>
    <w:bookmarkStart w:id="80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0"/>
    <w:bookmarkStart w:id="81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1"/>
    <w:bookmarkStart w:id="82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</w:t>
      </w:r>
      <w:r>
        <w:t xml:space="preserve"> </w:t>
      </w:r>
      <w:r>
        <w:t xml:space="preserve">fleet is healthy, its fuel trims are small, and the trims do not track efficiency, which is why the</w:t>
      </w:r>
      <w:r>
        <w:t xml:space="preserve"> </w:t>
      </w:r>
      <w:r>
        <w:t xml:space="preserve">malfunction side of the attribution is anchored on a controlled bench rather than observed in the</w:t>
      </w:r>
      <w:r>
        <w:t xml:space="preserve"> </w:t>
      </w:r>
      <w:r>
        <w:t xml:space="preserve">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2"/>
    <w:bookmarkStart w:id="83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The two-arm design is a response to a missing dataset, and naming what would close the gap turns the</w:t>
      </w:r>
      <w:r>
        <w:t xml:space="preserve"> </w:t>
      </w:r>
      <w:r>
        <w:t xml:space="preserve">limitation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3"/>
    <w:bookmarkEnd w:id="84"/>
    <w:bookmarkStart w:id="86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for amplitude features across sensing</w:t>
      </w:r>
      <w:r>
        <w:t xml:space="preserve"> </w:t>
      </w:r>
      <w:r>
        <w:t xml:space="preserve">regimes rather than for the exact VED feature set, and a dedicated 1 Hz-versus-high-rate sensitivity</w:t>
      </w:r>
      <w:r>
        <w:t xml:space="preserve"> </w:t>
      </w:r>
      <w:r>
        <w:t xml:space="preserve">analysis is left to future work.</w:t>
      </w:r>
    </w:p>
    <w:bookmarkStart w:id="85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85"/>
    <w:bookmarkEnd w:id="86"/>
    <w:bookmarkStart w:id="87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</w:t>
      </w:r>
      <w:r>
        <w:t xml:space="preserve"> </w:t>
      </w:r>
      <w:r>
        <w:t xml:space="preserve">197-vehicle public fleet, behaviour and a persistent vehicle-baseline account for measurable 8% and</w:t>
      </w:r>
      <w:r>
        <w:t xml:space="preserve"> </w:t>
      </w:r>
      <w:r>
        <w:t xml:space="preserve">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the signature attributes the cause at 95.9% accuracy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87"/>
    <w:bookmarkStart w:id="91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0">
        <w:r>
          <w:rPr>
            <w:rStyle w:val="Hyperlink"/>
          </w:rPr>
          <w:t xml:space="preserve">zenodo.org/records/6570972</w:t>
        </w:r>
      </w:hyperlink>
      <w:r>
        <w:t xml:space="preserve">,</w:t>
      </w:r>
      <w:r>
        <w:t xml:space="preserve"> </w:t>
      </w:r>
      <w:r>
        <w:t xml:space="preserve">CC-BY-4.0).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scripts/p9_bench_behav.py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the study, implemented the pipeline, and</w:t>
      </w:r>
      <w:r>
        <w:t xml:space="preserve"> </w:t>
      </w:r>
      <w:r>
        <w:t xml:space="preserve">wrote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and the</w:t>
      </w:r>
      <w:r>
        <w:t xml:space="preserve"> </w:t>
      </w:r>
      <w:r>
        <w:t xml:space="preserve">Driving Events dataset for releasing their data openly.</w:t>
      </w:r>
    </w:p>
    <w:bookmarkEnd w:id="91"/>
    <w:bookmarkStart w:id="137" w:name="refs"/>
    <w:p>
      <w:pPr>
        <w:pStyle w:val="Heading2"/>
      </w:pPr>
      <w:r>
        <w:t xml:space="preserve">References</w:t>
      </w:r>
    </w:p>
    <w:p>
      <w:pPr>
        <w:pStyle w:val="Bibliography"/>
      </w:pPr>
      <w:r>
        <w:t xml:space="preserve">All entries validated against Crossref/OpenAlex/DataCite (bibtest).</w:t>
      </w:r>
    </w:p>
    <w:p>
      <w:pPr>
        <w:pStyle w:val="Compact"/>
        <w:numPr>
          <w:ilvl w:val="0"/>
          <w:numId w:val="1002"/>
        </w:numPr>
      </w:pPr>
      <w:bookmarkStart w:id="93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2">
        <w:r>
          <w:rPr>
            <w:rStyle w:val="Hyperlink"/>
          </w:rPr>
          <w:t xml:space="preserve">10.1109/TITS.2020.3035596</w:t>
        </w:r>
      </w:hyperlink>
      <w:bookmarkEnd w:id="93"/>
    </w:p>
    <w:p>
      <w:pPr>
        <w:pStyle w:val="Compact"/>
        <w:numPr>
          <w:ilvl w:val="0"/>
          <w:numId w:val="1002"/>
        </w:numPr>
      </w:pPr>
      <w:bookmarkStart w:id="95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4">
        <w:r>
          <w:rPr>
            <w:rStyle w:val="Hyperlink"/>
          </w:rPr>
          <w:t xml:space="preserve">10.1109/ACCESS.2023.3331316</w:t>
        </w:r>
      </w:hyperlink>
      <w:bookmarkEnd w:id="95"/>
    </w:p>
    <w:p>
      <w:pPr>
        <w:pStyle w:val="Compact"/>
        <w:numPr>
          <w:ilvl w:val="0"/>
          <w:numId w:val="1002"/>
        </w:numPr>
      </w:pPr>
      <w:bookmarkStart w:id="97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96">
        <w:r>
          <w:rPr>
            <w:rStyle w:val="Hyperlink"/>
          </w:rPr>
          <w:t xml:space="preserve">10.1016/j.engappai.2022.105222</w:t>
        </w:r>
      </w:hyperlink>
      <w:bookmarkEnd w:id="97"/>
    </w:p>
    <w:p>
      <w:pPr>
        <w:pStyle w:val="Compact"/>
        <w:numPr>
          <w:ilvl w:val="0"/>
          <w:numId w:val="1002"/>
        </w:numPr>
      </w:pPr>
      <w:bookmarkStart w:id="99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98">
        <w:r>
          <w:rPr>
            <w:rStyle w:val="Hyperlink"/>
          </w:rPr>
          <w:t xml:space="preserve">10.1177/09544070231185609</w:t>
        </w:r>
      </w:hyperlink>
      <w:bookmarkEnd w:id="99"/>
    </w:p>
    <w:p>
      <w:pPr>
        <w:pStyle w:val="Compact"/>
        <w:numPr>
          <w:ilvl w:val="0"/>
          <w:numId w:val="1002"/>
        </w:numPr>
      </w:pPr>
      <w:bookmarkStart w:id="101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0">
        <w:r>
          <w:rPr>
            <w:rStyle w:val="Hyperlink"/>
          </w:rPr>
          <w:t xml:space="preserve">10.3390/su13010226</w:t>
        </w:r>
      </w:hyperlink>
      <w:bookmarkEnd w:id="101"/>
    </w:p>
    <w:p>
      <w:pPr>
        <w:pStyle w:val="Compact"/>
        <w:numPr>
          <w:ilvl w:val="0"/>
          <w:numId w:val="1002"/>
        </w:numPr>
      </w:pPr>
      <w:bookmarkStart w:id="103" w:name="r6"/>
      <w:r>
        <w:t xml:space="preserve">J. Vieira et al. Driving Events Dataset. Zenodo, 2022.</w:t>
      </w:r>
      <w:r>
        <w:t xml:space="preserve"> </w:t>
      </w:r>
      <w:hyperlink r:id="rId102">
        <w:r>
          <w:rPr>
            <w:rStyle w:val="Hyperlink"/>
          </w:rPr>
          <w:t xml:space="preserve">10.5281/zenodo.6570972</w:t>
        </w:r>
      </w:hyperlink>
      <w:bookmarkEnd w:id="103"/>
    </w:p>
    <w:p>
      <w:pPr>
        <w:pStyle w:val="Compact"/>
        <w:numPr>
          <w:ilvl w:val="0"/>
          <w:numId w:val="1002"/>
        </w:numPr>
      </w:pPr>
      <w:bookmarkStart w:id="104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4"/>
    </w:p>
    <w:p>
      <w:pPr>
        <w:pStyle w:val="Compact"/>
        <w:numPr>
          <w:ilvl w:val="0"/>
          <w:numId w:val="1002"/>
        </w:numPr>
      </w:pPr>
      <w:bookmarkStart w:id="106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05">
        <w:r>
          <w:rPr>
            <w:rStyle w:val="Hyperlink"/>
          </w:rPr>
          <w:t xml:space="preserve">10.1061/(ASCE)0733-947X(2002)128:2(182)</w:t>
        </w:r>
      </w:hyperlink>
      <w:bookmarkEnd w:id="106"/>
    </w:p>
    <w:p>
      <w:pPr>
        <w:pStyle w:val="Compact"/>
        <w:numPr>
          <w:ilvl w:val="0"/>
          <w:numId w:val="1002"/>
        </w:numPr>
      </w:pPr>
      <w:bookmarkStart w:id="108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07">
        <w:r>
          <w:rPr>
            <w:rStyle w:val="Hyperlink"/>
          </w:rPr>
          <w:t xml:space="preserve">10.1155/2020/9450178</w:t>
        </w:r>
      </w:hyperlink>
      <w:bookmarkEnd w:id="108"/>
    </w:p>
    <w:p>
      <w:pPr>
        <w:pStyle w:val="Compact"/>
        <w:numPr>
          <w:ilvl w:val="0"/>
          <w:numId w:val="1002"/>
        </w:numPr>
      </w:pPr>
      <w:bookmarkStart w:id="110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09">
        <w:r>
          <w:rPr>
            <w:rStyle w:val="Hyperlink"/>
          </w:rPr>
          <w:t xml:space="preserve">10.48550/arXiv.2410.09741</w:t>
        </w:r>
      </w:hyperlink>
      <w:bookmarkEnd w:id="110"/>
    </w:p>
    <w:p>
      <w:pPr>
        <w:pStyle w:val="Compact"/>
        <w:numPr>
          <w:ilvl w:val="0"/>
          <w:numId w:val="1002"/>
        </w:numPr>
      </w:pPr>
      <w:bookmarkStart w:id="112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1">
        <w:r>
          <w:rPr>
            <w:rStyle w:val="Hyperlink"/>
          </w:rPr>
          <w:t xml:space="preserve">10.1016/j.trd.2011.05.008</w:t>
        </w:r>
      </w:hyperlink>
      <w:bookmarkEnd w:id="112"/>
    </w:p>
    <w:p>
      <w:pPr>
        <w:pStyle w:val="Compact"/>
        <w:numPr>
          <w:ilvl w:val="0"/>
          <w:numId w:val="1002"/>
        </w:numPr>
      </w:pPr>
      <w:bookmarkStart w:id="114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3">
        <w:r>
          <w:rPr>
            <w:rStyle w:val="Hyperlink"/>
          </w:rPr>
          <w:t xml:space="preserve">10.1109/ACCESS.2019.2920489</w:t>
        </w:r>
      </w:hyperlink>
      <w:bookmarkEnd w:id="114"/>
    </w:p>
    <w:p>
      <w:pPr>
        <w:pStyle w:val="Compact"/>
        <w:numPr>
          <w:ilvl w:val="0"/>
          <w:numId w:val="1002"/>
        </w:numPr>
      </w:pPr>
      <w:bookmarkStart w:id="116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15">
        <w:r>
          <w:rPr>
            <w:rStyle w:val="Hyperlink"/>
          </w:rPr>
          <w:t xml:space="preserve">10.1016/j.trd.2023.104025</w:t>
        </w:r>
      </w:hyperlink>
      <w:bookmarkEnd w:id="116"/>
    </w:p>
    <w:p>
      <w:pPr>
        <w:pStyle w:val="Compact"/>
        <w:numPr>
          <w:ilvl w:val="0"/>
          <w:numId w:val="1002"/>
        </w:numPr>
      </w:pPr>
      <w:bookmarkStart w:id="118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17">
        <w:r>
          <w:rPr>
            <w:rStyle w:val="Hyperlink"/>
          </w:rPr>
          <w:t xml:space="preserve">10.1109/ITSC.2011.6083078</w:t>
        </w:r>
      </w:hyperlink>
      <w:bookmarkEnd w:id="118"/>
    </w:p>
    <w:p>
      <w:pPr>
        <w:pStyle w:val="Compact"/>
        <w:numPr>
          <w:ilvl w:val="0"/>
          <w:numId w:val="1002"/>
        </w:numPr>
      </w:pPr>
      <w:bookmarkStart w:id="120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19">
        <w:r>
          <w:rPr>
            <w:rStyle w:val="Hyperlink"/>
          </w:rPr>
          <w:t xml:space="preserve">10.1016/j.treng.2026.100436</w:t>
        </w:r>
      </w:hyperlink>
      <w:bookmarkEnd w:id="120"/>
    </w:p>
    <w:p>
      <w:pPr>
        <w:pStyle w:val="Compact"/>
        <w:numPr>
          <w:ilvl w:val="0"/>
          <w:numId w:val="1002"/>
        </w:numPr>
      </w:pPr>
      <w:bookmarkStart w:id="122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1">
        <w:r>
          <w:rPr>
            <w:rStyle w:val="Hyperlink"/>
          </w:rPr>
          <w:t xml:space="preserve">10.1016/j.engappai.2022.105524</w:t>
        </w:r>
      </w:hyperlink>
      <w:bookmarkEnd w:id="122"/>
    </w:p>
    <w:p>
      <w:pPr>
        <w:pStyle w:val="Compact"/>
        <w:numPr>
          <w:ilvl w:val="0"/>
          <w:numId w:val="1002"/>
        </w:numPr>
      </w:pPr>
      <w:bookmarkStart w:id="124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3">
        <w:r>
          <w:rPr>
            <w:rStyle w:val="Hyperlink"/>
          </w:rPr>
          <w:t xml:space="preserve">10.1016/j.measurement.2018.03.006</w:t>
        </w:r>
      </w:hyperlink>
      <w:bookmarkEnd w:id="124"/>
    </w:p>
    <w:p>
      <w:pPr>
        <w:pStyle w:val="Compact"/>
        <w:numPr>
          <w:ilvl w:val="0"/>
          <w:numId w:val="1002"/>
        </w:numPr>
      </w:pPr>
      <w:bookmarkStart w:id="126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25">
        <w:r>
          <w:rPr>
            <w:rStyle w:val="Hyperlink"/>
          </w:rPr>
          <w:t xml:space="preserve">10.3390/s22187072</w:t>
        </w:r>
      </w:hyperlink>
      <w:bookmarkEnd w:id="126"/>
    </w:p>
    <w:p>
      <w:pPr>
        <w:pStyle w:val="Compact"/>
        <w:numPr>
          <w:ilvl w:val="0"/>
          <w:numId w:val="1002"/>
        </w:numPr>
      </w:pPr>
      <w:bookmarkStart w:id="128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27">
        <w:r>
          <w:rPr>
            <w:rStyle w:val="Hyperlink"/>
          </w:rPr>
          <w:t xml:space="preserve">10.1109/ICDM.2008.17</w:t>
        </w:r>
      </w:hyperlink>
      <w:bookmarkEnd w:id="128"/>
    </w:p>
    <w:p>
      <w:pPr>
        <w:pStyle w:val="Compact"/>
        <w:numPr>
          <w:ilvl w:val="0"/>
          <w:numId w:val="1002"/>
        </w:numPr>
      </w:pPr>
      <w:bookmarkStart w:id="130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29">
        <w:r>
          <w:rPr>
            <w:rStyle w:val="Hyperlink"/>
          </w:rPr>
          <w:t xml:space="preserve">10.1109/TNSM.2020.3038991</w:t>
        </w:r>
      </w:hyperlink>
      <w:bookmarkEnd w:id="130"/>
    </w:p>
    <w:p>
      <w:pPr>
        <w:pStyle w:val="Compact"/>
        <w:numPr>
          <w:ilvl w:val="0"/>
          <w:numId w:val="1002"/>
        </w:numPr>
      </w:pPr>
      <w:bookmarkStart w:id="132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1">
        <w:r>
          <w:rPr>
            <w:rStyle w:val="Hyperlink"/>
          </w:rPr>
          <w:t xml:space="preserve">10.1109/TCAD.2020.3012749</w:t>
        </w:r>
      </w:hyperlink>
      <w:bookmarkEnd w:id="132"/>
    </w:p>
    <w:p>
      <w:pPr>
        <w:pStyle w:val="Compact"/>
        <w:numPr>
          <w:ilvl w:val="0"/>
          <w:numId w:val="1002"/>
        </w:numPr>
      </w:pPr>
      <w:bookmarkStart w:id="134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3">
        <w:r>
          <w:rPr>
            <w:rStyle w:val="Hyperlink"/>
          </w:rPr>
          <w:t xml:space="preserve">10.1109/TITS.2023.3286611</w:t>
        </w:r>
      </w:hyperlink>
      <w:bookmarkEnd w:id="134"/>
    </w:p>
    <w:p>
      <w:pPr>
        <w:pStyle w:val="Compact"/>
        <w:numPr>
          <w:ilvl w:val="0"/>
          <w:numId w:val="1002"/>
        </w:numPr>
      </w:pPr>
      <w:bookmarkStart w:id="136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35">
        <w:r>
          <w:rPr>
            <w:rStyle w:val="Hyperlink"/>
          </w:rPr>
          <w:t xml:space="preserve">10.48550/arXiv.1705.07874</w:t>
        </w:r>
      </w:hyperlink>
      <w:bookmarkEnd w:id="136"/>
    </w:p>
    <w:p>
      <w:pPr>
        <w:pStyle w:val="Bibliography"/>
      </w:pPr>
      <w:r>
        <w:t xml:space="preserve">Full-length working draft. Every filled number traces to a script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 an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. © 2026 Alexander Apartsin.</w:t>
      </w:r>
    </w:p>
    <w:bookmarkEnd w:id="1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svg" /><Relationship Type="http://schemas.openxmlformats.org/officeDocument/2006/relationships/image" Id="rId47" Target="media/rId47.png" /><Relationship Type="http://schemas.openxmlformats.org/officeDocument/2006/relationships/image" Id="rId63" Target="media/rId63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hyperlink" Id="rId96" Target="https://doi.org/10.1016/j.engappai.2022.105222" TargetMode="External" /><Relationship Type="http://schemas.openxmlformats.org/officeDocument/2006/relationships/hyperlink" Id="rId121" Target="https://doi.org/10.1016/j.engappai.2022.105524" TargetMode="External" /><Relationship Type="http://schemas.openxmlformats.org/officeDocument/2006/relationships/hyperlink" Id="rId123" Target="https://doi.org/10.1016/j.measurement.2018.03.006" TargetMode="External" /><Relationship Type="http://schemas.openxmlformats.org/officeDocument/2006/relationships/hyperlink" Id="rId111" Target="https://doi.org/10.1016/j.trd.2011.05.008" TargetMode="External" /><Relationship Type="http://schemas.openxmlformats.org/officeDocument/2006/relationships/hyperlink" Id="rId115" Target="https://doi.org/10.1016/j.trd.2023.104025" TargetMode="External" /><Relationship Type="http://schemas.openxmlformats.org/officeDocument/2006/relationships/hyperlink" Id="rId119" Target="https://doi.org/10.1016/j.treng.2026.100436" TargetMode="External" /><Relationship Type="http://schemas.openxmlformats.org/officeDocument/2006/relationships/hyperlink" Id="rId105" Target="https://doi.org/10.1061/(ASCE)0733-947X(2002)128:2(182)" TargetMode="External" /><Relationship Type="http://schemas.openxmlformats.org/officeDocument/2006/relationships/hyperlink" Id="rId113" Target="https://doi.org/10.1109/ACCESS.2019.2920489" TargetMode="External" /><Relationship Type="http://schemas.openxmlformats.org/officeDocument/2006/relationships/hyperlink" Id="rId94" Target="https://doi.org/10.1109/ACCESS.2023.3331316" TargetMode="External" /><Relationship Type="http://schemas.openxmlformats.org/officeDocument/2006/relationships/hyperlink" Id="rId127" Target="https://doi.org/10.1109/ICDM.2008.17" TargetMode="External" /><Relationship Type="http://schemas.openxmlformats.org/officeDocument/2006/relationships/hyperlink" Id="rId117" Target="https://doi.org/10.1109/ITSC.2011.6083078" TargetMode="External" /><Relationship Type="http://schemas.openxmlformats.org/officeDocument/2006/relationships/hyperlink" Id="rId131" Target="https://doi.org/10.1109/TCAD.2020.3012749" TargetMode="External" /><Relationship Type="http://schemas.openxmlformats.org/officeDocument/2006/relationships/hyperlink" Id="rId92" Target="https://doi.org/10.1109/TITS.2020.3035596" TargetMode="External" /><Relationship Type="http://schemas.openxmlformats.org/officeDocument/2006/relationships/hyperlink" Id="rId133" Target="https://doi.org/10.1109/TITS.2023.3286611" TargetMode="External" /><Relationship Type="http://schemas.openxmlformats.org/officeDocument/2006/relationships/hyperlink" Id="rId129" Target="https://doi.org/10.1109/TNSM.2020.3038991" TargetMode="External" /><Relationship Type="http://schemas.openxmlformats.org/officeDocument/2006/relationships/hyperlink" Id="rId107" Target="https://doi.org/10.1155/2020/9450178" TargetMode="External" /><Relationship Type="http://schemas.openxmlformats.org/officeDocument/2006/relationships/hyperlink" Id="rId98" Target="https://doi.org/10.1177/09544070231185609" TargetMode="External" /><Relationship Type="http://schemas.openxmlformats.org/officeDocument/2006/relationships/hyperlink" Id="rId125" Target="https://doi.org/10.3390/s22187072" TargetMode="External" /><Relationship Type="http://schemas.openxmlformats.org/officeDocument/2006/relationships/hyperlink" Id="rId100" Target="https://doi.org/10.3390/su13010226" TargetMode="External" /><Relationship Type="http://schemas.openxmlformats.org/officeDocument/2006/relationships/hyperlink" Id="rId135" Target="https://doi.org/10.48550/arXiv.1705.07874" TargetMode="External" /><Relationship Type="http://schemas.openxmlformats.org/officeDocument/2006/relationships/hyperlink" Id="rId109" Target="https://doi.org/10.48550/arXiv.2410.09741" TargetMode="External" /><Relationship Type="http://schemas.openxmlformats.org/officeDocument/2006/relationships/hyperlink" Id="rId102" Target="https://doi.org/10.5281/zenodo.6570972" TargetMode="External" /><Relationship Type="http://schemas.openxmlformats.org/officeDocument/2006/relationships/hyperlink" Id="rId88" Target="https://github.com/gsoh/VED" TargetMode="External" /><Relationship Type="http://schemas.openxmlformats.org/officeDocument/2006/relationships/hyperlink" Id="rId89" Target="https://github.com/leoxthomas/EngineFaultDB" TargetMode="External" /><Relationship Type="http://schemas.openxmlformats.org/officeDocument/2006/relationships/hyperlink" Id="rId90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16/j.engappai.2022.105222" TargetMode="External" /><Relationship Type="http://schemas.openxmlformats.org/officeDocument/2006/relationships/hyperlink" Id="rId121" Target="https://doi.org/10.1016/j.engappai.2022.105524" TargetMode="External" /><Relationship Type="http://schemas.openxmlformats.org/officeDocument/2006/relationships/hyperlink" Id="rId123" Target="https://doi.org/10.1016/j.measurement.2018.03.006" TargetMode="External" /><Relationship Type="http://schemas.openxmlformats.org/officeDocument/2006/relationships/hyperlink" Id="rId111" Target="https://doi.org/10.1016/j.trd.2011.05.008" TargetMode="External" /><Relationship Type="http://schemas.openxmlformats.org/officeDocument/2006/relationships/hyperlink" Id="rId115" Target="https://doi.org/10.1016/j.trd.2023.104025" TargetMode="External" /><Relationship Type="http://schemas.openxmlformats.org/officeDocument/2006/relationships/hyperlink" Id="rId119" Target="https://doi.org/10.1016/j.treng.2026.100436" TargetMode="External" /><Relationship Type="http://schemas.openxmlformats.org/officeDocument/2006/relationships/hyperlink" Id="rId105" Target="https://doi.org/10.1061/(ASCE)0733-947X(2002)128:2(182)" TargetMode="External" /><Relationship Type="http://schemas.openxmlformats.org/officeDocument/2006/relationships/hyperlink" Id="rId113" Target="https://doi.org/10.1109/ACCESS.2019.2920489" TargetMode="External" /><Relationship Type="http://schemas.openxmlformats.org/officeDocument/2006/relationships/hyperlink" Id="rId94" Target="https://doi.org/10.1109/ACCESS.2023.3331316" TargetMode="External" /><Relationship Type="http://schemas.openxmlformats.org/officeDocument/2006/relationships/hyperlink" Id="rId127" Target="https://doi.org/10.1109/ICDM.2008.17" TargetMode="External" /><Relationship Type="http://schemas.openxmlformats.org/officeDocument/2006/relationships/hyperlink" Id="rId117" Target="https://doi.org/10.1109/ITSC.2011.6083078" TargetMode="External" /><Relationship Type="http://schemas.openxmlformats.org/officeDocument/2006/relationships/hyperlink" Id="rId131" Target="https://doi.org/10.1109/TCAD.2020.3012749" TargetMode="External" /><Relationship Type="http://schemas.openxmlformats.org/officeDocument/2006/relationships/hyperlink" Id="rId92" Target="https://doi.org/10.1109/TITS.2020.3035596" TargetMode="External" /><Relationship Type="http://schemas.openxmlformats.org/officeDocument/2006/relationships/hyperlink" Id="rId133" Target="https://doi.org/10.1109/TITS.2023.3286611" TargetMode="External" /><Relationship Type="http://schemas.openxmlformats.org/officeDocument/2006/relationships/hyperlink" Id="rId129" Target="https://doi.org/10.1109/TNSM.2020.3038991" TargetMode="External" /><Relationship Type="http://schemas.openxmlformats.org/officeDocument/2006/relationships/hyperlink" Id="rId107" Target="https://doi.org/10.1155/2020/9450178" TargetMode="External" /><Relationship Type="http://schemas.openxmlformats.org/officeDocument/2006/relationships/hyperlink" Id="rId98" Target="https://doi.org/10.1177/09544070231185609" TargetMode="External" /><Relationship Type="http://schemas.openxmlformats.org/officeDocument/2006/relationships/hyperlink" Id="rId125" Target="https://doi.org/10.3390/s22187072" TargetMode="External" /><Relationship Type="http://schemas.openxmlformats.org/officeDocument/2006/relationships/hyperlink" Id="rId100" Target="https://doi.org/10.3390/su13010226" TargetMode="External" /><Relationship Type="http://schemas.openxmlformats.org/officeDocument/2006/relationships/hyperlink" Id="rId135" Target="https://doi.org/10.48550/arXiv.1705.07874" TargetMode="External" /><Relationship Type="http://schemas.openxmlformats.org/officeDocument/2006/relationships/hyperlink" Id="rId109" Target="https://doi.org/10.48550/arXiv.2410.09741" TargetMode="External" /><Relationship Type="http://schemas.openxmlformats.org/officeDocument/2006/relationships/hyperlink" Id="rId102" Target="https://doi.org/10.5281/zenodo.6570972" TargetMode="External" /><Relationship Type="http://schemas.openxmlformats.org/officeDocument/2006/relationships/hyperlink" Id="rId88" Target="https://github.com/gsoh/VED" TargetMode="External" /><Relationship Type="http://schemas.openxmlformats.org/officeDocument/2006/relationships/hyperlink" Id="rId89" Target="https://github.com/leoxthomas/EngineFaultDB" TargetMode="External" /><Relationship Type="http://schemas.openxmlformats.org/officeDocument/2006/relationships/hyperlink" Id="rId90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Signature-Based Attribution of Excess Fuel Consumption</dc:title>
  <dc:creator/>
  <dc:language>en</dc:language>
  <cp:keywords/>
  <dcterms:created xsi:type="dcterms:W3CDTF">2026-08-29T16:47:52Z</dcterms:created>
  <dcterms:modified xsi:type="dcterms:W3CDTF">2026-08-29T16:47:52Z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