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88.6% accuracy (95.9% for a classifier trained on the injected labels), while fuel magnitude alone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88.6–95.9%)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 </w:t>
      </w:r>
      <w:r>
        <w:t xml:space="preserve">(Table 7), matching a logistic classifier trained on the injected labels over the same two scores (0.886 vs 0.886) and far above the fuel-only chance level; the full-feature classifier of Section 8.3 sets the upper bound at 95.9%, and the frozen and same-score curves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on same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 (no injection-label training) matches a classifier trained on the same two scores with the injection labels;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148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Bibliography"/>
      </w:pPr>
      <w:r>
        <w:t xml:space="preserve">© 2026 Alexander Apartsin and Yehudit Aperstein.</w:t>
      </w:r>
    </w:p>
    <w:bookmarkEnd w:id="1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2026-08-30T10:27:13Z</dcterms:created>
  <dcterms:modified xsi:type="dcterms:W3CDTF">2026-08-30T10:27:13Z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