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88.6% at the bench-calibrated effect size (a classifier trained on the injected labels reaches an upper bound of 95.9%), while fuel magnitude alone is at chance.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88.6% at a bench-calibrated magnitude (trained upper bound 95.9%) with no joint</w:t>
      </w:r>
      <w:r>
        <w:t xml:space="preserve"> </w:t>
      </w:r>
      <w:r>
        <w:t xml:space="preserve">supervision, where fuel magnitude alone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88.6% accuracy (95.9% for a classifier trained on the injected labels), while fuel magnitude alone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88.6–95.9%)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Injecting driver-caused and fault-caused excess into 11,520 real VED trips (139 vehicles) with the</w:t>
      </w:r>
      <w:r>
        <w:t xml:space="preserve"> </w:t>
      </w:r>
      <w:r>
        <w:t xml:space="preserve">same fuel increase for both, so that magnitude is uninformative, the signature attributor recovers the</w:t>
      </w:r>
      <w:r>
        <w:t xml:space="preserve"> </w:t>
      </w:r>
      <w:r>
        <w:t xml:space="preserve">cause with accuracy that rises with signature strength: 0.713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0.866 at 1.0, 0.946 at</w:t>
      </w:r>
      <w:r>
        <w:t xml:space="preserve"> </w:t>
      </w:r>
      <w:r>
        <w:t xml:space="preserve">1.5, 0.979 at 2.0, and 0.998 at 3.0, while the fuel-only baseline stays at chance (about 0.50)</w:t>
      </w:r>
      <w:r>
        <w:t xml:space="preserve"> </w:t>
      </w:r>
      <w:r>
        <w:t xml:space="preserve">throughout (Figure 7). At the bench-calibrated magnitude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≈</m:t>
        </m:r>
        <m:r>
          <m:t>1.66</m:t>
        </m:r>
      </m:oMath>
      <w:r>
        <w:t xml:space="preserve"> </w:t>
      </w:r>
      <w:r>
        <w:t xml:space="preserve">the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0.959</w:t>
      </w:r>
      <w:r>
        <w:t xml:space="preserve"> </w:t>
      </w:r>
      <w:r>
        <w:t xml:space="preserve">(95% CI [0.956, 0.962], F1 0.959, with near-symmetric errors of about 4% each way).</w:t>
      </w:r>
      <w:r>
        <w:t xml:space="preserve"> </w:t>
      </w:r>
      <w:r>
        <w:t xml:space="preserve">This measures attribution rather than asserting it: the design makes fuel magnitude uninformative by</w:t>
      </w:r>
      <w:r>
        <w:t xml:space="preserve"> </w:t>
      </w:r>
      <w:r>
        <w:t xml:space="preserve">construction, so the accuracy comes entirely from the signature, and by controlling the injected</w:t>
      </w:r>
      <w:r>
        <w:t xml:space="preserve"> </w:t>
      </w:r>
      <w:r>
        <w:t xml:space="preserve">magnitude it sidesteps the trim-blindness of the fleet fuel target and the healthy-fleet range</w:t>
      </w:r>
      <w:r>
        <w:t xml:space="preserve"> </w:t>
      </w:r>
      <w:r>
        <w:t xml:space="preserve">restriction examined next. Two caveats on scope. The injection places each cause purely on its own</w:t>
      </w:r>
      <w:r>
        <w:t xml:space="preserve"> </w:t>
      </w:r>
      <w:r>
        <w:t xml:space="preserve">axis, so the experiment measures how detectable that separation is against real trip-to-trip noise; it</w:t>
      </w:r>
      <w:r>
        <w:t xml:space="preserve"> </w:t>
      </w:r>
      <w:r>
        <w:t xml:space="preserve">presumes rather than proves axis-separability, which rests instead on the bench signature and the</w:t>
      </w:r>
      <w:r>
        <w:t xml:space="preserve"> </w:t>
      </w:r>
      <w:r>
        <w:t xml:space="preserve">silent driver-excess cell. And the measured accuracy sits above the Gaussian-optimal bound of</w:t>
      </w:r>
      <w:r>
        <w:t xml:space="preserve"> </w:t>
      </w:r>
      <m:oMath>
        <m:r>
          <m:t>Φ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  <m:r>
          <m:rPr>
            <m:sty m:val="p"/>
          </m:rPr>
          <m:t>≈</m:t>
        </m:r>
        <m:r>
          <m:t>0.88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</m:oMath>
      <w:r>
        <w:t xml:space="preserve">, because the real within-vehicle deviations are</w:t>
      </w:r>
      <w:r>
        <w:t xml:space="preserve"> </w:t>
      </w:r>
      <w:r>
        <w:t xml:space="preserve">tighter than the median standard deviation used for calibration and the attributor also sees each</w:t>
      </w:r>
      <w:r>
        <w:t xml:space="preserve"> </w:t>
      </w:r>
      <w:r>
        <w:t xml:space="preserve">vehicle's baseline; the two axes are in fact near-independent in the fleet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what makes them separable.</w:t>
      </w:r>
    </w:p>
    <w:p>
      <w:pPr>
        <w:pStyle w:val="CaptionedFigure"/>
      </w:pPr>
      <w:r>
        <w:drawing>
          <wp:inline>
            <wp:extent cx="5187696" cy="3176016"/>
            <wp:effectExtent b="0" l="0" r="0" t="0"/>
            <wp:docPr descr="Attribution accuracy vs signature strength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769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versus signature strength, reaching 95.9% at the</w:t>
      </w:r>
      <w:r>
        <w:t xml:space="preserve"> </w:t>
      </w:r>
      <w:r>
        <w:t xml:space="preserve">bench-calibrated fault magnitude while the fuel-magnitude baseline stays at chance. This classifier</w:t>
      </w:r>
      <w:r>
        <w:t xml:space="preserve"> </w:t>
      </w:r>
      <w:r>
        <w:t xml:space="preserve">is trained on the injected labels and is therefore an upper bound; Section 8.4 reports the transfer</w:t>
      </w:r>
      <w:r>
        <w:t xml:space="preserve"> </w:t>
      </w:r>
      <w:r>
        <w:t xml:space="preserve">result that does not use them.</w:t>
      </w:r>
    </w:p>
    <w:bookmarkEnd w:id="72"/>
    <w:bookmarkStart w:id="76" w:name="X0770e934613aa954cded40406b703862608b6b5"/>
    <w:p>
      <w:pPr>
        <w:pStyle w:val="Heading3"/>
      </w:pPr>
      <w:r>
        <w:t xml:space="preserve">8.4 Transfer with frozen source-derived signatures</w:t>
      </w:r>
    </w:p>
    <w:p>
      <w:pPr>
        <w:pStyle w:val="FirstParagraph"/>
      </w:pPr>
      <w:r>
        <w:t xml:space="preserve">The classifier above is trained on the same injection labels it recovers, so it measures</w:t>
      </w:r>
      <w:r>
        <w:t xml:space="preserve"> </w:t>
      </w:r>
      <w:r>
        <w:t xml:space="preserve">recoverability rather than transfer. We therefore repeat the evaluation with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signatures</w:t>
      </w:r>
      <w:r>
        <w:t xml:space="preserve"> </w:t>
      </w:r>
      <w:r>
        <w:t xml:space="preserve">that never see the VED injection labels: the driver signature is a logistic model learned only on the</w:t>
      </w:r>
      <w:r>
        <w:t xml:space="preserve"> </w:t>
      </w:r>
      <w:r>
        <w:t xml:space="preserve">external aggressive-driving dataset (over kinematic features matched to VED: acceleration variability,</w:t>
      </w:r>
      <w:r>
        <w:t xml:space="preserve"> </w:t>
      </w:r>
      <w:r>
        <w:t xml:space="preserve">its 95th percentile, and harsh-event rate), and the fault signature is the combustion axis, whose</w:t>
      </w:r>
      <w:r>
        <w:t xml:space="preserve"> </w:t>
      </w:r>
      <w:r>
        <w:t xml:space="preserve">direction and effect size come from the bench. Each VED trip receives a frozen kinematic score and a</w:t>
      </w:r>
      <w:r>
        <w:t xml:space="preserve"> </w:t>
      </w:r>
      <w:r>
        <w:t xml:space="preserve">frozen combustion score, and the attribution rule is simply which standardized score is larger, a</w:t>
      </w:r>
      <w:r>
        <w:t xml:space="preserve"> </w:t>
      </w:r>
      <w:r>
        <w:t xml:space="preserve">fixed rule with no fitted parameters. At the bench-calibrated magnitude this zero-shot rule reaches</w:t>
      </w:r>
      <w:r>
        <w:t xml:space="preserve"> </w:t>
      </w:r>
      <w:r>
        <w:rPr>
          <w:b/>
          <w:bCs/>
        </w:rPr>
        <w:t xml:space="preserve">88.6% accuracy</w:t>
      </w:r>
      <w:r>
        <w:t xml:space="preserve"> </w:t>
      </w:r>
      <w:r>
        <w:t xml:space="preserve">(Table 7), matching a logistic classifier trained on the injected labels over the same two scores (0.886 vs 0.886) and far above the fuel-only chance level; the full-feature classifier of Section 8.3 sets the upper bound at 95.9%, and the frozen and same-score curves track across effect sizes (0.86 at S = 1.5, 0.92 at S = 2.0). Because</w:t>
      </w:r>
      <w:r>
        <w:t xml:space="preserve"> </w:t>
      </w:r>
      <w:r>
        <w:t xml:space="preserve">the scoring functions are learned in their source domains and combined on the target without joint</w:t>
      </w:r>
      <w:r>
        <w:t xml:space="preserve"> </w:t>
      </w:r>
      <w:r>
        <w:t xml:space="preserve">supervision, this is the multi-source transfer the framework claims, not a rediscovery of the</w:t>
      </w:r>
      <w:r>
        <w:t xml:space="preserve"> </w:t>
      </w:r>
      <w:r>
        <w:t xml:space="preserve">injection rule.</w:t>
      </w:r>
    </w:p>
    <w:p>
      <w:pPr>
        <w:pStyle w:val="BodyText"/>
      </w:pPr>
      <w:r>
        <w:t xml:space="preserve">The frozen rule also supports abstention. Withholding a decision when the two scores are close (a margin</w:t>
      </w:r>
      <w:r>
        <w:t xml:space="preserve"> </w:t>
      </w:r>
      <m:oMath>
        <m:r>
          <m:t>τ</m:t>
        </m:r>
      </m:oMath>
      <w:r>
        <w:t xml:space="preserve">) trades coverage for accuracy: at the bench magnitude, deciding on the 71% of trips with the clearest evidence</w:t>
      </w:r>
      <w:r>
        <w:t xml:space="preserve"> </w:t>
      </w:r>
      <w:r>
        <w:t xml:space="preserve">raises accuracy from 88.6% to 95.7%, and on the clearest 41% to 98.2%. In a maintenance setting an</w:t>
      </w:r>
      <w:r>
        <w:t xml:space="preserve"> </w:t>
      </w:r>
      <w:r>
        <w:t xml:space="preserve">explicit "uncertain" verdict is preferable to a confident wrong intervention.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Signature strength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Trained on same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1.66 (bench)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Attribution accuracy by signature strength. The frozen source-derived rule (no injection-label training) matches a classifier trained on the same two scores with the injection labels; fuel magnitude alone stays at chance.</w:t>
      </w:r>
    </w:p>
    <w:p>
      <w:pPr>
        <w:pStyle w:val="BodyText"/>
      </w:pPr>
      <w:r>
        <w:t xml:space="preserve">The real world does not present pure one-axis changes, so we stress the frozen rule. When both causes</w:t>
      </w:r>
      <w:r>
        <w:t xml:space="preserve"> </w:t>
      </w:r>
      <w:r>
        <w:t xml:space="preserve">act at once, we score dominant-cause accuracy over a grid of driver and fault effect sizes (Figure 8):</w:t>
      </w:r>
      <w:r>
        <w:t xml:space="preserve"> </w:t>
      </w:r>
      <w:r>
        <w:t xml:space="preserve">attribution is accurate off the diagonal and degrades to chance only where the two effects are equal</w:t>
      </w:r>
      <w:r>
        <w:t xml:space="preserve"> </w:t>
      </w:r>
      <w:r>
        <w:t xml:space="preserve">and the cause is genuinely ambiguous. The rule degrades gracefully under departures from ideal</w:t>
      </w:r>
      <w:r>
        <w:t xml:space="preserve"> </w:t>
      </w:r>
      <w:r>
        <w:t xml:space="preserve">conditions at the bench magnitude: additive Gaussian score noise takes accuracy from 0.886 to 0.80</w:t>
      </w:r>
      <w:r>
        <w:t xml:space="preserve"> </w:t>
      </w:r>
      <w:r>
        <w:t xml:space="preserve">(1 SD) and 0.74 (1.5 SD); a systematic combustion-score bias to 0.83 (1 SD); and dropping the</w:t>
      </w:r>
      <w:r>
        <w:t xml:space="preserve"> </w:t>
      </w:r>
      <w:r>
        <w:t xml:space="preserve">fuel-trim channel for a fraction of trips to 0.85 (20% missing) and 0.80 (50%). As a probabilistic</w:t>
      </w:r>
      <w:r>
        <w:t xml:space="preserve"> </w:t>
      </w:r>
      <w:r>
        <w:t xml:space="preserve">scorer (the sigmoid of the score margin) the frozen rule reaches AUROC 0.951, average precision 0.945,</w:t>
      </w:r>
      <w:r>
        <w:t xml:space="preserve"> </w:t>
      </w:r>
      <w:r>
        <w:t xml:space="preserve">and a Brier score of 0.092 at the bench magnitude.</w:t>
      </w:r>
    </w:p>
    <w:p>
      <w:pPr>
        <w:pStyle w:val="CaptionedFigure"/>
      </w:pPr>
      <w:r>
        <w:drawing>
          <wp:inline>
            <wp:extent cx="4261104" cy="3608832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1104" cy="3608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effect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. Attribution is reliable off the diagonal and falls to chance only</w:t>
      </w:r>
      <w:r>
        <w:t xml:space="preserve"> </w:t>
      </w:r>
      <w:r>
        <w:t xml:space="preserve">where the two effects are equal.</w:t>
      </w:r>
    </w:p>
    <w:p>
      <w:pPr>
        <w:pStyle w:val="BodyText"/>
      </w:pPr>
      <w:r>
        <w:t xml:space="preserve">Attribution is not an artifact of one classifier. At the bench magnitude, task-aligned baselines all</w:t>
      </w:r>
      <w:r>
        <w:t xml:space="preserve"> </w:t>
      </w:r>
      <w:r>
        <w:t xml:space="preserve">cluster near the frozen rule and far above chance (Table 8): a raw-threshold rule on harsh-event rate</w:t>
      </w:r>
      <w:r>
        <w:t xml:space="preserve"> </w:t>
      </w:r>
      <w:r>
        <w:t xml:space="preserve">versus fuel trim reaches 0.89, a likelihood-ratio prototype against source-calibrated signature</w:t>
      </w:r>
      <w:r>
        <w:t xml:space="preserve"> </w:t>
      </w:r>
      <w:r>
        <w:t xml:space="preserve">distributions 0.89, and a classifier trained on all features and the injection labels sets the upper</w:t>
      </w:r>
      <w:r>
        <w:t xml:space="preserve"> </w:t>
      </w:r>
      <w:r>
        <w:t xml:space="preserve">bound at 0.95, while the fuel-only baseline stays at 0.51. The signature separation, not the choice of</w:t>
      </w:r>
      <w:r>
        <w:t xml:space="preserve"> </w:t>
      </w:r>
      <w:r>
        <w:t xml:space="preserve">attributor, is what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(at bench magnitude)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Raw-threshold rule (harsh rate vs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full-feature logistic (upper 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Task-aligned attribution baselines. Every signature-based attributor</w:t>
      </w:r>
      <w:r>
        <w:t xml:space="preserve"> </w:t>
      </w:r>
      <w:r>
        <w:t xml:space="preserve">reaches ~0.89 without injection labels; only the trained upper bound uses them; fuel magnitude is at</w:t>
      </w:r>
      <w:r>
        <w:t xml:space="preserve"> </w:t>
      </w:r>
      <w:r>
        <w:t xml:space="preserve">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88.6% in a calibrated semi-synthetic transfer test (trained upper bound 95.9%), where magnitude alone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scripts/p15_uah_e6.py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2026-08-30T10:41:09Z</dcterms:created>
  <dcterms:modified xsi:type="dcterms:W3CDTF">2026-08-30T10:41:09Z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