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5.png" ContentType="image/png"/>
  <Override PartName="/word/media/rId33.png" ContentType="image/png"/>
  <Override PartName="/word/media/rId36.png" ContentType="image/png"/>
  <Override PartName="/word/media/rId41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Signature-Based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  <w:r>
        <w:t xml:space="preserve"> </w:t>
      </w:r>
      <w:r>
        <w:t xml:space="preserve">Consumption</w:t>
      </w:r>
    </w:p>
    <w:p>
      <w:pPr>
        <w:pStyle w:val="FirstParagraph"/>
      </w:pPr>
      <w:r>
        <w:t xml:space="preserve">Working draft</w:t>
      </w:r>
      <w:r>
        <w:t xml:space="preserve">v0.3 (revised)</w:t>
      </w:r>
    </w:p>
    <w:bookmarkStart w:id="20" w:name="Xb86f25cd334bec3280bd4d2fc6af5404396d8df"/>
    <w:p>
      <w:pPr>
        <w:pStyle w:val="Heading1"/>
      </w:pPr>
      <w:r>
        <w:t xml:space="preserve">Driver or Vehicle? Signature-Based Attribution of Excess Fuel Consumption</w:t>
      </w:r>
      <w:r>
        <w:br/>
      </w:r>
      <w:r>
        <w:t xml:space="preserve">Using Public Fleet Telemetry and an Engine-Fault Bench</w:t>
      </w:r>
    </w:p>
    <w:p>
      <w:pPr>
        <w:pStyle w:val="FirstParagraph"/>
      </w:pPr>
      <w:r>
        <w:t xml:space="preserve">Alexander Partsin</w:t>
      </w:r>
    </w:p>
    <w:p>
      <w:pPr>
        <w:pStyle w:val="BodyText"/>
      </w:pPr>
      <w:r>
        <w:t xml:space="preserve">Draft skeleton — results current as of the latest experiment run</w:t>
      </w:r>
    </w:p>
    <w:p>
      <w:pPr>
        <w:pStyle w:val="BodyText"/>
      </w:pPr>
      <w:r>
        <w:t xml:space="preserve">This page is a living paper draft. Every number is a computed result traceable to</w:t>
      </w:r>
      <w:r>
        <w:t xml:space="preserve"> </w:t>
      </w:r>
      <w:r>
        <w:t xml:space="preserve">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 References validated</w:t>
      </w:r>
      <w:r>
        <w:t xml:space="preserve"> </w:t>
      </w:r>
      <w:r>
        <w:t xml:space="preserve">with bibtest.</w:t>
      </w:r>
    </w:p>
    <w:bookmarkEnd w:id="20"/>
    <w:p>
      <w:pPr>
        <w:pStyle w:val="BodyText"/>
      </w:pPr>
      <w:r>
        <w:rPr>
          <w:b/>
          <w:bCs/>
        </w:rP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abstract">
        <w:r>
          <w:rPr>
            <w:rStyle w:val="Hyperlink"/>
          </w:rPr>
          <w:t xml:space="preserve">Abstract</w:t>
        </w:r>
      </w:hyperlink>
    </w:p>
    <w:p>
      <w:pPr>
        <w:pStyle w:val="Compact"/>
        <w:numPr>
          <w:ilvl w:val="0"/>
          <w:numId w:val="1001"/>
        </w:numPr>
      </w:pPr>
      <w:hyperlink w:anchor="intro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related">
        <w:r>
          <w:rPr>
            <w:rStyle w:val="Hyperlink"/>
          </w:rPr>
          <w:t xml:space="preserve">Related work</w:t>
        </w:r>
      </w:hyperlink>
    </w:p>
    <w:p>
      <w:pPr>
        <w:pStyle w:val="Compact"/>
        <w:numPr>
          <w:ilvl w:val="0"/>
          <w:numId w:val="1001"/>
        </w:numPr>
      </w:pPr>
      <w:hyperlink w:anchor="data">
        <w:r>
          <w:rPr>
            <w:rStyle w:val="Hyperlink"/>
          </w:rPr>
          <w:t xml:space="preserve">Data</w:t>
        </w:r>
      </w:hyperlink>
    </w:p>
    <w:p>
      <w:pPr>
        <w:pStyle w:val="Compact"/>
        <w:numPr>
          <w:ilvl w:val="0"/>
          <w:numId w:val="1001"/>
        </w:numPr>
      </w:pPr>
      <w:hyperlink w:anchor="method">
        <w:r>
          <w:rPr>
            <w:rStyle w:val="Hyperlink"/>
          </w:rPr>
          <w:t xml:space="preserve">Method</w:t>
        </w:r>
      </w:hyperlink>
    </w:p>
    <w:p>
      <w:pPr>
        <w:pStyle w:val="Compact"/>
        <w:numPr>
          <w:ilvl w:val="0"/>
          <w:numId w:val="1001"/>
        </w:numPr>
      </w:pPr>
      <w:hyperlink w:anchor="arm1">
        <w:r>
          <w:rPr>
            <w:rStyle w:val="Hyperlink"/>
          </w:rPr>
          <w:t xml:space="preserve">Arm 1: driver-behaviour decomposition (VED)</w:t>
        </w:r>
      </w:hyperlink>
    </w:p>
    <w:p>
      <w:pPr>
        <w:pStyle w:val="Compact"/>
        <w:numPr>
          <w:ilvl w:val="0"/>
          <w:numId w:val="1001"/>
        </w:numPr>
      </w:pPr>
      <w:hyperlink w:anchor="arm2">
        <w:r>
          <w:rPr>
            <w:rStyle w:val="Hyperlink"/>
          </w:rPr>
          <w:t xml:space="preserve">Arm 2: malfunction fuel signature (EngineFaultDB)</w:t>
        </w:r>
      </w:hyperlink>
    </w:p>
    <w:p>
      <w:pPr>
        <w:pStyle w:val="Compact"/>
        <w:numPr>
          <w:ilvl w:val="0"/>
          <w:numId w:val="1001"/>
        </w:numPr>
      </w:pPr>
      <w:hyperlink w:anchor="attrib">
        <w:r>
          <w:rPr>
            <w:rStyle w:val="Hyperlink"/>
          </w:rPr>
          <w:t xml:space="preserve">Attribution: signature contrast and accuracy</w:t>
        </w:r>
      </w:hyperlink>
    </w:p>
    <w:p>
      <w:pPr>
        <w:pStyle w:val="Compact"/>
        <w:numPr>
          <w:ilvl w:val="0"/>
          <w:numId w:val="1001"/>
        </w:numPr>
      </w:pPr>
      <w:hyperlink w:anchor="limits">
        <w:r>
          <w:rPr>
            <w:rStyle w:val="Hyperlink"/>
          </w:rPr>
          <w:t xml:space="preserve">Scope and limitations</w:t>
        </w:r>
      </w:hyperlink>
    </w:p>
    <w:p>
      <w:pPr>
        <w:pStyle w:val="Compact"/>
        <w:numPr>
          <w:ilvl w:val="0"/>
          <w:numId w:val="1001"/>
        </w:numPr>
      </w:pPr>
      <w:hyperlink w:anchor="repro">
        <w:r>
          <w:rPr>
            <w:rStyle w:val="Hyperlink"/>
          </w:rPr>
          <w:t xml:space="preserve">Reproducibility</w:t>
        </w:r>
      </w:hyperlink>
    </w:p>
    <w:p>
      <w:pPr>
        <w:pStyle w:val="Compact"/>
        <w:numPr>
          <w:ilvl w:val="0"/>
          <w:numId w:val="1001"/>
        </w:numPr>
      </w:pPr>
      <w:hyperlink w:anchor="refs">
        <w:r>
          <w:rPr>
            <w:rStyle w:val="Hyperlink"/>
          </w:rPr>
          <w:t xml:space="preserve">References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has two very different causes with the same symptom: a driver</w:t>
      </w:r>
      <w:r>
        <w:t xml:space="preserve"> </w:t>
      </w:r>
      <w:r>
        <w:t xml:space="preserve">who accelerates hard and a vehicle that is running rich both burn more than they should. We show that</w:t>
      </w:r>
      <w:r>
        <w:t xml:space="preserve"> </w:t>
      </w:r>
      <w:r>
        <w:t xml:space="preserve">the two causes leave separable signatures. Driver-caused excess is transient and kinematic; malfunction</w:t>
      </w:r>
      <w:r>
        <w:t xml:space="preserve"> </w:t>
      </w:r>
      <w:r>
        <w:t xml:space="preserve">-caused excess is steady-state and combustion-linked. We build an expected-fuel model on real fleet</w:t>
      </w:r>
      <w:r>
        <w:t xml:space="preserve"> </w:t>
      </w:r>
      <w:r>
        <w:t xml:space="preserve">telemetry (Vehicle Energy Dataset, VED), decompose each trip's excess into a driver-behaviour component</w:t>
      </w:r>
      <w:r>
        <w:t xml:space="preserve"> </w:t>
      </w:r>
      <w:r>
        <w:t xml:space="preserve">and a persistent vehicle-baseline component, and validate the behaviour component on an independent</w:t>
      </w:r>
      <w:r>
        <w:t xml:space="preserve"> </w:t>
      </w:r>
      <w:r>
        <w:t xml:space="preserve">labelled driving dataset. On a controlled engine-fault dataset (EngineFaultDB) we show a rich-mixture</w:t>
      </w:r>
      <w:r>
        <w:t xml:space="preserve"> </w:t>
      </w:r>
      <w:r>
        <w:t xml:space="preserve">fault produces measurable excess fuel (+6.2%) with an emissions/AFR signature. A cross-dataset</w:t>
      </w:r>
      <w:r>
        <w:t xml:space="preserve"> </w:t>
      </w:r>
      <w:r>
        <w:t xml:space="preserve">signature contrast supports the central claim: a combustion axis, measurable in both worlds, is silent</w:t>
      </w:r>
      <w:r>
        <w:t xml:space="preserve"> </w:t>
      </w:r>
      <w:r>
        <w:t xml:space="preserve">for driver-caused excess on the fleet (R² 0), and that silence survives a trim-corrected fuel</w:t>
      </w:r>
      <w:r>
        <w:t xml:space="preserve"> </w:t>
      </w:r>
      <w:r>
        <w:t xml:space="preserve">target and holds within the highest-trim vehicles. On semi-synthetic ground truth, where both causes</w:t>
      </w:r>
      <w:r>
        <w:t xml:space="preserve"> </w:t>
      </w:r>
      <w:r>
        <w:t xml:space="preserve">raise fuel by the same amount, the signature attributes driver-versus-fault excess at</w:t>
      </w:r>
      <w:r>
        <w:t xml:space="preserve"> </w:t>
      </w:r>
      <w:r>
        <w:rPr>
          <w:b/>
          <w:bCs/>
        </w:rPr>
        <w:t xml:space="preserve">96%</w:t>
      </w:r>
      <w:r>
        <w:t xml:space="preserve"> </w:t>
      </w:r>
      <w:r>
        <w:t xml:space="preserve">(95% CI [0.956, 0.962]) while fuel magnitude alone is at chance. The fleet fuel model</w:t>
      </w:r>
      <w:r>
        <w:t xml:space="preserve"> </w:t>
      </w:r>
      <w:r>
        <w:t xml:space="preserve">reaches R² 0.673 (95% CI [0.628, 0.709]); driving behaviour and a persistent vehicle-baseline</w:t>
      </w:r>
      <w:r>
        <w:t xml:space="preserve"> </w:t>
      </w:r>
      <w:r>
        <w:t xml:space="preserve">account for 8% and 14% of trip-fuel variance respectively.</w:t>
      </w:r>
    </w:p>
    <w:bookmarkStart w:id="21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2"/>
        </w:numPr>
      </w:pPr>
      <w:r>
        <w:t xml:space="preserve">A signature-based framework that attributes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using only public data.</w:t>
      </w:r>
    </w:p>
    <w:p>
      <w:pPr>
        <w:pStyle w:val="Compact"/>
        <w:numPr>
          <w:ilvl w:val="0"/>
          <w:numId w:val="1002"/>
        </w:numPr>
      </w:pPr>
      <w:r>
        <w:t xml:space="preserve">A variance decomposition of trip fuel on a 197-vehicle, 14.5k-trip public fleet into behaviour,</w:t>
      </w:r>
      <w:r>
        <w:t xml:space="preserve"> </w:t>
      </w:r>
      <w:r>
        <w:t xml:space="preserve">vehicle-baseline, and environment components.</w:t>
      </w:r>
    </w:p>
    <w:p>
      <w:pPr>
        <w:pStyle w:val="Compact"/>
        <w:numPr>
          <w:ilvl w:val="0"/>
          <w:numId w:val="1002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(R² 0), a silence that survives trim-corrected fuel and the highest-trim vehicles, ruling</w:t>
      </w:r>
      <w:r>
        <w:t xml:space="preserve"> </w:t>
      </w:r>
      <w:r>
        <w:t xml:space="preserve">out a measurement artifact.</w:t>
      </w:r>
    </w:p>
    <w:p>
      <w:pPr>
        <w:pStyle w:val="Compact"/>
        <w:numPr>
          <w:ilvl w:val="0"/>
          <w:numId w:val="1002"/>
        </w:numPr>
      </w:pPr>
      <w:r>
        <w:t xml:space="preserve">A measured</w:t>
      </w:r>
      <w:r>
        <w:t xml:space="preserve"> </w:t>
      </w:r>
      <w:r>
        <w:rPr>
          <w:b/>
          <w:bCs/>
        </w:rPr>
        <w:t xml:space="preserve">attribution accuracy of 96%</w:t>
      </w:r>
      <w:r>
        <w:t xml:space="preserve"> </w:t>
      </w:r>
      <w:r>
        <w:t xml:space="preserve">(95% CI [0.956, 0.962]) on semi-synthetic ground</w:t>
      </w:r>
      <w:r>
        <w:t xml:space="preserve"> </w:t>
      </w:r>
      <w:r>
        <w:t xml:space="preserve">truth at a bench-calibrated fault magnitude, where fuel magnitude alone is at chance.</w:t>
      </w:r>
    </w:p>
    <w:p>
      <w:pPr>
        <w:pStyle w:val="Compact"/>
        <w:numPr>
          <w:ilvl w:val="0"/>
          <w:numId w:val="1002"/>
        </w:numPr>
      </w:pPr>
      <w:r>
        <w:t xml:space="preserve">External validation of the behaviour axis (driver-held-out AUC 0.96, permutation p 0.03)</w:t>
      </w:r>
      <w:r>
        <w:t xml:space="preserve"> </w:t>
      </w:r>
      <w:r>
        <w:t xml:space="preserve">and an honest account of the field-wide absence of any joint fuel+fault+behaviour dataset.</w:t>
      </w:r>
    </w:p>
    <w:bookmarkEnd w:id="21"/>
    <w:bookmarkEnd w:id="22"/>
    <w:bookmarkStart w:id="23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vehicle fleet and a direct driver of tailpipe</w:t>
      </w:r>
      <w:r>
        <w:t xml:space="preserve"> </w:t>
      </w:r>
      <w:r>
        <w:t xml:space="preserve">emissions. When a vehicle burns more than expected, an operator faces a decision with two very</w:t>
      </w:r>
      <w:r>
        <w:t xml:space="preserve"> </w:t>
      </w:r>
      <w:r>
        <w:t xml:space="preserve">different remedies: coach the driver, or service the vehicle. The two causes present the same</w:t>
      </w:r>
      <w:r>
        <w:t xml:space="preserve"> </w:t>
      </w:r>
      <w:r>
        <w:t xml:space="preserve">symptom. Aggressive acceleration and a rich-running engine both raise consumption, and a raw</w:t>
      </w:r>
      <w:r>
        <w:t xml:space="preserve"> </w:t>
      </w:r>
      <w:r>
        <w:t xml:space="preserve">fuel-per-distance figure cannot tell them apart.</w:t>
      </w:r>
    </w:p>
    <w:p>
      <w:pPr>
        <w:pStyle w:val="BodyText"/>
      </w:pPr>
      <w:r>
        <w:t xml:space="preserve">We treat this as an attribution problem. Given a trip that consumed more fuel than its route and</w:t>
      </w:r>
      <w:r>
        <w:t xml:space="preserve"> </w:t>
      </w:r>
      <w:r>
        <w:t xml:space="preserve">conditions warrant, how much of the excess is the driver, and how much is the vehicle? The question</w:t>
      </w:r>
      <w:r>
        <w:t xml:space="preserve"> </w:t>
      </w:r>
      <w:r>
        <w:t xml:space="preserve">is operationally valuable and, on public data, largely unanswered: fuel-modelling work predicts</w:t>
      </w:r>
      <w:r>
        <w:t xml:space="preserve"> </w:t>
      </w:r>
      <w:r>
        <w:t xml:space="preserve">consumption without decomposing its causes, driving-behaviour work scores the driver in isolation,</w:t>
      </w:r>
      <w:r>
        <w:t xml:space="preserve"> </w:t>
      </w:r>
      <w:r>
        <w:t xml:space="preserve">and predictive-maintenance work rarely treats fuel efficiency as the symptom.</w:t>
      </w:r>
    </w:p>
    <w:p>
      <w:pPr>
        <w:pStyle w:val="BodyText"/>
      </w:pPr>
      <w:r>
        <w:t xml:space="preserve">Our approach rests on a physical observation: the two causes leave different signatures. Driver</w:t>
      </w:r>
      <w:r>
        <w:t xml:space="preserve"> </w:t>
      </w:r>
      <w:r>
        <w:t xml:space="preserve">excess is transient and kinematic, expressed in acceleration, jerk, and harsh events at a normal</w:t>
      </w:r>
      <w:r>
        <w:t xml:space="preserve"> </w:t>
      </w:r>
      <w:r>
        <w:t xml:space="preserve">air-fuel ratio. Malfunction excess (a rich mixture) is steady-state and combustion-linked, expressed</w:t>
      </w:r>
      <w:r>
        <w:t xml:space="preserve"> </w:t>
      </w:r>
      <w:r>
        <w:t xml:space="preserve">as a shift of the air-fuel ratio away from stoichiometric and in the exhaust chemistry. We build an</w:t>
      </w:r>
      <w:r>
        <w:t xml:space="preserve"> </w:t>
      </w:r>
      <w:r>
        <w:t xml:space="preserve">expected-fuel model on real fleet telemetry, decompose each trip's excess into behaviour and</w:t>
      </w:r>
      <w:r>
        <w:t xml:space="preserve"> </w:t>
      </w:r>
      <w:r>
        <w:t xml:space="preserve">vehicle-baseline components, validate the behaviour axis on an independent labelled dataset, and</w:t>
      </w:r>
      <w:r>
        <w:t xml:space="preserve"> </w:t>
      </w:r>
      <w:r>
        <w:t xml:space="preserve">test the central claim both as a cross-dataset signature contrast and as a measured attribution</w:t>
      </w:r>
      <w:r>
        <w:t xml:space="preserve"> </w:t>
      </w:r>
      <w:r>
        <w:t xml:space="preserve">accuracy on semi-synthetic ground truth. The contributions are listed above.</w:t>
      </w:r>
    </w:p>
    <w:bookmarkEnd w:id="23"/>
    <w:bookmarkStart w:id="24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here: fuel-consumption modelling from OBD/telematics</w:t>
      </w:r>
      <w:r>
        <w:t xml:space="preserve"> </w:t>
      </w:r>
      <w:r>
        <w:t xml:space="preserve">(physics models VSP [</w:t>
      </w:r>
      <w:hyperlink w:anchor="r7">
        <w:r>
          <w:rPr>
            <w:rStyle w:val="Hyperlink"/>
          </w:rPr>
          <w:t xml:space="preserve">7</w:t>
        </w:r>
      </w:hyperlink>
      <w:r>
        <w:t xml:space="preserve">] and VT-Micro [</w:t>
      </w:r>
      <w:hyperlink w:anchor="r8">
        <w:r>
          <w:rPr>
            <w:rStyle w:val="Hyperlink"/>
          </w:rPr>
          <w:t xml:space="preserve">8</w:t>
        </w:r>
      </w:hyperlink>
      <w:r>
        <w:t xml:space="preserve">]; modern ML where tree</w:t>
      </w:r>
      <w:r>
        <w:t xml:space="preserve"> </w:t>
      </w:r>
      <w:r>
        <w:t xml:space="preserve">ensembles lead), eco-driving and</w:t>
      </w:r>
      <w:r>
        <w:t xml:space="preserve"> </w:t>
      </w:r>
      <w:r>
        <w:t xml:space="preserve">driving-behaviour scoring, vehicle predictive maintenance, and telemetry anomaly detection. The</w:t>
      </w:r>
      <w:r>
        <w:t xml:space="preserve"> </w:t>
      </w:r>
      <w:r>
        <w:t xml:space="preserve">nearest prior work is Barbado and Corcho, who detect fuel-consumption anomalies with explainable</w:t>
      </w:r>
      <w:r>
        <w:t xml:space="preserve"> </w:t>
      </w:r>
      <w:r>
        <w:t xml:space="preserve">feature relevance and counterfactuals, but do not separate cause into driver versus mechanical.</w:t>
      </w:r>
    </w:p>
    <w:p>
      <w:pPr>
        <w:pStyle w:val="BodyText"/>
      </w:pPr>
      <w:r>
        <w:rPr>
          <w:b/>
          <w:bCs/>
        </w:rPr>
        <w:t xml:space="preserve">Fuel-consumption modelling.</w:t>
      </w:r>
      <w:r>
        <w:t xml:space="preserve"> </w:t>
      </w:r>
      <w:r>
        <w:t xml:space="preserve">Physics-based models map instantaneous kinematics to fuel and</w:t>
      </w:r>
      <w:r>
        <w:t xml:space="preserve"> </w:t>
      </w:r>
      <w:r>
        <w:t xml:space="preserve">emissions: vehicle specific power [</w:t>
      </w:r>
      <w:hyperlink w:anchor="r7">
        <w:r>
          <w:rPr>
            <w:rStyle w:val="Hyperlink"/>
          </w:rPr>
          <w:t xml:space="preserve">7</w:t>
        </w:r>
      </w:hyperlink>
      <w:r>
        <w:t xml:space="preserve">], the VT-Micro regression family</w:t>
      </w:r>
      <w:r>
        <w:t xml:space="preserve"> </w:t>
      </w:r>
      <w:r>
        <w:t xml:space="preserve">[</w:t>
      </w:r>
      <w:hyperlink w:anchor="r8">
        <w:r>
          <w:rPr>
            <w:rStyle w:val="Hyperlink"/>
          </w:rPr>
          <w:t xml:space="preserve">8</w:t>
        </w:r>
      </w:hyperlink>
      <w:r>
        <w:t xml:space="preserve">],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]. Data-driven models now lead</w:t>
      </w:r>
      <w:r>
        <w:t xml:space="preserve"> </w:t>
      </w:r>
      <w:r>
        <w:t xml:space="preserve">on OBD and telematics inputs; tree ensembles are the reliable workhorse and beat both neural</w:t>
      </w:r>
      <w:r>
        <w:t xml:space="preserve"> </w:t>
      </w:r>
      <w:r>
        <w:t xml:space="preserve">baselines and the ECU estimate on 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</w:t>
      </w:r>
      <w:r>
        <w:t xml:space="preserve"> </w:t>
      </w:r>
      <w:r>
        <w:t xml:space="preserve">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</w:t>
      </w:r>
      <w:r>
        <w:t xml:space="preserve"> </w:t>
      </w:r>
      <w:r>
        <w:t xml:space="preserve">accurately but do not decompose its causes.</w:t>
      </w:r>
    </w:p>
    <w:p>
      <w:pPr>
        <w:pStyle w:val="BodyText"/>
      </w:pPr>
      <w:r>
        <w:rPr>
          <w:b/>
          <w:bCs/>
        </w:rPr>
        <w:t xml:space="preserve">Eco-driving and behaviour scoring.</w:t>
      </w:r>
      <w:r>
        <w:t xml:space="preserve"> </w:t>
      </w:r>
      <w:r>
        <w:t xml:space="preserve">Driving style moves fuel use substantially; data-driven</w:t>
      </w:r>
      <w:r>
        <w:t xml:space="preserve"> </w:t>
      </w:r>
      <w:r>
        <w:t xml:space="preserve">eco-driving reviews report double-digit savings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and</w:t>
      </w:r>
      <w:r>
        <w:t xml:space="preserve"> </w:t>
      </w:r>
      <w:r>
        <w:t xml:space="preserve">recent reviews survey behaviour-to-fuel machine learning specifically [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  <w:r>
        <w:t xml:space="preserve"> </w:t>
      </w:r>
      <w:r>
        <w:t xml:space="preserve">Driver behaviour has been classified from OBD and used to predict fuel use [</w:t>
      </w:r>
      <w:hyperlink w:anchor="r12">
        <w:r>
          <w:rPr>
            <w:rStyle w:val="Hyperlink"/>
          </w:rPr>
          <w:t xml:space="preserve">12</w:t>
        </w:r>
      </w:hyperlink>
      <w:r>
        <w:t xml:space="preserve">],</w:t>
      </w:r>
      <w:r>
        <w:t xml:space="preserve"> </w:t>
      </w:r>
      <w:r>
        <w:t xml:space="preserve">recognized as a driving style from smartphone inertial 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</w:t>
      </w:r>
      <w:r>
        <w:t xml:space="preserve"> </w:t>
      </w:r>
      <w:r>
        <w:t xml:space="preserve">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</w:t>
      </w:r>
      <w:r>
        <w:t xml:space="preserve"> </w:t>
      </w:r>
      <w:r>
        <w:t xml:space="preserve">in isolation and does not separate the driver's contribution from the vehicle's.</w:t>
      </w:r>
    </w:p>
    <w:p>
      <w:pPr>
        <w:pStyle w:val="BodyText"/>
      </w:pPr>
      <w:r>
        <w:rPr>
          <w:b/>
          <w:bCs/>
        </w:rPr>
        <w:t xml:space="preserve">Predictive maintenance and engine-fault diagnosis.</w:t>
      </w:r>
      <w:r>
        <w:t xml:space="preserve"> </w:t>
      </w:r>
      <w:r>
        <w:t xml:space="preserve">Fault-diagnosis work detects sensor and</w:t>
      </w:r>
      <w:r>
        <w:t xml:space="preserve"> </w:t>
      </w:r>
      <w:r>
        <w:t xml:space="preserve">actuator faults in the air-fuel path from telemetry, including neural detection and isolation of</w:t>
      </w:r>
      <w:r>
        <w:t xml:space="preserve"> </w:t>
      </w:r>
      <w:r>
        <w:t xml:space="preserve">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 fault-tolerant handling of the mass-air-flow</w:t>
      </w:r>
      <w:r>
        <w:t xml:space="preserve"> </w:t>
      </w:r>
      <w:r>
        <w:t xml:space="preserve">sensor 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</w:t>
      </w:r>
      <w:r>
        <w:t xml:space="preserve"> </w:t>
      </w:r>
      <w:r>
        <w:t xml:space="preserve">[</w:t>
      </w:r>
      <w:hyperlink w:anchor="r18">
        <w:r>
          <w:rPr>
            <w:rStyle w:val="Hyperlink"/>
          </w:rPr>
          <w:t xml:space="preserve">18</w:t>
        </w:r>
      </w:hyperlink>
      <w:r>
        <w:t xml:space="preserve">]. These target the fault directly but treat fuel efficiency as an input, not as</w:t>
      </w:r>
      <w:r>
        <w:t xml:space="preserve"> </w:t>
      </w:r>
      <w:r>
        <w:t xml:space="preserve">the symptom to be attributed.</w:t>
      </w:r>
    </w:p>
    <w:p>
      <w:pPr>
        <w:pStyle w:val="BodyText"/>
      </w:pPr>
      <w:r>
        <w:rPr>
          <w:b/>
          <w:bCs/>
        </w:rPr>
        <w:t xml:space="preserve">Telemetry anomaly detection.</w:t>
      </w:r>
      <w:r>
        <w:t xml:space="preserve"> </w:t>
      </w:r>
      <w:r>
        <w:t xml:space="preserve">The detector toolbox is mature: isolation forest</w:t>
      </w:r>
      <w:r>
        <w:t xml:space="preserve"> </w:t>
      </w:r>
      <w:r>
        <w:t xml:space="preserve">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 autoencoder or recurrent models. In the automotive</w:t>
      </w:r>
      <w:r>
        <w:t xml:space="preserve"> </w:t>
      </w:r>
      <w:r>
        <w:t xml:space="preserve">setting most of this work targets CAN-bus intrusion and safety rather than fuel efficiency, for</w:t>
      </w:r>
      <w:r>
        <w:t xml:space="preserve"> </w:t>
      </w:r>
      <w:r>
        <w:t xml:space="preserve">example LSTM 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</w:t>
      </w:r>
      <w:r>
        <w:t xml:space="preserve"> </w:t>
      </w:r>
      <w:r>
        <w:t xml:space="preserve">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 These methods flag anomalies</w:t>
      </w:r>
      <w:r>
        <w:t xml:space="preserve"> </w:t>
      </w:r>
      <w:r>
        <w:t xml:space="preserve">but do not assign a fuel anomaly to a driver-versus-vehicle cause.</w:t>
      </w:r>
    </w:p>
    <w:p>
      <w:pPr>
        <w:pStyle w:val="BodyText"/>
      </w:pPr>
      <w:r>
        <w:rPr>
          <w:b/>
          <w:bCs/>
        </w:rPr>
        <w:t xml:space="preserve">Explainable attribution and the nearest prior work.</w:t>
      </w:r>
      <w:r>
        <w:t xml:space="preserve"> </w:t>
      </w:r>
      <w:r>
        <w:t xml:space="preserve">Feature-attribution methods such as SHAP</w:t>
      </w:r>
      <w:r>
        <w:t xml:space="preserve"> </w:t>
      </w:r>
      <w:r>
        <w:t xml:space="preserve">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inputs. The nearest prior work applies</w:t>
      </w:r>
      <w:r>
        <w:t xml:space="preserve"> </w:t>
      </w:r>
      <w:r>
        <w:t xml:space="preserve">this to our exact problem: Barbado and Corcho detect fuel-consumption anomalies with explainable</w:t>
      </w:r>
      <w:r>
        <w:t xml:space="preserve"> </w:t>
      </w:r>
      <w:r>
        <w:t xml:space="preserve">feature relevance and counterfactual recommendations on fleet data [</w:t>
      </w:r>
      <w:hyperlink w:anchor="r3">
        <w:r>
          <w:rPr>
            <w:rStyle w:val="Hyperlink"/>
          </w:rPr>
          <w:t xml:space="preserve">3</w:t>
        </w:r>
      </w:hyperlink>
      <w:r>
        <w:t xml:space="preserve">]. It</w:t>
      </w:r>
      <w:r>
        <w:t xml:space="preserve"> </w:t>
      </w:r>
      <w:r>
        <w:t xml:space="preserve">identifies which features co-occur with an anomaly but does not assign the anomaly to a</w:t>
      </w:r>
      <w:r>
        <w:t xml:space="preserve"> </w:t>
      </w:r>
      <w:r>
        <w:t xml:space="preserve">driver-versus-mechanical cause. Fuel theft or leakage is a related but distinct anomaly, detected as</w:t>
      </w:r>
      <w:r>
        <w:t xml:space="preserve"> </w:t>
      </w:r>
      <w:r>
        <w:t xml:space="preserve">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], a sudden step rather than the sustained efficiency</w:t>
      </w:r>
      <w:r>
        <w:t xml:space="preserve"> </w:t>
      </w:r>
      <w:r>
        <w:t xml:space="preserve">shift we attribute. Our signature-based decomposition is the increment: from feature relevance to</w:t>
      </w:r>
      <w:r>
        <w:t xml:space="preserve"> </w:t>
      </w:r>
      <w:r>
        <w:t xml:space="preserve">externally validated, cause-labelled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 cause</w:t>
            </w:r>
            <w:r>
              <w:br/>
            </w:r>
            <w:r>
              <w:t xml:space="preserve">(driver vs vehicle)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96%)</w:t>
            </w:r>
          </w:p>
        </w:tc>
      </w:tr>
    </w:tbl>
    <w:bookmarkEnd w:id="24"/>
    <w:bookmarkStart w:id="25" w:name="data"/>
    <w:p>
      <w:pPr>
        <w:pStyle w:val="Heading2"/>
      </w:pPr>
      <w:r>
        <w:t xml:space="preserve">3.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Energy Dataset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driving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ICE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(Zenodo 6570972)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non-aggressive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No single public dataset carries fuel consumption, mechanical-fault labels, and driver</w:t>
      </w:r>
      <w:r>
        <w:t xml:space="preserve"> </w:t>
      </w:r>
      <w:r>
        <w:t xml:space="preserve">behaviour together; this documented gap motivates the two-arm design. VED fuel is derived from the</w:t>
      </w:r>
      <w:r>
        <w:t xml:space="preserve"> </w:t>
      </w:r>
      <w:r>
        <w:t xml:space="preserve">mass air-flow signal (the OBD fuel-rate PID is unpopulated); the analysis is restricted to gasoline</w:t>
      </w:r>
      <w:r>
        <w:t xml:space="preserve"> </w:t>
      </w:r>
      <w:r>
        <w:t xml:space="preserve">(ICE) vehicles and trips are resampled to 1 Hz.</w:t>
      </w:r>
    </w:p>
    <w:bookmarkEnd w:id="25"/>
    <w:bookmarkStart w:id="29" w:name="method"/>
    <w:p>
      <w:pPr>
        <w:pStyle w:val="Heading2"/>
      </w:pPr>
      <w:r>
        <w:t xml:space="preserve">4. Method</w:t>
      </w:r>
    </w:p>
    <w:bookmarkStart w:id="26" w:name="expected-fuel-model-and-excess"/>
    <w:p>
      <w:pPr>
        <w:pStyle w:val="Heading3"/>
      </w:pPr>
      <w:r>
        <w:t xml:space="preserve">4.1 Expected-fuel model and excess</w:t>
      </w:r>
    </w:p>
    <w:p>
      <w:pPr>
        <w:pStyle w:val="FirstParagraph"/>
      </w:pPr>
      <w:r>
        <w:t xml:space="preserve">Per trip we predict fuel per 100 km from trajectory-derived driving features and trip</w:t>
      </w:r>
      <w:r>
        <w:t xml:space="preserve"> </w:t>
      </w:r>
      <w:r>
        <w:t xml:space="preserve">conditions using gradient boosting, with out-of-fold predictions grouped by vehicle so no vehicle</w:t>
      </w:r>
      <w:r>
        <w:t xml:space="preserve"> </w:t>
      </w:r>
      <w:r>
        <w:t xml:space="preserve">is scored by a model that has seen it. Excess is the positive residual against this expectation.</w:t>
      </w:r>
    </w:p>
    <w:bookmarkEnd w:id="26"/>
    <w:bookmarkStart w:id="27" w:name="two-axes"/>
    <w:p>
      <w:pPr>
        <w:pStyle w:val="Heading3"/>
      </w:pPr>
      <w:r>
        <w:t xml:space="preserve">4.2 Two axes</w:t>
      </w:r>
    </w:p>
    <w:p>
      <w:pPr>
        <w:pStyle w:val="FirstParagraph"/>
      </w:pPr>
      <w:r>
        <w:rPr>
          <w:b/>
          <w:bCs/>
        </w:rPr>
        <w:t xml:space="preserve">Kinematic axis</w:t>
      </w:r>
      <w:r>
        <w:t xml:space="preserve">: transient aggression (positive acceleration, jerk, harsh-event rate, speed</w:t>
      </w:r>
      <w:r>
        <w:t xml:space="preserve"> </w:t>
      </w:r>
      <w:r>
        <w:t xml:space="preserve">variability).</w:t>
      </w:r>
      <w:r>
        <w:t xml:space="preserve"> </w:t>
      </w:r>
      <w:r>
        <w:rPr>
          <w:b/>
          <w:bCs/>
        </w:rPr>
        <w:t xml:space="preserve">Combustion axis</w:t>
      </w:r>
      <w:r>
        <w:t xml:space="preserve">: deviation of the air-fuel ratio from stoichiometric, measured</w:t>
      </w:r>
      <w:r>
        <w:t xml:space="preserve"> </w:t>
      </w:r>
      <w:r>
        <w:t xml:space="preserve">as fuel trims in VED and directly as AFR/lambda in EngineFaultDB, placed on a common</w:t>
      </w:r>
      <w:r>
        <w:t xml:space="preserve"> </w:t>
      </w:r>
      <w:r>
        <w:t xml:space="preserve">percent-fuel-per-air scale.</w:t>
      </w:r>
    </w:p>
    <w:p>
      <w:pPr>
        <w:pStyle w:val="BodyText"/>
      </w:pPr>
      <w:r>
        <w:t xml:space="preserve">Fuel is derived from the mass air-flow signal at stoichiometric ratio,</w:t>
      </w:r>
      <w:r>
        <w:t xml:space="preserve"> </w:t>
      </w:r>
      <w:r>
        <w:rPr>
          <w:rStyle w:val="VerbatimChar"/>
        </w:rPr>
        <w:t xml:space="preserve">L/hr = MAF / 14.7 / 745 × 3600</w:t>
      </w:r>
      <w:r>
        <w:t xml:space="preserve">, and integrated per trip to fuel per 100 km.</w:t>
      </w:r>
      <w:r>
        <w:t xml:space="preserve"> </w:t>
      </w:r>
      <w:r>
        <w:t xml:space="preserve">Driving features are speed mean and variability, positive acceleration, jerk, harsh-acceleration and</w:t>
      </w:r>
      <w:r>
        <w:t xml:space="preserve"> </w:t>
      </w:r>
      <w:r>
        <w:t xml:space="preserve">harsh-braking rates, idle fraction, stops per km, highway fraction, and vehicle specific power.</w:t>
      </w:r>
      <w:r>
        <w:t xml:space="preserve"> </w:t>
      </w:r>
      <w:r>
        <w:t xml:space="preserve">Conditions are ambient temperature, air-conditioning and heater power, weight, distance, and</w:t>
      </w:r>
      <w:r>
        <w:t xml:space="preserve"> </w:t>
      </w:r>
      <w:r>
        <w:t xml:space="preserve">duration. The vehicle-baseline term is the per-vehicle mean out-of-fold residual, the systematic</w:t>
      </w:r>
      <w:r>
        <w:t xml:space="preserve"> </w:t>
      </w:r>
      <w:r>
        <w:t xml:space="preserve">deviation of a vehicle from the fleet after driving and conditions are removed. The behaviour</w:t>
      </w:r>
      <w:r>
        <w:t xml:space="preserve"> </w:t>
      </w:r>
      <w:r>
        <w:t xml:space="preserve">component is a counterfactual: the model's predicted fuel for the observed driving minus its</w:t>
      </w:r>
      <w:r>
        <w:t xml:space="preserve"> </w:t>
      </w:r>
      <w:r>
        <w:t xml:space="preserve">prediction when the aggression features are set to a gentle reference, holding conditions fixed.</w:t>
      </w:r>
    </w:p>
    <w:bookmarkEnd w:id="27"/>
    <w:bookmarkStart w:id="28" w:name="the-combustion-axis-in-both-worlds"/>
    <w:p>
      <w:pPr>
        <w:pStyle w:val="Heading3"/>
      </w:pPr>
      <w:r>
        <w:t xml:space="preserve">4.3 The combustion axis in both worlds</w:t>
      </w:r>
    </w:p>
    <w:p>
      <w:pPr>
        <w:pStyle w:val="FirstParagraph"/>
      </w:pPr>
      <w:r>
        <w:t xml:space="preserve">The combustion axis is deviation of the air-fuel ratio from stoichiometric. In VED it is observed as</w:t>
      </w:r>
      <w:r>
        <w:t xml:space="preserve"> </w:t>
      </w:r>
      <w:r>
        <w:t xml:space="preserve">short- and long-term fuel trims (the engine's own correction). On the engine-fault bench it is</w:t>
      </w:r>
      <w:r>
        <w:t xml:space="preserve"> </w:t>
      </w:r>
      <w:r>
        <w:t xml:space="preserve">observed directly as the air-fuel ratio and lambda. Both are placed on a common percent-fuel-per-air</w:t>
      </w:r>
      <w:r>
        <w:t xml:space="preserve"> </w:t>
      </w:r>
      <w:r>
        <w:t xml:space="preserve">scale, which lets the same axis be tested against driver-excess and fault-excess.</w:t>
      </w:r>
    </w:p>
    <w:bookmarkEnd w:id="28"/>
    <w:bookmarkEnd w:id="29"/>
    <w:bookmarkStart w:id="40" w:name="arm1"/>
    <w:p>
      <w:pPr>
        <w:pStyle w:val="Heading2"/>
      </w:pPr>
      <w:r>
        <w:t xml:space="preserve">5. Arm 1: driver-behaviour decomposition (VED)</w:t>
      </w:r>
    </w:p>
    <w:p>
      <w:pPr>
        <w:pStyle w:val="FirstParagraph"/>
      </w:pPr>
      <w:r>
        <w:t xml:space="preserve">The expected-fuel model reaches</w:t>
      </w:r>
      <w:r>
        <w:t xml:space="preserve"> </w:t>
      </w:r>
      <w:r>
        <w:rPr>
          <w:b/>
          <w:bCs/>
        </w:rPr>
        <w:t xml:space="preserve">R² = 0.673</w:t>
      </w:r>
      <w:r>
        <w:t xml:space="preserve"> </w:t>
      </w:r>
      <w:r>
        <w:t xml:space="preserve">(95% CI [0.628, 0.709]; MAPE 13.3%</w:t>
      </w:r>
      <w:r>
        <w:t xml:space="preserve"> </w:t>
      </w:r>
      <w:r>
        <w:t xml:space="preserve">[12.3, 14.3]) with vehicle-grouped cross-validation, and is stable across seeds (0.672–0.676).</w:t>
      </w:r>
      <w:r>
        <w:t xml:space="preserve"> </w:t>
      </w:r>
      <w:r>
        <w:t xml:space="preserve">Confidence intervals are cluster bootstraps over vehicles (1,000 resamples). Variance decomposition of</w:t>
      </w:r>
      <w:r>
        <w:t xml:space="preserve"> </w:t>
      </w:r>
      <w:r>
        <w:t xml:space="preserve">trip fuel: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(distance, speed regime, temperature,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behaviour (unique marginal over environment)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(persistent per-vehicle effect)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31" name="Picture"/>
            <a:graphic>
              <a:graphicData uri="http://schemas.openxmlformats.org/drawingml/2006/picture">
                <pic:pic>
                  <pic:nvPicPr>
                    <pic:cNvPr descr="figures/fig1_variance_decomposi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Variance decomposition of trip fuel on VED. Route and environment</w:t>
      </w:r>
      <w:r>
        <w:t xml:space="preserve"> </w:t>
      </w:r>
      <w:r>
        <w:t xml:space="preserve">dominate; driving behaviour adds a unique 8%, and a persistent vehicle-baseline accounts for 14%.</w:t>
      </w:r>
    </w:p>
    <w:p>
      <w:pPr>
        <w:pStyle w:val="BodyText"/>
      </w:pPr>
      <w:r>
        <w:t xml:space="preserve">The vehicle-baseline is real and largely not size-driven: regressing the per-vehicle effect on</w:t>
      </w:r>
      <w:r>
        <w:t xml:space="preserve"> </w:t>
      </w:r>
      <w:r>
        <w:t xml:space="preserve">engine displacement and weight explains only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of it. A gentle-driving counterfactual saves</w:t>
      </w:r>
      <w:r>
        <w:t xml:space="preserve"> </w:t>
      </w:r>
      <w:r>
        <w:t xml:space="preserve">a median</w:t>
      </w:r>
      <w:r>
        <w:t xml:space="preserve"> </w:t>
      </w:r>
      <w:r>
        <w:rPr>
          <w:b/>
          <w:bCs/>
        </w:rPr>
        <w:t xml:space="preserve">0.47 L/100km</w:t>
      </w:r>
      <w:r>
        <w:t xml:space="preserve"> </w:t>
      </w:r>
      <w:r>
        <w:t xml:space="preserve">(about 5% of median fuel), rising monotonically across aggression</w:t>
      </w:r>
      <w:r>
        <w:t xml:space="preserve"> </w:t>
      </w:r>
      <w:r>
        <w:t xml:space="preserve">deciles.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34" name="Picture"/>
            <a:graphic>
              <a:graphicData uri="http://schemas.openxmlformats.org/drawingml/2006/picture">
                <pic:pic>
                  <pic:nvPicPr>
                    <pic:cNvPr descr="figures/fig3_behaviour_monotonicit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counterfactual behaviour component (fuel above a gentle-driving</w:t>
      </w:r>
      <w:r>
        <w:t xml:space="preserve"> </w:t>
      </w:r>
      <w:r>
        <w:t xml:space="preserve">reference) rises monotonically from gentle to harsh driving deciles.</w:t>
      </w:r>
    </w:p>
    <w:bookmarkStart w:id="39" w:name="behaviour-axis-external-validation"/>
    <w:p>
      <w:pPr>
        <w:pStyle w:val="Heading3"/>
      </w:pPr>
      <w:r>
        <w:t xml:space="preserve">5.1 Behaviour-axis external validation</w:t>
      </w:r>
    </w:p>
    <w:p>
      <w:pPr>
        <w:pStyle w:val="FirstParagraph"/>
      </w:pPr>
      <w:r>
        <w:t xml:space="preserve">On the independent Driving Events dataset (169 events, 143 aggressive / 26 non-aggressive, 3</w:t>
      </w:r>
      <w:r>
        <w:t xml:space="preserve"> </w:t>
      </w:r>
      <w:r>
        <w:t xml:space="preserve">drivers), kinematic amplitude features separate aggressive from non-aggressive events with the driver</w:t>
      </w:r>
      <w:r>
        <w:t xml:space="preserve"> </w:t>
      </w:r>
      <w:r>
        <w:t xml:space="preserve">held out:</w:t>
      </w:r>
      <w:r>
        <w:t xml:space="preserve"> </w:t>
      </w:r>
      <w:r>
        <w:rPr>
          <w:b/>
          <w:bCs/>
        </w:rPr>
        <w:t xml:space="preserve">logistic-regression AUC = 0.958</w:t>
      </w:r>
      <w:r>
        <w:t xml:space="preserve"> </w:t>
      </w:r>
      <w:r>
        <w:t xml:space="preserve">(95% CI [0.927, 0.981]; per-driver 0.98 / 0.93 /</w:t>
      </w:r>
      <w:r>
        <w:t xml:space="preserve"> </w:t>
      </w:r>
      <w:r>
        <w:t xml:space="preserve">0.99). A random forest reaches 0.79; with only two training drivers per fold the linear model</w:t>
      </w:r>
      <w:r>
        <w:t xml:space="preserve"> </w:t>
      </w:r>
      <w:r>
        <w:t xml:space="preserve">generalizes across drivers better, and we report both. A 1,000-permutation test collapses the AUC to</w:t>
      </w:r>
      <w:r>
        <w:t xml:space="preserve"> </w:t>
      </w:r>
      <w:r>
        <w:t xml:space="preserve">chance (mean 0.471, p = 0.001). This validates that kinematic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features transfer to an</w:t>
      </w:r>
      <w:r>
        <w:t xml:space="preserve"> </w:t>
      </w:r>
      <w:r>
        <w:t xml:space="preserve">independent accelerometer dataset; it is a different sensing regime (400 Hz smartphone inertial</w:t>
      </w:r>
      <w:r>
        <w:t xml:space="preserve"> </w:t>
      </w:r>
      <w:r>
        <w:t xml:space="preserve">vs 1 Hz OBD), and derivative jerk does not transfer at 400 Hz (AUC 0.48, noise-dominated),</w:t>
      </w:r>
      <w:r>
        <w:t xml:space="preserve"> </w:t>
      </w:r>
      <w:r>
        <w:t xml:space="preserve">consistent with amplitude rather than derivative carrying the signal.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37" name="Picture"/>
            <a:graphic>
              <a:graphicData uri="http://schemas.openxmlformats.org/drawingml/2006/picture">
                <pic:pic>
                  <pic:nvPicPr>
                    <pic:cNvPr descr="figures/fig4_behaviour_ro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0.958).</w:t>
      </w:r>
    </w:p>
    <w:bookmarkEnd w:id="39"/>
    <w:bookmarkEnd w:id="40"/>
    <w:bookmarkStart w:id="44" w:name="arm2"/>
    <w:p>
      <w:pPr>
        <w:pStyle w:val="Heading2"/>
      </w:pPr>
      <w:r>
        <w:t xml:space="preserve">6. Arm 2: malfunction fuel signature (EngineFaultDB)</w:t>
      </w:r>
    </w:p>
    <w:p>
      <w:pPr>
        <w:pStyle w:val="FirstParagraph"/>
      </w:pPr>
      <w:r>
        <w:t xml:space="preserve">Training the fuel model on normal operating points and scoring faults at matched operating point,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rich-mixture fault burns +6.2% excess fuel</w:t>
      </w:r>
      <w:r>
        <w:t xml:space="preserve"> </w:t>
      </w:r>
      <w:r>
        <w:t xml:space="preserve">(AFR 13.68 vs 14.07; brake-specific fuel</w:t>
      </w:r>
      <w:r>
        <w:t xml:space="preserve"> </w:t>
      </w:r>
      <w:r>
        <w:t xml:space="preserve">consumption +10.6%). Lean and ignition faults are not excess-fuel faults. The rich-fault excess</w:t>
      </w:r>
      <w:r>
        <w:t xml:space="preserve"> </w:t>
      </w:r>
      <w:r>
        <w:t xml:space="preserve">correlates with the combustion signature (CO, HC, AFR), not with kinematics. Operating-point overlap</w:t>
      </w:r>
      <w:r>
        <w:t xml:space="preserve"> </w:t>
      </w:r>
      <w:r>
        <w:t xml:space="preserve">between the normal and rich samples is close (standardized mean differences: RPM 0.09, power 0.27,</w:t>
      </w:r>
      <w:r>
        <w:t xml:space="preserve"> </w:t>
      </w:r>
      <w:r>
        <w:t xml:space="preserve">speed 0.09), so the matched comparison is not driven by regime imbalance. The fault-0 reference is</w:t>
      </w:r>
      <w:r>
        <w:t xml:space="preserve"> </w:t>
      </w:r>
      <w:r>
        <w:t xml:space="preserve">itself moderately rich (lambda 0.957, CO 2.16%), which biases the +6.2% estimate downward, that is,</w:t>
      </w:r>
      <w:r>
        <w:t xml:space="preserve"> </w:t>
      </w:r>
      <w:r>
        <w:t xml:space="preserve">conservatively. The three fault classes are rich mixture, lean mixture, and low-voltage ignition; the</w:t>
      </w:r>
      <w:r>
        <w:t xml:space="preserve"> </w:t>
      </w:r>
      <w:r>
        <w:t xml:space="preserve">lean-versus-ignition label mapping is taken from the source paper's text and does not affect the</w:t>
      </w:r>
      <w:r>
        <w:t xml:space="preserve"> </w:t>
      </w:r>
      <w:r>
        <w:t xml:space="preserve">rich-fault result.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42" name="Picture"/>
            <a:graphic>
              <a:graphicData uri="http://schemas.openxmlformats.org/drawingml/2006/picture">
                <pic:pic>
                  <pic:nvPicPr>
                    <pic:cNvPr descr="figures/fig5_fault_signatu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(low AFR) burns measurably more; lean and ignition faults do not.</w:t>
      </w:r>
    </w:p>
    <w:bookmarkEnd w:id="44"/>
    <w:bookmarkStart w:id="57" w:name="attrib"/>
    <w:p>
      <w:pPr>
        <w:pStyle w:val="Heading2"/>
      </w:pPr>
      <w:r>
        <w:t xml:space="preserve">7. Attribution: signature contrast and accuracy</w:t>
      </w:r>
    </w:p>
    <w:p>
      <w:pPr>
        <w:pStyle w:val="FirstParagraph"/>
      </w:pPr>
      <w:r>
        <w:t xml:space="preserve">Excess is defined net of context in each dataset; each axis is regressed on the excess it is meant to</w:t>
      </w:r>
      <w:r>
        <w:t xml:space="preserve"> </w:t>
      </w:r>
      <w:r>
        <w:t xml:space="preserve">explain. The informative cell is the combustion axis on driver-excess.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</w:tbl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46" name="Picture"/>
            <a:graphic>
              <a:graphicData uri="http://schemas.openxmlformats.org/drawingml/2006/picture">
                <pic:pic>
                  <pic:nvPicPr>
                    <pic:cNvPr descr="figures/fig2_double_dissoci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(R² ~0) while the kinematic axis carries the driver signal; the combustion cell on the</w:t>
      </w:r>
      <w:r>
        <w:t xml:space="preserve"> </w:t>
      </w:r>
      <w:r>
        <w:t xml:space="preserve">bench (starred) is physically expected, not the claim.</w:t>
      </w:r>
    </w:p>
    <w:p>
      <w:pPr>
        <w:pStyle w:val="BodyText"/>
      </w:pPr>
      <w:r>
        <w:rPr>
          <w:b/>
          <w:bCs/>
        </w:rPr>
        <w:t xml:space="preserve">The combustion axis is silent for driver-caused excess (R² ~0), while</w:t>
      </w:r>
      <w:r>
        <w:rPr>
          <w:b/>
          <w:bCs/>
        </w:rPr>
        <w:t xml:space="preserve"> </w:t>
      </w:r>
      <w:r>
        <w:rPr>
          <w:b/>
          <w:bCs/>
        </w:rPr>
        <w:t xml:space="preserve">the kinematic axis carries it.</w:t>
      </w:r>
      <w:r>
        <w:t xml:space="preserve"> </w:t>
      </w:r>
      <w:r>
        <w:t xml:space="preserve">Combined with the 96% attribution accuracy below, this is the core</w:t>
      </w:r>
      <w:r>
        <w:t xml:space="preserve"> </w:t>
      </w:r>
      <w:r>
        <w:t xml:space="preserve">evidence that the two causes separate by signature. We deliberately do not headline the bench</w:t>
      </w:r>
      <w:r>
        <w:t xml:space="preserve"> </w:t>
      </w:r>
      <w:r>
        <w:t xml:space="preserve">combustion cell.</w:t>
      </w:r>
    </w:p>
    <w:p>
      <w:pPr>
        <w:pStyle w:val="BodyText"/>
      </w:pPr>
      <w:r>
        <w:t xml:space="preserve">*Why the bench cell is not the claim. On the bench, air-fuel ratio and fuel are physically</w:t>
      </w:r>
      <w:r>
        <w:t xml:space="preserve"> </w:t>
      </w:r>
      <w:r>
        <w:t xml:space="preserve">coupled (a rich mixture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extra fuel), so a combustion axis explaining fault-excess is</w:t>
      </w:r>
      <w:r>
        <w:t xml:space="preserve"> </w:t>
      </w:r>
      <w:r>
        <w:t xml:space="preserve">expected rather than discovered. The multivariate R² of 0.903 is carried mainly by CO (R²</w:t>
      </w:r>
      <w:r>
        <w:t xml:space="preserve"> </w:t>
      </w:r>
      <w:r>
        <w:t xml:space="preserve">0.73) and HC (0.44), the unburnt-fuel emission products, with AFR and lambda perfectly collinear</w:t>
      </w:r>
      <w:r>
        <w:t xml:space="preserve"> </w:t>
      </w:r>
      <w:r>
        <w:t xml:space="preserve">(r = 1.0) at 0.12 each; the earlier univariate correlation (r 0.33) understates it</w:t>
      </w:r>
      <w:r>
        <w:t xml:space="preserve"> </w:t>
      </w:r>
      <w:r>
        <w:t xml:space="preserve">because a single AFR transform misses the emission channels. We therefore treat this cell as a</w:t>
      </w:r>
      <w:r>
        <w:t xml:space="preserve"> </w:t>
      </w:r>
      <w:r>
        <w:t xml:space="preserve">physical consistency check and rest the claim on the silent driver-excess cell and the attribution</w:t>
      </w:r>
      <w:r>
        <w:t xml:space="preserve"> </w:t>
      </w:r>
      <w:r>
        <w:t xml:space="preserve">accuracy.</w:t>
      </w:r>
    </w:p>
    <w:p>
      <w:pPr>
        <w:pStyle w:val="BodyText"/>
      </w:pPr>
      <w:r>
        <w:t xml:space="preserve">We call this a signature contrast rather than a full double dissociation: of the 2×2, one cell</w:t>
      </w:r>
      <w:r>
        <w:t xml:space="preserve"> </w:t>
      </w:r>
      <w:r>
        <w:t xml:space="preserve">is physically forced (combustion on fault-excess), one is structurally absent (kinematic on the</w:t>
      </w:r>
      <w:r>
        <w:t xml:space="preserve"> </w:t>
      </w:r>
      <w:r>
        <w:t xml:space="preserve">steady-state bench), and the two evidential cells are the silent combustion axis on driver-excess and</w:t>
      </w:r>
      <w:r>
        <w:t xml:space="preserve"> </w:t>
      </w:r>
      <w:r>
        <w:t xml:space="preserve">the kinematic axis carrying the driver signal.</w:t>
      </w:r>
    </w:p>
    <w:bookmarkStart w:id="48" w:name="Xd6fc0166739812c3871d7dee08ed8f862b94f1f"/>
    <w:p>
      <w:pPr>
        <w:pStyle w:val="Heading3"/>
      </w:pPr>
      <w:r>
        <w:t xml:space="preserve">7.1 Comparison to detection and feature-relevance baselines</w:t>
      </w:r>
    </w:p>
    <w:p>
      <w:pPr>
        <w:pStyle w:val="FirstParagraph"/>
      </w:pPr>
      <w:r>
        <w:t xml:space="preserve">Existing methods detect excess and rank features but do not attribute cause. A standard anomaly</w:t>
      </w:r>
      <w:r>
        <w:t xml:space="preserve"> </w:t>
      </w:r>
      <w:r>
        <w:t xml:space="preserve">detector (isolation forest on trip features) yields a single anomaly score that tracks excess weakly</w:t>
      </w:r>
      <w:r>
        <w:t xml:space="preserve"> </w:t>
      </w:r>
      <w:r>
        <w:t xml:space="preserve">(r 0.16) and does not recover the vehicle-baseline component (r −0.01); it flags</w:t>
      </w:r>
      <w:r>
        <w:t xml:space="preserve"> </w:t>
      </w:r>
      <w:r>
        <w:t xml:space="preserve">anomalies without a cause label. Permutation-importance feature relevance, the surrogate used by</w:t>
      </w:r>
      <w:r>
        <w:t xml:space="preserve"> </w:t>
      </w:r>
      <w:r>
        <w:t xml:space="preserve">prior anomaly work, ranks speed and weight highest but produces no per-trip driver-versus-vehicle</w:t>
      </w:r>
      <w:r>
        <w:t xml:space="preserve"> </w:t>
      </w:r>
      <w:r>
        <w:t xml:space="preserve">split. A pooled model that does not model the vehicle leaves 1.23 L/100km of per-vehicle</w:t>
      </w:r>
      <w:r>
        <w:t xml:space="preserve"> </w:t>
      </w:r>
      <w:r>
        <w:t xml:space="preserve">systematic effect unattributed. Because no cause-labelled trip benchmark exists (Section 8),</w:t>
      </w:r>
      <w:r>
        <w:t xml:space="preserve"> </w:t>
      </w:r>
      <w:r>
        <w:t xml:space="preserve">this is a capability contrast rather than a labelled-accuracy comparison: our method adds the</w:t>
      </w:r>
      <w:r>
        <w:t xml:space="preserve"> </w:t>
      </w:r>
      <w:r>
        <w:t xml:space="preserve">per-trip decomposition the baselines cannot produce.</w:t>
      </w:r>
    </w:p>
    <w:bookmarkEnd w:id="48"/>
    <w:bookmarkStart w:id="55" w:name="X89918b6289c1e2e8dc80387c06d83a52a0644a7"/>
    <w:p>
      <w:pPr>
        <w:pStyle w:val="Heading3"/>
      </w:pPr>
      <w:r>
        <w:t xml:space="preserve">7.2 Attribution accuracy (semi-synthetic ground truth)</w:t>
      </w:r>
    </w:p>
    <w:p>
      <w:pPr>
        <w:pStyle w:val="FirstParagraph"/>
      </w:pPr>
      <w:r>
        <w:t xml:space="preserve">To measure attribution directly, we inject driver-caused and fault-caused excess into 11,520 real</w:t>
      </w:r>
      <w:r>
        <w:t xml:space="preserve"> </w:t>
      </w:r>
      <w:r>
        <w:t xml:space="preserve">VED trips (139 vehicles) with the</w:t>
      </w:r>
      <w:r>
        <w:t xml:space="preserve"> </w:t>
      </w:r>
      <w:r>
        <w:rPr>
          <w:b/>
          <w:bCs/>
        </w:rPr>
        <w:t xml:space="preserve">same fuel increase for both</w:t>
      </w:r>
      <w:r>
        <w:t xml:space="preserve">, so fuel magnitude alone carries</w:t>
      </w:r>
      <w:r>
        <w:t xml:space="preserve"> </w:t>
      </w:r>
      <w:r>
        <w:t xml:space="preserve">no information about the cause. Driver excess adds signal to the kinematic axis; fault excess adds</w:t>
      </w:r>
      <w:r>
        <w:t xml:space="preserve"> </w:t>
      </w:r>
      <w:r>
        <w:t xml:space="preserve">signal to the combustion axis; real-trip deviations supply the confounding noise, and the injected</w:t>
      </w:r>
      <w:r>
        <w:t xml:space="preserve"> </w:t>
      </w:r>
      <w:r>
        <w:t xml:space="preserve">strength S is expressed in units of natural within-vehicle variation. A signature attributor</w:t>
      </w:r>
      <w:r>
        <w:t xml:space="preserve"> </w:t>
      </w:r>
      <w:r>
        <w:t xml:space="preserve">(kinematic and combustion deviations from the vehicle baseline, cross-validated with the vehicle held</w:t>
      </w:r>
      <w:r>
        <w:t xml:space="preserve"> </w:t>
      </w:r>
      <w:r>
        <w:t xml:space="preserve">out) recovers the cause; a fuel-magnitude baseline cannot.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50" name="Picture"/>
            <a:graphic>
              <a:graphicData uri="http://schemas.openxmlformats.org/drawingml/2006/picture">
                <pic:pic>
                  <pic:nvPicPr>
                    <pic:cNvPr descr="figures/fig6_attribution_accurac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Attribution accuracy rises with signature strength and reaches</w:t>
      </w:r>
      <w:r>
        <w:t xml:space="preserve"> </w:t>
      </w:r>
      <w:r>
        <w:rPr>
          <w:b/>
          <w:bCs/>
        </w:rPr>
        <w:t xml:space="preserve">96%</w:t>
      </w:r>
      <w:r>
        <w:t xml:space="preserve"> </w:t>
      </w:r>
      <w:r>
        <w:t xml:space="preserve">at the effect size calibrated to the measured rich-mixture fault (S ≈ 1.66),</w:t>
      </w:r>
      <w:r>
        <w:t xml:space="preserve"> </w:t>
      </w:r>
      <w:r>
        <w:t xml:space="preserve">while the fuel-magnitude baseline stays at chance (50%). Fuel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trip is</w:t>
      </w:r>
      <w:r>
        <w:t xml:space="preserve"> </w:t>
      </w:r>
      <w:r>
        <w:t xml:space="preserve">anomalous; the signature tells you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BodyText"/>
      </w:pPr>
      <w:r>
        <w:t xml:space="preserve">At the bench-calibrated fault magnitude the signature attributor reaches</w:t>
      </w:r>
      <w:r>
        <w:t xml:space="preserve"> </w:t>
      </w:r>
      <w:r>
        <w:rPr>
          <w:b/>
          <w:bCs/>
        </w:rPr>
        <w:t xml:space="preserve">96% accuracy</w:t>
      </w:r>
      <w:r>
        <w:t xml:space="preserve"> </w:t>
      </w:r>
      <w:r>
        <w:t xml:space="preserve">(95% CI [0.956, 0.962], F1 0.959, near-symmetric errors), against a fuel-only baseline pinned at</w:t>
      </w:r>
      <w:r>
        <w:t xml:space="preserve"> </w:t>
      </w:r>
      <w:r>
        <w:t xml:space="preserve">chance. This measures attribution rather than asserting it, and by controlling the injected effect</w:t>
      </w:r>
      <w:r>
        <w:t xml:space="preserve"> </w:t>
      </w:r>
      <w:r>
        <w:t xml:space="preserve">size it sidesteps the trim-blindness of the fleet fuel target and the healthy-fleet range restriction</w:t>
      </w:r>
      <w:r>
        <w:t xml:space="preserve"> </w:t>
      </w:r>
      <w:r>
        <w:t xml:space="preserve">addressed next.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excess-fuel decomposition, two example trips" title="" id="53" name="Picture"/>
            <a:graphic>
              <a:graphicData uri="http://schemas.openxmlformats.org/drawingml/2006/picture">
                <pic:pic>
                  <pic:nvPicPr>
                    <pic:cNvPr descr="figures/fig7_worked_exampl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Two real trips with the same symptom and opposite causes. Trip A burns</w:t>
      </w:r>
      <w:r>
        <w:t xml:space="preserve"> </w:t>
      </w:r>
      <w:r>
        <w:t xml:space="preserve">5.2 L/100km above its gentle-driving baseline, almost all of it driving behaviour; Trip B burns</w:t>
      </w:r>
      <w:r>
        <w:t xml:space="preserve"> </w:t>
      </w:r>
      <w:r>
        <w:t xml:space="preserve">2.8 above baseline, almost all of it a persistent vehicle-baseline offset. Fuel per distance</w:t>
      </w:r>
      <w:r>
        <w:t xml:space="preserve"> </w:t>
      </w:r>
      <w:r>
        <w:t xml:space="preserve">alone cannot tell them apart; the decomposition attributes each to its cause.</w:t>
      </w:r>
    </w:p>
    <w:bookmarkEnd w:id="55"/>
    <w:bookmarkStart w:id="56" w:name="Xb70b62c2f344913f38fcc3ac71a67668c178b99"/>
    <w:p>
      <w:pPr>
        <w:pStyle w:val="Heading3"/>
      </w:pPr>
      <w:r>
        <w:t xml:space="preserve">7.3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finding. Both are ruled</w:t>
      </w:r>
      <w:r>
        <w:t xml:space="preserve"> </w:t>
      </w:r>
      <w:r>
        <w:t xml:space="preserve">out.</w:t>
      </w:r>
      <w:r>
        <w:t xml:space="preserve"> </w:t>
      </w:r>
      <w:r>
        <w:rPr>
          <w:b/>
          <w:bCs/>
        </w:rPr>
        <w:t xml:space="preserve">Trim-blindness</w:t>
      </w:r>
      <w:r>
        <w:t xml:space="preserve">: the fleet fuel target is derived from mass air-flow at stoichiometric</w:t>
      </w:r>
      <w:r>
        <w:t xml:space="preserve"> </w:t>
      </w:r>
      <w:r>
        <w:t xml:space="preserve">ratio, which ignores the trim-driven fuel fraction and could suppress the combustion axis by</w:t>
      </w:r>
      <w:r>
        <w:t xml:space="preserve"> </w:t>
      </w:r>
      <w:r>
        <w:t xml:space="preserve">construction. Re-deriving fuel with the trim correction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MAF×(1+STFT+LTFT)/14.7</w:t>
      </w:r>
      <w:r>
        <w:t xml:space="preserve">) moves the combustion axis on driver-excess only from</w:t>
      </w:r>
      <w:r>
        <w:t xml:space="preserve"> </w:t>
      </w:r>
      <w:r>
        <w:t xml:space="preserve">R² −0.03 to +0.01; it stays silent, because the ignored fraction is small in this healthy</w:t>
      </w:r>
      <w:r>
        <w:t xml:space="preserve"> </w:t>
      </w:r>
      <w:r>
        <w:t xml:space="preserve">fleet (median 1.5%, p90 11%).</w:t>
      </w:r>
      <w:r>
        <w:t xml:space="preserve"> </w:t>
      </w:r>
      <w:r>
        <w:rPr>
          <w:b/>
          <w:bCs/>
        </w:rPr>
        <w:t xml:space="preserve">Range restriction</w:t>
      </w:r>
      <w:r>
        <w:t xml:space="preserve">: if VED simply had no combustion variance, the</w:t>
      </w:r>
      <w:r>
        <w:t xml:space="preserve"> </w:t>
      </w:r>
      <w:r>
        <w:t xml:space="preserve">axis could not correlate with anything. It does have variance (within-vehicle LTFT SD 1.8%, between</w:t>
      </w:r>
      <w:r>
        <w:t xml:space="preserve"> </w:t>
      </w:r>
      <w:r>
        <w:t xml:space="preserve">4.4%); restricting to the highest-trim quartile of vehicles (47 vehicles) still gives a near-zero</w:t>
      </w:r>
      <w:r>
        <w:t xml:space="preserve"> </w:t>
      </w:r>
      <w:r>
        <w:t xml:space="preserve">excess-versus-trim correlation (r −0.14). The silence therefore reflects that driver-caused</w:t>
      </w:r>
      <w:r>
        <w:t xml:space="preserve"> </w:t>
      </w:r>
      <w:r>
        <w:t xml:space="preserve">excess is genuinely not combustion-linked, not a measurement or sampling artifact.</w:t>
      </w:r>
    </w:p>
    <w:bookmarkEnd w:id="56"/>
    <w:bookmarkEnd w:id="57"/>
    <w:bookmarkStart w:id="59" w:name="limits"/>
    <w:p>
      <w:pPr>
        <w:pStyle w:val="Heading2"/>
      </w:pPr>
      <w:r>
        <w:t xml:space="preserve">8. Scope and limitations</w:t>
      </w:r>
    </w:p>
    <w:p>
      <w:pPr>
        <w:pStyle w:val="Compact"/>
        <w:numPr>
          <w:ilvl w:val="0"/>
          <w:numId w:val="1003"/>
        </w:numPr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cross-dataset. The semi-synthetic experiment provides the single-trip competing-cause evaluation</w:t>
      </w:r>
      <w:r>
        <w:t xml:space="preserve"> </w:t>
      </w:r>
      <w:r>
        <w:t xml:space="preserve">that no real dataset supports; a real joint fuel+fault+behaviour benchmark remains a community need.</w:t>
      </w:r>
    </w:p>
    <w:p>
      <w:pPr>
        <w:pStyle w:val="Compact"/>
        <w:numPr>
          <w:ilvl w:val="0"/>
          <w:numId w:val="1003"/>
        </w:numPr>
      </w:pPr>
      <w:r>
        <w:t xml:space="preserve">VED has effectively one driver per vehicle, so per-trip driver-versus-vehicle causation is not</w:t>
      </w:r>
      <w:r>
        <w:t xml:space="preserve"> </w:t>
      </w:r>
      <w:r>
        <w:t xml:space="preserve">identifiable at the unit level from observation alone; the decomposition is model-based and its</w:t>
      </w:r>
      <w:r>
        <w:t xml:space="preserve"> </w:t>
      </w:r>
      <w:r>
        <w:t xml:space="preserve">attribution is validated on injected ground truth.</w:t>
      </w:r>
    </w:p>
    <w:p>
      <w:pPr>
        <w:pStyle w:val="Compact"/>
        <w:numPr>
          <w:ilvl w:val="0"/>
          <w:numId w:val="1003"/>
        </w:numPr>
      </w:pPr>
      <w:r>
        <w:t xml:space="preserve">EngineFaultDB is a controlled test bench with no driver context; the fuel-relevant fault is the</w:t>
      </w:r>
      <w:r>
        <w:t xml:space="preserve"> </w:t>
      </w:r>
      <w:r>
        <w:t xml:space="preserve">rich mixture. The lean-versus-ignition label mapping is taken from the source paper's text.</w:t>
      </w:r>
    </w:p>
    <w:p>
      <w:pPr>
        <w:pStyle w:val="Compact"/>
        <w:numPr>
          <w:ilvl w:val="0"/>
          <w:numId w:val="1003"/>
        </w:numPr>
      </w:pPr>
      <w:r>
        <w:t xml:space="preserve">Telematics are resampled to 1 Hz; fine transient dynamics are smoothed. The behaviour-axis</w:t>
      </w:r>
      <w:r>
        <w:t xml:space="preserve"> </w:t>
      </w:r>
      <w:r>
        <w:t xml:space="preserve">transfer is shown for amplitude features across sensing regimes, not for the exact VED feature set.</w:t>
      </w:r>
    </w:p>
    <w:p>
      <w:pPr>
        <w:pStyle w:val="Compact"/>
        <w:numPr>
          <w:ilvl w:val="0"/>
          <w:numId w:val="1003"/>
        </w:numPr>
      </w:pPr>
      <w:r>
        <w:t xml:space="preserve">The semi-synthetic injection assumes additive, axis-separable effects; real faults may co-move</w:t>
      </w:r>
      <w:r>
        <w:t xml:space="preserve"> </w:t>
      </w:r>
      <w:r>
        <w:t xml:space="preserve">both axes, which would make attribution harder than the controlled estimate.</w:t>
      </w:r>
    </w:p>
    <w:bookmarkStart w:id="58" w:name="responsible-use"/>
    <w:p>
      <w:pPr>
        <w:pStyle w:val="Heading3"/>
      </w:pPr>
      <w:r>
        <w:t xml:space="preserve">8.1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 (or the reverse)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58"/>
    <w:bookmarkEnd w:id="59"/>
    <w:bookmarkStart w:id="63" w:name="repro"/>
    <w:p>
      <w:pPr>
        <w:pStyle w:val="Heading2"/>
      </w:pPr>
      <w:r>
        <w:t xml:space="preserve">9. Reproducibility</w:t>
      </w:r>
    </w:p>
    <w:p>
      <w:pPr>
        <w:pStyle w:val="FirstParagraph"/>
      </w:pPr>
      <w:r>
        <w:t xml:space="preserve">Pipeline scripts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scripts/p6_attribution.py</w:t>
      </w:r>
      <w:r>
        <w:t xml:space="preserve">), the phase plan (</w:t>
      </w:r>
      <w:r>
        <w:rPr>
          <w:rStyle w:val="VerbatimChar"/>
        </w:rPr>
        <w:t xml:space="preserve">PLAN.md</w:t>
      </w:r>
      <w:r>
        <w:t xml:space="preserve">), the full results 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RESULTS.md</w:t>
      </w:r>
      <w:r>
        <w:t xml:space="preserve">), and diagnostic notes (</w:t>
      </w:r>
      <w:r>
        <w:rPr>
          <w:rStyle w:val="VerbatimChar"/>
        </w:rPr>
        <w:t xml:space="preserve">diagnostics/</w:t>
      </w:r>
      <w:r>
        <w:t xml:space="preserve">) accompany this repository.</w:t>
      </w:r>
      <w:r>
        <w:t xml:space="preserve"> </w:t>
      </w:r>
      <w:r>
        <w:t xml:space="preserve">Datasets are obtained from their original sources (VED, EngineFaultDB, Zenodo 6570972) and are</w:t>
      </w:r>
      <w:r>
        <w:t xml:space="preserve"> </w:t>
      </w:r>
      <w:r>
        <w:t xml:space="preserve">not redistributed here.</w:t>
      </w:r>
    </w:p>
    <w:p>
      <w:pPr>
        <w:pStyle w:val="BodyText"/>
      </w:pPr>
      <w:r>
        <w:t xml:space="preserve">Environment: Python 3.14, scikit-learn 1.8, pandas 2.3, scipy 1.17, pyarrow. Datasets:</w:t>
      </w:r>
      <w:r>
        <w:t xml:space="preserve"> </w:t>
      </w:r>
      <w:r>
        <w:t xml:space="preserve">VED</w:t>
      </w:r>
      <w:r>
        <w:t xml:space="preserve"> </w:t>
      </w:r>
      <w:hyperlink r:id="rId60">
        <w:r>
          <w:rPr>
            <w:rStyle w:val="Hyperlink"/>
          </w:rPr>
          <w:t xml:space="preserve">github.com/gsoh/VED</w:t>
        </w:r>
      </w:hyperlink>
      <w:r>
        <w:t xml:space="preserve">;</w:t>
      </w:r>
      <w:r>
        <w:t xml:space="preserve"> </w:t>
      </w:r>
      <w:r>
        <w:t xml:space="preserve">EngineFaultDB</w:t>
      </w:r>
      <w:r>
        <w:t xml:space="preserve"> </w:t>
      </w:r>
      <w:hyperlink r:id="rId61">
        <w:r>
          <w:rPr>
            <w:rStyle w:val="Hyperlink"/>
          </w:rPr>
          <w:t xml:space="preserve">github.com/leoxthomas/EngineFaultDB</w:t>
        </w:r>
      </w:hyperlink>
      <w:r>
        <w:t xml:space="preserve">;</w:t>
      </w:r>
      <w:r>
        <w:t xml:space="preserve"> </w:t>
      </w:r>
      <w:r>
        <w:t xml:space="preserve">Driving Events</w:t>
      </w:r>
      <w:r>
        <w:t xml:space="preserve"> </w:t>
      </w:r>
      <w:hyperlink r:id="rId62">
        <w:r>
          <w:rPr>
            <w:rStyle w:val="Hyperlink"/>
          </w:rPr>
          <w:t xml:space="preserve">zenodo.org/records/6570972</w:t>
        </w:r>
      </w:hyperlink>
      <w:r>
        <w:t xml:space="preserve">.</w:t>
      </w:r>
      <w:r>
        <w:t xml:space="preserve"> </w:t>
      </w:r>
      <w:r>
        <w:t xml:space="preserve">Place them under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scripts/p7_baselines.py</w:t>
      </w:r>
      <w:r>
        <w:t xml:space="preserve"> </w:t>
      </w:r>
      <w:r>
        <w:t xml:space="preserve">in order. Every number on this page traces to one of these</w:t>
      </w:r>
      <w:r>
        <w:t xml:space="preserve"> </w:t>
      </w:r>
      <w:r>
        <w:t xml:space="preserve">scripts and 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bookmarkEnd w:id="63"/>
    <w:bookmarkStart w:id="109" w:name="refs"/>
    <w:p>
      <w:pPr>
        <w:pStyle w:val="Heading2"/>
      </w:pPr>
      <w:r>
        <w:t xml:space="preserve">10. References</w:t>
      </w:r>
    </w:p>
    <w:p>
      <w:pPr>
        <w:pStyle w:val="Bibliography"/>
      </w:pPr>
      <w:r>
        <w:t xml:space="preserve">All entries validated against Crossref/OpenAlex/DataCite (bibtest).</w:t>
      </w:r>
    </w:p>
    <w:p>
      <w:pPr>
        <w:pStyle w:val="Compact"/>
        <w:numPr>
          <w:ilvl w:val="0"/>
          <w:numId w:val="1004"/>
        </w:numPr>
      </w:pPr>
      <w:bookmarkStart w:id="65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64">
        <w:r>
          <w:rPr>
            <w:rStyle w:val="Hyperlink"/>
          </w:rPr>
          <w:t xml:space="preserve">10.1109/TITS.2020.3035596</w:t>
        </w:r>
      </w:hyperlink>
      <w:bookmarkEnd w:id="65"/>
    </w:p>
    <w:p>
      <w:pPr>
        <w:pStyle w:val="Compact"/>
        <w:numPr>
          <w:ilvl w:val="0"/>
          <w:numId w:val="1004"/>
        </w:numPr>
      </w:pPr>
      <w:bookmarkStart w:id="67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66">
        <w:r>
          <w:rPr>
            <w:rStyle w:val="Hyperlink"/>
          </w:rPr>
          <w:t xml:space="preserve">10.1109/ACCESS.2023.3331316</w:t>
        </w:r>
      </w:hyperlink>
      <w:bookmarkEnd w:id="67"/>
    </w:p>
    <w:p>
      <w:pPr>
        <w:pStyle w:val="Compact"/>
        <w:numPr>
          <w:ilvl w:val="0"/>
          <w:numId w:val="1004"/>
        </w:numPr>
      </w:pPr>
      <w:bookmarkStart w:id="69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68">
        <w:r>
          <w:rPr>
            <w:rStyle w:val="Hyperlink"/>
          </w:rPr>
          <w:t xml:space="preserve">10.1016/j.engappai.2022.105222</w:t>
        </w:r>
      </w:hyperlink>
      <w:bookmarkEnd w:id="69"/>
    </w:p>
    <w:p>
      <w:pPr>
        <w:pStyle w:val="Compact"/>
        <w:numPr>
          <w:ilvl w:val="0"/>
          <w:numId w:val="1004"/>
        </w:numPr>
      </w:pPr>
      <w:bookmarkStart w:id="71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70">
        <w:r>
          <w:rPr>
            <w:rStyle w:val="Hyperlink"/>
          </w:rPr>
          <w:t xml:space="preserve">10.1177/09544070231185609</w:t>
        </w:r>
      </w:hyperlink>
      <w:bookmarkEnd w:id="71"/>
    </w:p>
    <w:p>
      <w:pPr>
        <w:pStyle w:val="Compact"/>
        <w:numPr>
          <w:ilvl w:val="0"/>
          <w:numId w:val="1004"/>
        </w:numPr>
      </w:pPr>
      <w:bookmarkStart w:id="73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72">
        <w:r>
          <w:rPr>
            <w:rStyle w:val="Hyperlink"/>
          </w:rPr>
          <w:t xml:space="preserve">10.3390/su13010226</w:t>
        </w:r>
      </w:hyperlink>
      <w:bookmarkEnd w:id="73"/>
    </w:p>
    <w:p>
      <w:pPr>
        <w:pStyle w:val="Compact"/>
        <w:numPr>
          <w:ilvl w:val="0"/>
          <w:numId w:val="1004"/>
        </w:numPr>
      </w:pPr>
      <w:bookmarkStart w:id="75" w:name="r6"/>
      <w:r>
        <w:t xml:space="preserve">J. Vieira et al. Driving Events Dataset. Zenodo, 2022.</w:t>
      </w:r>
      <w:r>
        <w:t xml:space="preserve"> </w:t>
      </w:r>
      <w:hyperlink r:id="rId74">
        <w:r>
          <w:rPr>
            <w:rStyle w:val="Hyperlink"/>
          </w:rPr>
          <w:t xml:space="preserve">10.5281/zenodo.6570972</w:t>
        </w:r>
      </w:hyperlink>
      <w:bookmarkEnd w:id="75"/>
    </w:p>
    <w:p>
      <w:pPr>
        <w:pStyle w:val="Compact"/>
        <w:numPr>
          <w:ilvl w:val="0"/>
          <w:numId w:val="1004"/>
        </w:numPr>
      </w:pPr>
      <w:bookmarkStart w:id="76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76"/>
    </w:p>
    <w:p>
      <w:pPr>
        <w:pStyle w:val="Compact"/>
        <w:numPr>
          <w:ilvl w:val="0"/>
          <w:numId w:val="1004"/>
        </w:numPr>
      </w:pPr>
      <w:bookmarkStart w:id="78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77">
        <w:r>
          <w:rPr>
            <w:rStyle w:val="Hyperlink"/>
          </w:rPr>
          <w:t xml:space="preserve">10.1061/(ASCE)0733-947X(2002)128:2(182)</w:t>
        </w:r>
      </w:hyperlink>
      <w:bookmarkEnd w:id="78"/>
    </w:p>
    <w:p>
      <w:pPr>
        <w:pStyle w:val="Compact"/>
        <w:numPr>
          <w:ilvl w:val="0"/>
          <w:numId w:val="1004"/>
        </w:numPr>
      </w:pPr>
      <w:bookmarkStart w:id="80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79">
        <w:r>
          <w:rPr>
            <w:rStyle w:val="Hyperlink"/>
          </w:rPr>
          <w:t xml:space="preserve">10.1155/2020/9450178</w:t>
        </w:r>
      </w:hyperlink>
      <w:bookmarkEnd w:id="80"/>
    </w:p>
    <w:p>
      <w:pPr>
        <w:pStyle w:val="Compact"/>
        <w:numPr>
          <w:ilvl w:val="0"/>
          <w:numId w:val="1004"/>
        </w:numPr>
      </w:pPr>
      <w:bookmarkStart w:id="82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81">
        <w:r>
          <w:rPr>
            <w:rStyle w:val="Hyperlink"/>
          </w:rPr>
          <w:t xml:space="preserve">10.48550/arXiv.2410.09741</w:t>
        </w:r>
      </w:hyperlink>
      <w:bookmarkEnd w:id="82"/>
    </w:p>
    <w:p>
      <w:pPr>
        <w:pStyle w:val="Compact"/>
        <w:numPr>
          <w:ilvl w:val="0"/>
          <w:numId w:val="1004"/>
        </w:numPr>
      </w:pPr>
      <w:bookmarkStart w:id="84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83">
        <w:r>
          <w:rPr>
            <w:rStyle w:val="Hyperlink"/>
          </w:rPr>
          <w:t xml:space="preserve">10.1016/j.trd.2011.05.008</w:t>
        </w:r>
      </w:hyperlink>
      <w:bookmarkEnd w:id="84"/>
    </w:p>
    <w:p>
      <w:pPr>
        <w:pStyle w:val="Compact"/>
        <w:numPr>
          <w:ilvl w:val="0"/>
          <w:numId w:val="1004"/>
        </w:numPr>
      </w:pPr>
      <w:bookmarkStart w:id="86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85">
        <w:r>
          <w:rPr>
            <w:rStyle w:val="Hyperlink"/>
          </w:rPr>
          <w:t xml:space="preserve">10.1109/ACCESS.2019.2920489</w:t>
        </w:r>
      </w:hyperlink>
      <w:bookmarkEnd w:id="86"/>
    </w:p>
    <w:p>
      <w:pPr>
        <w:pStyle w:val="Compact"/>
        <w:numPr>
          <w:ilvl w:val="0"/>
          <w:numId w:val="1004"/>
        </w:numPr>
      </w:pPr>
      <w:bookmarkStart w:id="88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87">
        <w:r>
          <w:rPr>
            <w:rStyle w:val="Hyperlink"/>
          </w:rPr>
          <w:t xml:space="preserve">10.1016/j.trd.2023.104025</w:t>
        </w:r>
      </w:hyperlink>
      <w:bookmarkEnd w:id="88"/>
    </w:p>
    <w:p>
      <w:pPr>
        <w:pStyle w:val="Compact"/>
        <w:numPr>
          <w:ilvl w:val="0"/>
          <w:numId w:val="1004"/>
        </w:numPr>
      </w:pPr>
      <w:bookmarkStart w:id="90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89">
        <w:r>
          <w:rPr>
            <w:rStyle w:val="Hyperlink"/>
          </w:rPr>
          <w:t xml:space="preserve">10.1109/ITSC.2011.6083078</w:t>
        </w:r>
      </w:hyperlink>
      <w:bookmarkEnd w:id="90"/>
    </w:p>
    <w:p>
      <w:pPr>
        <w:pStyle w:val="Compact"/>
        <w:numPr>
          <w:ilvl w:val="0"/>
          <w:numId w:val="1004"/>
        </w:numPr>
      </w:pPr>
      <w:bookmarkStart w:id="92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91">
        <w:r>
          <w:rPr>
            <w:rStyle w:val="Hyperlink"/>
          </w:rPr>
          <w:t xml:space="preserve">10.1016/j.treng.2026.100436</w:t>
        </w:r>
      </w:hyperlink>
      <w:bookmarkEnd w:id="92"/>
    </w:p>
    <w:p>
      <w:pPr>
        <w:pStyle w:val="Compact"/>
        <w:numPr>
          <w:ilvl w:val="0"/>
          <w:numId w:val="1004"/>
        </w:numPr>
      </w:pPr>
      <w:bookmarkStart w:id="94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93">
        <w:r>
          <w:rPr>
            <w:rStyle w:val="Hyperlink"/>
          </w:rPr>
          <w:t xml:space="preserve">10.1016/j.engappai.2022.105524</w:t>
        </w:r>
      </w:hyperlink>
      <w:bookmarkEnd w:id="94"/>
    </w:p>
    <w:p>
      <w:pPr>
        <w:pStyle w:val="Compact"/>
        <w:numPr>
          <w:ilvl w:val="0"/>
          <w:numId w:val="1004"/>
        </w:numPr>
      </w:pPr>
      <w:bookmarkStart w:id="96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95">
        <w:r>
          <w:rPr>
            <w:rStyle w:val="Hyperlink"/>
          </w:rPr>
          <w:t xml:space="preserve">10.1016/j.measurement.2018.03.006</w:t>
        </w:r>
      </w:hyperlink>
      <w:bookmarkEnd w:id="96"/>
    </w:p>
    <w:p>
      <w:pPr>
        <w:pStyle w:val="Compact"/>
        <w:numPr>
          <w:ilvl w:val="0"/>
          <w:numId w:val="1004"/>
        </w:numPr>
      </w:pPr>
      <w:bookmarkStart w:id="98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97">
        <w:r>
          <w:rPr>
            <w:rStyle w:val="Hyperlink"/>
          </w:rPr>
          <w:t xml:space="preserve">10.3390/s22187072</w:t>
        </w:r>
      </w:hyperlink>
      <w:bookmarkEnd w:id="98"/>
    </w:p>
    <w:p>
      <w:pPr>
        <w:pStyle w:val="Compact"/>
        <w:numPr>
          <w:ilvl w:val="0"/>
          <w:numId w:val="1004"/>
        </w:numPr>
      </w:pPr>
      <w:bookmarkStart w:id="100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99">
        <w:r>
          <w:rPr>
            <w:rStyle w:val="Hyperlink"/>
          </w:rPr>
          <w:t xml:space="preserve">10.1109/ICDM.2008.17</w:t>
        </w:r>
      </w:hyperlink>
      <w:bookmarkEnd w:id="100"/>
    </w:p>
    <w:p>
      <w:pPr>
        <w:pStyle w:val="Compact"/>
        <w:numPr>
          <w:ilvl w:val="0"/>
          <w:numId w:val="1004"/>
        </w:numPr>
      </w:pPr>
      <w:bookmarkStart w:id="102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01">
        <w:r>
          <w:rPr>
            <w:rStyle w:val="Hyperlink"/>
          </w:rPr>
          <w:t xml:space="preserve">10.1109/TNSM.2020.3038991</w:t>
        </w:r>
      </w:hyperlink>
      <w:bookmarkEnd w:id="102"/>
    </w:p>
    <w:p>
      <w:pPr>
        <w:pStyle w:val="Compact"/>
        <w:numPr>
          <w:ilvl w:val="0"/>
          <w:numId w:val="1004"/>
        </w:numPr>
      </w:pPr>
      <w:bookmarkStart w:id="104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03">
        <w:r>
          <w:rPr>
            <w:rStyle w:val="Hyperlink"/>
          </w:rPr>
          <w:t xml:space="preserve">10.1109/TCAD.2020.3012749</w:t>
        </w:r>
      </w:hyperlink>
      <w:bookmarkEnd w:id="104"/>
    </w:p>
    <w:p>
      <w:pPr>
        <w:pStyle w:val="Compact"/>
        <w:numPr>
          <w:ilvl w:val="0"/>
          <w:numId w:val="1004"/>
        </w:numPr>
      </w:pPr>
      <w:bookmarkStart w:id="106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05">
        <w:r>
          <w:rPr>
            <w:rStyle w:val="Hyperlink"/>
          </w:rPr>
          <w:t xml:space="preserve">10.1109/TITS.2023.3286611</w:t>
        </w:r>
      </w:hyperlink>
      <w:bookmarkEnd w:id="106"/>
    </w:p>
    <w:p>
      <w:pPr>
        <w:pStyle w:val="Compact"/>
        <w:numPr>
          <w:ilvl w:val="0"/>
          <w:numId w:val="1004"/>
        </w:numPr>
      </w:pPr>
      <w:bookmarkStart w:id="108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07">
        <w:r>
          <w:rPr>
            <w:rStyle w:val="Hyperlink"/>
          </w:rPr>
          <w:t xml:space="preserve">10.48550/arXiv.1705.07874</w:t>
        </w:r>
      </w:hyperlink>
      <w:bookmarkEnd w:id="108"/>
    </w:p>
    <w:p>
      <w:pPr>
        <w:pStyle w:val="Bibliography"/>
      </w:pPr>
      <w:r>
        <w:t xml:space="preserve">Generated as a working skeleton. Every filled number traces to 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 © 2026 Alexander Partsin.</w:t>
      </w:r>
    </w:p>
    <w:bookmarkEnd w:id="10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5" Target="media/rId45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hyperlink" Id="rId68" Target="https://doi.org/10.1016/j.engappai.2022.105222" TargetMode="External" /><Relationship Type="http://schemas.openxmlformats.org/officeDocument/2006/relationships/hyperlink" Id="rId93" Target="https://doi.org/10.1016/j.engappai.2022.105524" TargetMode="External" /><Relationship Type="http://schemas.openxmlformats.org/officeDocument/2006/relationships/hyperlink" Id="rId95" Target="https://doi.org/10.1016/j.measurement.2018.03.006" TargetMode="External" /><Relationship Type="http://schemas.openxmlformats.org/officeDocument/2006/relationships/hyperlink" Id="rId83" Target="https://doi.org/10.1016/j.trd.2011.05.008" TargetMode="External" /><Relationship Type="http://schemas.openxmlformats.org/officeDocument/2006/relationships/hyperlink" Id="rId87" Target="https://doi.org/10.1016/j.trd.2023.104025" TargetMode="External" /><Relationship Type="http://schemas.openxmlformats.org/officeDocument/2006/relationships/hyperlink" Id="rId91" Target="https://doi.org/10.1016/j.treng.2026.100436" TargetMode="External" /><Relationship Type="http://schemas.openxmlformats.org/officeDocument/2006/relationships/hyperlink" Id="rId77" Target="https://doi.org/10.1061/(ASCE)0733-947X(2002)128:2(182)" TargetMode="External" /><Relationship Type="http://schemas.openxmlformats.org/officeDocument/2006/relationships/hyperlink" Id="rId85" Target="https://doi.org/10.1109/ACCESS.2019.2920489" TargetMode="External" /><Relationship Type="http://schemas.openxmlformats.org/officeDocument/2006/relationships/hyperlink" Id="rId66" Target="https://doi.org/10.1109/ACCESS.2023.3331316" TargetMode="External" /><Relationship Type="http://schemas.openxmlformats.org/officeDocument/2006/relationships/hyperlink" Id="rId99" Target="https://doi.org/10.1109/ICDM.2008.17" TargetMode="External" /><Relationship Type="http://schemas.openxmlformats.org/officeDocument/2006/relationships/hyperlink" Id="rId89" Target="https://doi.org/10.1109/ITSC.2011.6083078" TargetMode="External" /><Relationship Type="http://schemas.openxmlformats.org/officeDocument/2006/relationships/hyperlink" Id="rId103" Target="https://doi.org/10.1109/TCAD.2020.3012749" TargetMode="External" /><Relationship Type="http://schemas.openxmlformats.org/officeDocument/2006/relationships/hyperlink" Id="rId64" Target="https://doi.org/10.1109/TITS.2020.3035596" TargetMode="External" /><Relationship Type="http://schemas.openxmlformats.org/officeDocument/2006/relationships/hyperlink" Id="rId105" Target="https://doi.org/10.1109/TITS.2023.3286611" TargetMode="External" /><Relationship Type="http://schemas.openxmlformats.org/officeDocument/2006/relationships/hyperlink" Id="rId101" Target="https://doi.org/10.1109/TNSM.2020.3038991" TargetMode="External" /><Relationship Type="http://schemas.openxmlformats.org/officeDocument/2006/relationships/hyperlink" Id="rId79" Target="https://doi.org/10.1155/2020/9450178" TargetMode="External" /><Relationship Type="http://schemas.openxmlformats.org/officeDocument/2006/relationships/hyperlink" Id="rId70" Target="https://doi.org/10.1177/09544070231185609" TargetMode="External" /><Relationship Type="http://schemas.openxmlformats.org/officeDocument/2006/relationships/hyperlink" Id="rId97" Target="https://doi.org/10.3390/s22187072" TargetMode="External" /><Relationship Type="http://schemas.openxmlformats.org/officeDocument/2006/relationships/hyperlink" Id="rId72" Target="https://doi.org/10.3390/su13010226" TargetMode="External" /><Relationship Type="http://schemas.openxmlformats.org/officeDocument/2006/relationships/hyperlink" Id="rId107" Target="https://doi.org/10.48550/arXiv.1705.07874" TargetMode="External" /><Relationship Type="http://schemas.openxmlformats.org/officeDocument/2006/relationships/hyperlink" Id="rId81" Target="https://doi.org/10.48550/arXiv.2410.09741" TargetMode="External" /><Relationship Type="http://schemas.openxmlformats.org/officeDocument/2006/relationships/hyperlink" Id="rId74" Target="https://doi.org/10.5281/zenodo.6570972" TargetMode="External" /><Relationship Type="http://schemas.openxmlformats.org/officeDocument/2006/relationships/hyperlink" Id="rId60" Target="https://github.com/gsoh/VED" TargetMode="External" /><Relationship Type="http://schemas.openxmlformats.org/officeDocument/2006/relationships/hyperlink" Id="rId61" Target="https://github.com/leoxthomas/EngineFaultDB" TargetMode="External" /><Relationship Type="http://schemas.openxmlformats.org/officeDocument/2006/relationships/hyperlink" Id="rId62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16/j.engappai.2022.105222" TargetMode="External" /><Relationship Type="http://schemas.openxmlformats.org/officeDocument/2006/relationships/hyperlink" Id="rId93" Target="https://doi.org/10.1016/j.engappai.2022.105524" TargetMode="External" /><Relationship Type="http://schemas.openxmlformats.org/officeDocument/2006/relationships/hyperlink" Id="rId95" Target="https://doi.org/10.1016/j.measurement.2018.03.006" TargetMode="External" /><Relationship Type="http://schemas.openxmlformats.org/officeDocument/2006/relationships/hyperlink" Id="rId83" Target="https://doi.org/10.1016/j.trd.2011.05.008" TargetMode="External" /><Relationship Type="http://schemas.openxmlformats.org/officeDocument/2006/relationships/hyperlink" Id="rId87" Target="https://doi.org/10.1016/j.trd.2023.104025" TargetMode="External" /><Relationship Type="http://schemas.openxmlformats.org/officeDocument/2006/relationships/hyperlink" Id="rId91" Target="https://doi.org/10.1016/j.treng.2026.100436" TargetMode="External" /><Relationship Type="http://schemas.openxmlformats.org/officeDocument/2006/relationships/hyperlink" Id="rId77" Target="https://doi.org/10.1061/(ASCE)0733-947X(2002)128:2(182)" TargetMode="External" /><Relationship Type="http://schemas.openxmlformats.org/officeDocument/2006/relationships/hyperlink" Id="rId85" Target="https://doi.org/10.1109/ACCESS.2019.2920489" TargetMode="External" /><Relationship Type="http://schemas.openxmlformats.org/officeDocument/2006/relationships/hyperlink" Id="rId66" Target="https://doi.org/10.1109/ACCESS.2023.3331316" TargetMode="External" /><Relationship Type="http://schemas.openxmlformats.org/officeDocument/2006/relationships/hyperlink" Id="rId99" Target="https://doi.org/10.1109/ICDM.2008.17" TargetMode="External" /><Relationship Type="http://schemas.openxmlformats.org/officeDocument/2006/relationships/hyperlink" Id="rId89" Target="https://doi.org/10.1109/ITSC.2011.6083078" TargetMode="External" /><Relationship Type="http://schemas.openxmlformats.org/officeDocument/2006/relationships/hyperlink" Id="rId103" Target="https://doi.org/10.1109/TCAD.2020.3012749" TargetMode="External" /><Relationship Type="http://schemas.openxmlformats.org/officeDocument/2006/relationships/hyperlink" Id="rId64" Target="https://doi.org/10.1109/TITS.2020.3035596" TargetMode="External" /><Relationship Type="http://schemas.openxmlformats.org/officeDocument/2006/relationships/hyperlink" Id="rId105" Target="https://doi.org/10.1109/TITS.2023.3286611" TargetMode="External" /><Relationship Type="http://schemas.openxmlformats.org/officeDocument/2006/relationships/hyperlink" Id="rId101" Target="https://doi.org/10.1109/TNSM.2020.3038991" TargetMode="External" /><Relationship Type="http://schemas.openxmlformats.org/officeDocument/2006/relationships/hyperlink" Id="rId79" Target="https://doi.org/10.1155/2020/9450178" TargetMode="External" /><Relationship Type="http://schemas.openxmlformats.org/officeDocument/2006/relationships/hyperlink" Id="rId70" Target="https://doi.org/10.1177/09544070231185609" TargetMode="External" /><Relationship Type="http://schemas.openxmlformats.org/officeDocument/2006/relationships/hyperlink" Id="rId97" Target="https://doi.org/10.3390/s22187072" TargetMode="External" /><Relationship Type="http://schemas.openxmlformats.org/officeDocument/2006/relationships/hyperlink" Id="rId72" Target="https://doi.org/10.3390/su13010226" TargetMode="External" /><Relationship Type="http://schemas.openxmlformats.org/officeDocument/2006/relationships/hyperlink" Id="rId107" Target="https://doi.org/10.48550/arXiv.1705.07874" TargetMode="External" /><Relationship Type="http://schemas.openxmlformats.org/officeDocument/2006/relationships/hyperlink" Id="rId81" Target="https://doi.org/10.48550/arXiv.2410.09741" TargetMode="External" /><Relationship Type="http://schemas.openxmlformats.org/officeDocument/2006/relationships/hyperlink" Id="rId74" Target="https://doi.org/10.5281/zenodo.6570972" TargetMode="External" /><Relationship Type="http://schemas.openxmlformats.org/officeDocument/2006/relationships/hyperlink" Id="rId60" Target="https://github.com/gsoh/VED" TargetMode="External" /><Relationship Type="http://schemas.openxmlformats.org/officeDocument/2006/relationships/hyperlink" Id="rId61" Target="https://github.com/leoxthomas/EngineFaultDB" TargetMode="External" /><Relationship Type="http://schemas.openxmlformats.org/officeDocument/2006/relationships/hyperlink" Id="rId62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Signature-Based Attribution of Excess Fuel Consumption</dc:title>
  <dc:creator/>
  <dc:language>en</dc:language>
  <cp:keywords/>
  <dcterms:created xsi:type="dcterms:W3CDTF">2026-08-29T10:53:25Z</dcterms:created>
  <dcterms:modified xsi:type="dcterms:W3CDTF">2026-08-29T10:53:25Z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