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95.9%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</w:t>
      </w:r>
      <w:r>
        <w:t xml:space="preserve"> </w:t>
      </w:r>
      <w:r>
        <w:t xml:space="preserve">kinematic signature validated on labelled driving (Section 6.3), and cause B is a rich-mixture fault</w:t>
      </w:r>
      <w:r>
        <w:t xml:space="preserve"> </w:t>
      </w:r>
      <w:r>
        <w:t xml:space="preserve">with a fueling/combustion signature validated on the engine bench (Section 7).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2"/>
    <w:bookmarkStart w:id="76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, essentially equal to the trained upper bound (0.886 vs 0.886) and far above the</w:t>
      </w:r>
      <w:r>
        <w:t xml:space="preserve"> </w:t>
      </w:r>
      <w:r>
        <w:t xml:space="preserve">fuel-only chance level; the two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trades</w:t>
      </w:r>
      <w:r>
        <w:t xml:space="preserve"> </w:t>
      </w:r>
      <w:r>
        <w:t xml:space="preserve">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</w:t>
      </w:r>
      <w:r>
        <w:t xml:space="preserve"> </w:t>
      </w:r>
      <w:r>
        <w:t xml:space="preserve">(no injection-label training) matches the trained upper bound; fuel magnitude alone stays at chance.</w:t>
      </w:r>
    </w:p>
    <w:p>
      <w:pPr>
        <w:pStyle w:val="BodyText"/>
      </w:pPr>
      <w:r>
        <w:t xml:space="preserve">The real world does not present pure one-axis changes, so we stress the frozen rule. When both causes</w:t>
      </w:r>
      <w:r>
        <w:t xml:space="preserve"> </w:t>
      </w:r>
      <w:r>
        <w:t xml:space="preserve">act at once, we score dominant-cause accuracy over a grid of driver and fault effect sizes (Figure 8):</w:t>
      </w:r>
      <w:r>
        <w:t xml:space="preserve"> </w:t>
      </w:r>
      <w:r>
        <w:t xml:space="preserve">attribution is accurate off the diagonal and degrades to chance only where the two effects are equal</w:t>
      </w:r>
      <w:r>
        <w:t xml:space="preserve"> </w:t>
      </w:r>
      <w:r>
        <w:t xml:space="preserve">and the cause is genuinely ambiguous. The rule degrades gracefully under departures from ideal</w:t>
      </w:r>
      <w:r>
        <w:t xml:space="preserve"> </w:t>
      </w:r>
      <w:r>
        <w:t xml:space="preserve">conditions at the bench magnitude: additive Gaussian score noise takes accuracy from 0.886 to 0.80</w:t>
      </w:r>
      <w:r>
        <w:t xml:space="preserve"> </w:t>
      </w:r>
      <w:r>
        <w:t xml:space="preserve">(1 SD) and 0.74 (1.5 SD); a systematic combustion-score bias to 0.83 (1 SD); and dropping the</w:t>
      </w:r>
      <w:r>
        <w:t xml:space="preserve"> </w:t>
      </w:r>
      <w:r>
        <w:t xml:space="preserve">fuel-trim channel for a fraction of trips to 0.85 (20% missing) and 0.80 (50%). As a probabilistic</w:t>
      </w:r>
      <w:r>
        <w:t xml:space="preserve"> </w:t>
      </w:r>
      <w:r>
        <w:t xml:space="preserve">scorer (the sigmoid of the score margin) the frozen rule reaches AUROC 0.951, average precision 0.945,</w:t>
      </w:r>
      <w:r>
        <w:t xml:space="preserve"> </w:t>
      </w:r>
      <w:r>
        <w:t xml:space="preserve">and a Brier score of 0.092 at the bench magnitude.</w:t>
      </w:r>
    </w:p>
    <w:p>
      <w:pPr>
        <w:pStyle w:val="CaptionedFigure"/>
      </w:pPr>
      <w:r>
        <w:drawing>
          <wp:inline>
            <wp:extent cx="4261104" cy="3608832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4" cy="360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effect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. Attribution is reliable off the diagonal and falls to chance only</w:t>
      </w:r>
      <w:r>
        <w:t xml:space="preserve"> </w:t>
      </w:r>
      <w:r>
        <w:t xml:space="preserve">where the two effects are equal.</w:t>
      </w:r>
    </w:p>
    <w:p>
      <w:pPr>
        <w:pStyle w:val="BodyText"/>
      </w:pPr>
      <w:r>
        <w:t xml:space="preserve">Attribution is not an artifact of one classifier. At the bench magnitude, task-aligned baselines all</w:t>
      </w:r>
      <w:r>
        <w:t xml:space="preserve"> </w:t>
      </w:r>
      <w:r>
        <w:t xml:space="preserve">cluster near the frozen rule and far above chance (Table 8): a raw-threshold rule on harsh-event rate</w:t>
      </w:r>
      <w:r>
        <w:t xml:space="preserve"> </w:t>
      </w:r>
      <w:r>
        <w:t xml:space="preserve">versus fuel trim reaches 0.89, a likelihood-ratio prototype against source-calibrated signature</w:t>
      </w:r>
      <w:r>
        <w:t xml:space="preserve"> </w:t>
      </w:r>
      <w:r>
        <w:t xml:space="preserve">distributions 0.89, and a classifier trained on all features and the injection labels sets the upper</w:t>
      </w:r>
      <w:r>
        <w:t xml:space="preserve"> </w:t>
      </w:r>
      <w:r>
        <w:t xml:space="preserve">bound at 0.95, while the fuel-only baseline stays at 0.51. The signature separation, not the choice of</w:t>
      </w:r>
      <w:r>
        <w:t xml:space="preserve"> </w:t>
      </w:r>
      <w:r>
        <w:t xml:space="preserve">attributor, is what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(at bench magnitude)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Raw-threshold rule (harsh rate vs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full-feature logistic (upper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Task-aligned attribution baselines. Every signature-based attributor</w:t>
      </w:r>
      <w:r>
        <w:t xml:space="preserve"> </w:t>
      </w:r>
      <w:r>
        <w:t xml:space="preserve">reaches ~0.89 without injection labels; only the trained upper bound uses them; fuel magnitude is at</w:t>
      </w:r>
      <w:r>
        <w:t xml:space="preserve"> </w:t>
      </w:r>
      <w:r>
        <w:t xml:space="preserve">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scripts/p10_consolidated.py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6"/>
    <w:bookmarkStart w:id="146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Bibliography"/>
      </w:pPr>
      <w:r>
        <w:t xml:space="preserve">© 2026 Alexander Apartsin and Yehudit Aperstein.</w:t>
      </w:r>
    </w:p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2026-08-30T05:47:43Z</dcterms:created>
  <dcterms:modified xsi:type="dcterms:W3CDTF">2026-08-30T05:47:43Z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