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Attributing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  <w:r>
        <w:t xml:space="preserve"> </w:t>
      </w:r>
      <w:r>
        <w:t xml:space="preserve">from</w:t>
      </w:r>
      <w:r>
        <w:t xml:space="preserve"> </w:t>
      </w:r>
      <w:r>
        <w:t xml:space="preserve">OBD</w:t>
      </w:r>
      <w:r>
        <w:t xml:space="preserve"> </w:t>
      </w:r>
      <w:r>
        <w:t xml:space="preserve">Signals</w:t>
      </w:r>
    </w:p>
    <w:bookmarkStart w:id="20" w:name="X414643ace4f71033cc994da523ca8b1e3928366"/>
    <w:p>
      <w:pPr>
        <w:pStyle w:val="Heading1"/>
      </w:pPr>
      <w:r>
        <w:t xml:space="preserve">Driver or Vehicle? Attributing Excess Fuel Consumption</w:t>
      </w:r>
      <w:r>
        <w:br/>
      </w:r>
      <w:r>
        <w:t xml:space="preserve">from Standard OBD Signals Without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</w:t>
      </w:r>
      <w:r>
        <w:t xml:space="preserve"> </w:t>
      </w:r>
      <w:r>
        <w:t xml:space="preserve">accounts for up to 37% of trip-fuel variance (8% of it uniquely, beyond route and weather) and a</w:t>
      </w:r>
      <w:r>
        <w:t xml:space="preserve"> </w:t>
      </w:r>
      <w:r>
        <w:t xml:space="preserve">persistent vehicle-baseline for a further 14%.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real fleet trips, without any injection,</w:t>
      </w:r>
      <w:r>
        <w:t xml:space="preserve"> </w:t>
      </w:r>
      <w:r>
        <w:t xml:space="preserve">kinematic-dominant trips carry +0.57 L/100km of excess fuel while trim-dominant trips carry none. The two</w:t>
      </w:r>
      <w:r>
        <w:t xml:space="preserve"> </w:t>
      </w:r>
      <w:r>
        <w:t xml:space="preserve">causes also differ in magnitude, a realistic aggressive-driving shift costing +1.1% median fuel against</w:t>
      </w:r>
      <w:r>
        <w:t xml:space="preserve"> </w:t>
      </w:r>
      <w:r>
        <w:t xml:space="preserve">the rich fault's +6.2%, yet trip-to-trip fuel noise leaves magnitude near chance as a per-trip attributor</w:t>
      </w:r>
      <w:r>
        <w:t xml:space="preserve"> </w:t>
      </w:r>
      <w:r>
        <w:t xml:space="preserve">(0.56). The signatures, not the excess size, carry the attribution. No real dataset can score attribution</w:t>
      </w:r>
      <w:r>
        <w:t xml:space="preserve"> </w:t>
      </w:r>
      <w:r>
        <w:t xml:space="preserve">accuracy: the target fleet has no ground-truth cause, and any proxy built from the two axes is circular</w:t>
      </w:r>
      <w:r>
        <w:t xml:space="preserve"> </w:t>
      </w:r>
      <w:r>
        <w:t xml:space="preserve">with the attributor. We therefore use a controlled injection, constrained so both causes raise fuel</w:t>
      </w:r>
      <w:r>
        <w:t xml:space="preserve"> </w:t>
      </w:r>
      <w:r>
        <w:t xml:space="preserve">identically and magnitude carries no information. Signatures learned only in their source domains, then</w:t>
      </w:r>
      <w:r>
        <w:t xml:space="preserve"> </w:t>
      </w:r>
      <w:r>
        <w:t xml:space="preserve">frozen and combined on the target without joint supervision, attribute driver-versus-fault excess at</w:t>
      </w:r>
      <w:r>
        <w:t xml:space="preserve"> </w:t>
      </w:r>
      <w:r>
        <w:t xml:space="preserve">accuracy 0.856 and AUROC 0.93 at the realistic trip-level operating point. At a deliberately conservative</w:t>
      </w:r>
      <w:r>
        <w:t xml:space="preserve"> </w:t>
      </w:r>
      <w:r>
        <w:t xml:space="preserve">floor that equalizes the two causes' fuel use and drops to a weaker window-level driver effect, accuracy</w:t>
      </w:r>
      <w:r>
        <w:t xml:space="preserve"> </w:t>
      </w:r>
      <w:r>
        <w:t xml:space="preserve">is 0.785, nine points above a no-driver-information floor, matching the closed-form prediction of the score</w:t>
      </w:r>
      <w:r>
        <w:t xml:space="preserve"> </w:t>
      </w:r>
      <w:r>
        <w:t xml:space="preserve">model, and passing a negated-weights falsification while a fuel-only baseline stays at chance. Because real</w:t>
      </w:r>
      <w:r>
        <w:t xml:space="preserve"> </w:t>
      </w:r>
      <w:r>
        <w:t xml:space="preserve">magnitudes differ by cause, that equal-magnitude accuracy is a floor, and a tight one: adding real fuel</w:t>
      </w:r>
      <w:r>
        <w:t xml:space="preserve"> </w:t>
      </w:r>
      <w:r>
        <w:t xml:space="preserve">magnitude lifts it by only 0.003, since per-trip noise swamps the gap. A conformal abstention rule</w:t>
      </w:r>
      <w:r>
        <w:t xml:space="preserve"> </w:t>
      </w:r>
      <w:r>
        <w:t xml:space="preserve">gives each issued decision a finite-sample selective-risk guarantee.</w:t>
      </w:r>
      <w:r>
        <w:t xml:space="preserve"> </w:t>
      </w:r>
      <w:r>
        <w:t xml:space="preserve">Both axes derive from standard on-board-diagnostics channels, so a fleet can decide, from a single trip's</w:t>
      </w:r>
      <w:r>
        <w:t xml:space="preserve"> </w:t>
      </w:r>
      <w:r>
        <w:t xml:space="preserve">ordinary telematics, whether an over-consuming vehicle needs its driver coached or its engine inspected.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signature dissociation measured on real data</w:t>
      </w:r>
      <w:r>
        <w:t xml:space="preserve">: the combustion axis is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vehicles; on real fleet trips kinematic-dominant trips carry +0.57 L/100km of excess</w:t>
      </w:r>
      <w:r>
        <w:t xml:space="preserve"> </w:t>
      </w:r>
      <w:r>
        <w:t xml:space="preserve">while trim-dominant trips carry none; and the two causes are not fuel-matched, a realistic</w:t>
      </w:r>
      <w:r>
        <w:t xml:space="preserve"> </w:t>
      </w:r>
      <w:r>
        <w:t xml:space="preserve">aggressive-driving shift costing +1.1% median fuel against the rich fault's +6.2%.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controlled-injection evaluation</w:t>
      </w:r>
      <w:r>
        <w:t xml:space="preserve"> </w:t>
      </w:r>
      <w:r>
        <w:t xml:space="preserve">with source-calibrated effect sizes: frozen source-derived</w:t>
      </w:r>
      <w:r>
        <w:t xml:space="preserve"> </w:t>
      </w:r>
      <w:r>
        <w:t xml:space="preserve">signatures learned in separate domains attribute driver-versus-fault excess at accuracy 0.856 and</w:t>
      </w:r>
      <w:r>
        <w:t xml:space="preserve"> </w:t>
      </w:r>
      <w:r>
        <w:t xml:space="preserve">AUROC 0.93 at the realistic trip-level operating point (0.785 at a deliberately conservative</w:t>
      </w:r>
      <w:r>
        <w:t xml:space="preserve"> </w:t>
      </w:r>
      <w:r>
        <w:t xml:space="preserve">window-level floor, up to ~0.89 at matched severity) with no joint supervision, matching the</w:t>
      </w:r>
      <w:r>
        <w:t xml:space="preserve"> </w:t>
      </w:r>
      <w:r>
        <w:t xml:space="preserve">closed-form prediction of the score model, passing a negated-weights falsification, and beating a</w:t>
      </w:r>
      <w:r>
        <w:t xml:space="preserve"> </w:t>
      </w:r>
      <w:r>
        <w:t xml:space="preserve">fuel-only baseline at chance. The equal-magnitude accuracy is a tight floor: adding real fuel magnitude lifts</w:t>
      </w:r>
      <w:r>
        <w:t xml:space="preserve"> </w:t>
      </w:r>
      <w:r>
        <w:t xml:space="preserve">it by only 0.003, because per-trip noise renders magnitude near-useless (thresholding the excess</w:t>
      </w:r>
      <w:r>
        <w:t xml:space="preserve"> </w:t>
      </w:r>
      <w:r>
        <w:t xml:space="preserve">attributes at 0.56). A likelihood-ratio fusion with split-conformal</w:t>
      </w:r>
      <w:r>
        <w:t xml:space="preserve"> </w:t>
      </w:r>
      <w:r>
        <w:t xml:space="preserve">abstention gives each decision a finite-sample selective-risk guarantee.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fully reproducible pipeline that regenerates every reported number.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persistent vehicle component, which Section 4.4 formalizes as the vehicle-baseline.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experiment, controlled injections</w:t>
      </w:r>
      <w:r>
        <w:t xml:space="preserve"> </w:t>
      </w:r>
      <w:r>
        <w:t xml:space="preserve">into real trips, that supplies the 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a controlled</w:t>
      </w:r>
      <w:r>
        <w:t xml:space="preserve"> </w:t>
      </w:r>
      <w:r>
        <w:t xml:space="preserve">injection with source-calibrated effect sizes measures attribution accuracy where no real dataset can,</w:t>
      </w:r>
      <w:r>
        <w:t xml:space="preserve"> </w:t>
      </w:r>
      <w:r>
        <w:t xml:space="preserve">as a conservative floor.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(controlled injection, 0.785–0.89)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axes: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Our result concerns the rich-mixture fault, whose label is</w:t>
      </w:r>
      <w:r>
        <w:t xml:space="preserve"> </w:t>
      </w:r>
      <w:r>
        <w:t xml:space="preserve">unambiguous.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1: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target risk level</w:t>
      </w:r>
      <w:r>
        <w:t xml:space="preserve"> </w:t>
      </w:r>
      <m:oMath>
        <m:r>
          <m:t>α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selective-risk guarantee.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Fuse: form source-calibrated per-cause likelihood ratios and attribute to the largest; a cause</w:t>
      </w:r>
      <w:r>
        <w:t xml:space="preserve"> </w:t>
      </w:r>
      <w:r>
        <w:t xml:space="preserve">with all ratios below one yields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Abstain: calibrate a threshold on target-normal data by split conformal, so that decisions carry</w:t>
      </w:r>
      <w:r>
        <w:t xml:space="preserve"> </w:t>
      </w:r>
      <w:r>
        <w:t xml:space="preserve">a finite-sample selective-risk guarantee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amount, so that fuel magnitude carries no information about the cause. This equal-fuel</w:t>
      </w:r>
      <w:r>
        <w:t xml:space="preserve"> </w:t>
      </w:r>
      <w:r>
        <w:t xml:space="preserve">constraint is deliberately adversarial: in reality the two causes are not fuel-matched (Section 8.3</w:t>
      </w:r>
      <w:r>
        <w:t xml:space="preserve"> </w:t>
      </w:r>
      <w:r>
        <w:t xml:space="preserve">measures a realistic driver shift at +1.1% median fuel against the fault's +6.2%), so withholding</w:t>
      </w:r>
      <w:r>
        <w:t xml:space="preserve"> </w:t>
      </w:r>
      <w:r>
        <w:t xml:space="preserve">magnitude makes the resulting accuracy a floor rather than an optimistic estimate; Section 8.3 quantifies</w:t>
      </w:r>
      <w:r>
        <w:t xml:space="preserve"> </w:t>
      </w:r>
      <w:r>
        <w:t xml:space="preserve">how tight the floor is. Each variant</w:t>
      </w:r>
      <w:r>
        <w:t xml:space="preserve"> </w:t>
      </w:r>
      <w:r>
        <w:t xml:space="preserve">perturbs only its own axis, at the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level rather than at the score level, so that the</w:t>
      </w:r>
      <w:r>
        <w:t xml:space="preserve"> </w:t>
      </w:r>
      <w:r>
        <w:t xml:space="preserve">frozen signature weights genuinely determine the outcome. The driver variant shifts the real kinematic</w:t>
      </w:r>
      <w:r>
        <w:t xml:space="preserve"> </w:t>
      </w:r>
      <w:r>
        <w:t xml:space="preserve">feature vector along the aggressive direction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learned on the external driving data,</w:t>
      </w:r>
      <w:r>
        <w:t xml:space="preserve"> </w:t>
      </w:r>
      <w:r>
        <w:t xml:space="preserve">while the fault variant shifts the fuel trim; writing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for the standardized kinematic</w:t>
      </w:r>
      <w:r>
        <w:t xml:space="preserve"> </w:t>
      </w:r>
      <w:r>
        <w:t xml:space="preserve">features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the combustion axis,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 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effect sizes are calibrated from their</w:t>
      </w:r>
      <w:r>
        <w:t xml:space="preserve"> </w:t>
      </w:r>
      <w:r>
        <w:rPr>
          <w:i/>
          <w:iCs/>
        </w:rPr>
        <w:t xml:space="preserve">sources</w:t>
      </w:r>
      <w:r>
        <w:t xml:space="preserve">, not assumed equal. The fault shift</w:t>
      </w:r>
      <w:r>
        <w:t xml:space="preserve"> </w:t>
      </w:r>
      <w:r>
        <w:t xml:space="preserve">is the bench rich-mixture combustion deviation, 3.0% fuel per air, over the median within-vehicle</w:t>
      </w:r>
      <w:r>
        <w:t xml:space="preserve"> </w:t>
      </w:r>
      <w:r>
        <w:t xml:space="preserve">long-term-trim standard deviation of 1.79%, giving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. The driver step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set once so that the frozen kinematic score shifts by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</m:oMath>
      <w:r>
        <w:t xml:space="preserve"> </w:t>
      </w:r>
      <w:r>
        <w:t xml:space="preserve">standard deviations,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is the measured Cohen's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that score between aggressive and</w:t>
      </w:r>
      <w:r>
        <w:t xml:space="preserve"> </w:t>
      </w:r>
      <w:r>
        <w:t xml:space="preserve">normal driving in the external dataset. The driver signature is the frozen logistic learned on the</w:t>
      </w:r>
      <w:r>
        <w:t xml:space="preserve"> </w:t>
      </w:r>
      <w:r>
        <w:t xml:space="preserve">source; the attribution rule compares the two unit-variance scores, and nothing is fit to the injection</w:t>
      </w:r>
      <w:r>
        <w:t xml:space="preserve"> </w:t>
      </w:r>
      <w:r>
        <w:t xml:space="preserve">labels. A falsification control replaces the frozen weights with negated, shuffled, or</w:t>
      </w:r>
      <w:r>
        <w:t xml:space="preserve"> </w:t>
      </w:r>
      <w:r>
        <w:t xml:space="preserve">aggression-orthogonal weights; a classifier given only the matched fuel increase is the chance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Attribution itself is by source-calibrated likelihood-ratio fusion with conformal abstention, not by</w:t>
      </w:r>
      <w:r>
        <w:t xml:space="preserve"> </w:t>
      </w:r>
      <w:r>
        <w:t xml:space="preserve">a bare margin. Under the injection model each cause shifts its own unit-variance score by its</w:t>
      </w:r>
      <w:r>
        <w:t xml:space="preserve"> </w:t>
      </w:r>
      <w:r>
        <w:t xml:space="preserve">calibrated amount, so per cause the log-likelihood ratio of present versus absent is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log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;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 likewise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B</m:t>
            </m:r>
          </m:sub>
        </m:sSub>
      </m:oMath>
      <w:r>
        <w:t xml:space="preserve">; the unit is</w:t>
      </w:r>
      <w:r>
        <w:t xml:space="preserve"> </w:t>
      </w:r>
      <w:r>
        <w:t xml:space="preserve">attributed to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or to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when both ratios fall below one. The</w:t>
      </w:r>
      <w:r>
        <w:t xml:space="preserve"> </w:t>
      </w:r>
      <w:r>
        <w:t xml:space="preserve">decision statistic is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; a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is set by split</w:t>
      </w:r>
      <w:r>
        <w:t xml:space="preserve"> </w:t>
      </w:r>
      <w:r>
        <w:t xml:space="preserve">conformal on held-out labelled variants using a Hoeffding upper confidence bound, so that among issued</w:t>
      </w:r>
      <w:r>
        <w:t xml:space="preserve"> </w:t>
      </w:r>
      <w:r>
        <w:t xml:space="preserve">decisions the error rate obeys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to a stated confidence. Because the</w:t>
      </w:r>
      <w:r>
        <w:t xml:space="preserve"> </w:t>
      </w:r>
      <w:r>
        <w:t xml:space="preserve">injection is Gaussian by construction, the fusion is the Bayes rule, and the two-class accuracy has the</w:t>
      </w:r>
      <w:r>
        <w:t xml:space="preserve"> </w:t>
      </w:r>
      <w:r>
        <w:t xml:space="preserve">closed form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endChr m:val="]"/>
            <m:sepChr m:val=""/>
            <m:grow/>
          </m:dPr>
          <m:e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e>
            </m:d>
          </m:e>
        </m:d>
      </m:oMath>
      <w:r>
        <w:t xml:space="preserve"> </w:t>
      </w:r>
      <w:r>
        <w:t xml:space="preserve">for the score-wise rule and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μ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for the fused rule; the measured values (Section 8.3) agree with</w:t>
      </w:r>
      <w:r>
        <w:t xml:space="preserve"> </w:t>
      </w:r>
      <w:r>
        <w:t xml:space="preserve">these to within 0.01, which is itself a check that the unit-variance score model holds on real fleet</w:t>
      </w:r>
      <w:r>
        <w:t xml:space="preserve"> </w:t>
      </w:r>
      <w:r>
        <w:t xml:space="preserve">data. The evidential weight of the experiment therefore rests on the two calibration constants, the</w:t>
      </w:r>
      <w:r>
        <w:t xml:space="preserve"> </w:t>
      </w:r>
      <w:r>
        <w:t xml:space="preserve">falsification controls, and the real-data contrast of Section 8.3, not on the accuracy number alone.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folds are shuffled: the</w:t>
      </w:r>
      <w:r>
        <w:t xml:space="preserve"> </w:t>
      </w:r>
      <w:r>
        <w:t xml:space="preserve">records are ordered within each fault group, so contiguous folds would partition the rich subset into</w:t>
      </w:r>
      <w:r>
        <w:t xml:space="preserve"> </w:t>
      </w:r>
      <w:r>
        <w:t xml:space="preserve">disjoint operating ranges and force extrapolation, and the rows are exchangeable for this regression.</w:t>
      </w:r>
      <w:r>
        <w:t xml:space="preserve"> </w:t>
      </w:r>
      <w:r>
        <w:t xml:space="preserve">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regenerates every reported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]. The model's role is to define a well-calibrated expectation from which excess is</w:t>
      </w:r>
      <w:r>
        <w:t xml:space="preserve"> </w:t>
      </w:r>
      <w:r>
        <w:t xml:space="preserve">measured.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survives out-of-sample estimation.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 empirical-Bayes shrinkage estimate agrees (0.138), and demeaning residuals</w:t>
      </w:r>
      <w:r>
        <w:t xml:space="preserve"> </w:t>
      </w:r>
      <w:r>
        <w:t xml:space="preserve">within each fold before forming the offsets changes the share by less than 0.005, so it is not a</w:t>
      </w:r>
      <w:r>
        <w:t xml:space="preserve"> </w:t>
      </w:r>
      <w:r>
        <w:t xml:space="preserve">fold-bias artifact.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ignition, with an out-of-fold normal</w:t>
      </w:r>
      <w:r>
        <w:t xml:space="preserve"> </w:t>
      </w:r>
      <w:r>
        <w:t xml:space="preserve">reference). Lean and ignition, which are not over-fuelling faults, do not trigger the vehicle-fuel-fault signature, so the method targets the fuel-relevant fault rather than any deviation from normal.</w:t>
      </w:r>
      <w:r>
        <w:t xml:space="preserve"> </w:t>
      </w:r>
      <w:r>
        <w:t xml:space="preserve">The signature is specific but its sensitivity is operating-point-dependent: the per-sample fuel-fault</w:t>
      </w:r>
      <w:r>
        <w:t xml:space="preserve"> </w:t>
      </w:r>
      <w:r>
        <w:t xml:space="preserve">score ranks rich above normal only weakly (AUC 0.58), because a rich fault's fuel penalty is expressed</w:t>
      </w:r>
      <w:r>
        <w:t xml:space="preserve"> </w:t>
      </w:r>
      <w:r>
        <w:t xml:space="preserve">mainly at higher load, consistent with the non-portability across operating regions in Section 8.1. This</w:t>
      </w:r>
      <w:r>
        <w:t xml:space="preserve"> </w:t>
      </w:r>
      <w:r>
        <w:t xml:space="preserve">single-reading weakness is not the regime in which attribution operates: a fault is a persistent</w:t>
      </w:r>
      <w:r>
        <w:t xml:space="preserve"> </w:t>
      </w:r>
      <w:r>
        <w:t xml:space="preserve">per-vehicle condition, and the combustion-axis AUC for the mean score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readings rises from</w:t>
      </w:r>
      <w:r>
        <w:t xml:space="preserve"> </w:t>
      </w:r>
      <w:r>
        <w:t xml:space="preserve">0.54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0.80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0.92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and 0.99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 so the</w:t>
      </w:r>
      <w:r>
        <w:t xml:space="preserve"> </w:t>
      </w:r>
      <w:r>
        <w:t xml:space="preserve">aggregated signal a real deployment sees is strongly separable even where a single sample is not.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The bench cell is a physical consistency check,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contrast;</w:t>
      </w:r>
      <w:r>
        <w:t xml:space="preserve"> </w:t>
      </w:r>
      <w:r>
        <w:t xml:space="preserve">Section 8.3 provides the quantitative evaluation.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then ask a frozen attributor to recover the cause. The equal-fuel</w:t>
      </w:r>
      <w:r>
        <w:t xml:space="preserve"> </w:t>
      </w:r>
      <w:r>
        <w:t xml:space="preserve">constraint withholds magnitude information from the attributor; its physical justification, and why it</w:t>
      </w:r>
      <w:r>
        <w:t xml:space="preserve"> </w:t>
      </w:r>
      <w:r>
        <w:t xml:space="preserve">makes the result a floor, follow below.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 This deployed signature is the compact</w:t>
      </w:r>
      <w:r>
        <w:t xml:space="preserve"> </w:t>
      </w:r>
      <w:r>
        <w:t xml:space="preserve">four-feature, speed-only model, whose own leave-one-driver-out AUC is 0.694 (weaker than the richer</w:t>
      </w:r>
      <w:r>
        <w:t xml:space="preserve"> </w:t>
      </w:r>
      <w:r>
        <w:t xml:space="preserve">accelerometer-based validation of Section 6.3).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calibration is the per-window,</w:t>
      </w:r>
      <w:r>
        <w:t xml:space="preserve"> </w:t>
      </w:r>
      <w:r>
        <w:t xml:space="preserve">out-of-sample effect and is conservative: aggregating to whole trips, as VED records them,</w:t>
      </w:r>
      <w:r>
        <w:t xml:space="preserve"> </w:t>
      </w:r>
      <w:r>
        <w:t xml:space="preserve">raises the aggressive-versus-normal effect to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, near the fault magnitude.</w:t>
      </w:r>
    </w:p>
    <w:p>
      <w:pPr>
        <w:pStyle w:val="BodyText"/>
      </w:pPr>
      <w:r>
        <w:t xml:space="preserve">At the conservative window-level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 source-derived attributor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 </w:t>
      </w:r>
      <w:r>
        <w:t xml:space="preserve">(AUROC 0.88), with a trained upper bound of 81.2%; at the realistic</w:t>
      </w:r>
      <w:r>
        <w:t xml:space="preserve"> </w:t>
      </w:r>
      <w:r>
        <w:t xml:space="preserve">trip-level point (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) it reaches</w:t>
      </w:r>
      <w:r>
        <w:t xml:space="preserve"> </w:t>
      </w:r>
      <w:r>
        <w:rPr>
          <w:b/>
          <w:bCs/>
        </w:rPr>
        <w:t xml:space="preserve">0.856</w:t>
      </w:r>
      <w:r>
        <w:t xml:space="preserve"> </w:t>
      </w:r>
      <w:r>
        <w:t xml:space="preserve">(AUROC 0.93). A classifier given only the</w:t>
      </w:r>
      <w:r>
        <w:t xml:space="preserve"> </w:t>
      </w:r>
      <w:r>
        <w:t xml:space="preserve">matched fuel increase is at chance (</w:t>
      </w:r>
      <w:r>
        <w:rPr>
          <w:b/>
          <w:bCs/>
        </w:rPr>
        <w:t xml:space="preserve">49.6%</w:t>
      </w:r>
      <w:r>
        <w:t xml:space="preserve">), confirming no magnitude leak. These measured values agree to</w:t>
      </w:r>
      <w:r>
        <w:t xml:space="preserve"> </w:t>
      </w:r>
      <w:r>
        <w:t xml:space="preserve">within 0.01 with the closed-form predictions of the Gaussian score model (0.778 and 0.813; Section 4.6).</w:t>
      </w:r>
      <w:r>
        <w:t xml:space="preserve"> </w:t>
      </w:r>
      <w:r>
        <w:t xml:space="preserve">The experiment's evidential content is that this score model holds against real fleet trip-to-trip noise</w:t>
      </w:r>
      <w:r>
        <w:t xml:space="preserve"> </w:t>
      </w:r>
      <w:r>
        <w:t xml:space="preserve">and that the frozen weights pass falsification; the accuracy value itself is determined by the two</w:t>
      </w:r>
      <w:r>
        <w:t xml:space="preserve"> </w:t>
      </w:r>
      <w:r>
        <w:t xml:space="preserve">source-calibrated effect sizes. The result is falsifiable and passes. Removing the driver information</w:t>
      </w:r>
      <w:r>
        <w:t xml:space="preserve"> </w:t>
      </w:r>
      <w:r>
        <w:t xml:space="preserve">entirely (weights orthogonal to the aggressive direction, leaving the fault axis intact) sets the floor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0.70</w:t>
      </w:r>
      <w:r>
        <w:t xml:space="preserve">. The frozen signature adds nine points over it (0.785), negating the weights costs ten</w:t>
      </w:r>
      <w:r>
        <w:t xml:space="preserve"> </w:t>
      </w:r>
      <w:r>
        <w:t xml:space="preserve">points below it (0.60), and shuffling them lands between (0.73), so the learned signature genuinely</w:t>
      </w:r>
      <w:r>
        <w:t xml:space="preserve"> </w:t>
      </w:r>
      <w:r>
        <w:t xml:space="preserve">carries the attribution rather than the injection being trivially recoverable (Figure 7). Accuracy rises with driver severity, from 0.785 at the window-level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, to 0.856 at the trip-level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, 0.89 when the driver signal matches the fault</w:t>
      </w:r>
      <w:r>
        <w:t xml:space="preserve"> </w:t>
      </w:r>
      <w:r>
        <w:t xml:space="preserve">magnitude, and 0.93 for severe aggression beyond that range. The design measures how detectable the two signatures are against real trip-to-trip noise;</w:t>
      </w:r>
      <w:r>
        <w:t xml:space="preserve"> </w:t>
      </w:r>
      <w:r>
        <w:t xml:space="preserve">axis-separability itself is established by the bench fault signature and the silent driver-excess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The equal-fuel constraint is deliberately adversarial, and two measured facts show both what it gives</w:t>
      </w:r>
      <w:r>
        <w:t xml:space="preserve"> </w:t>
      </w:r>
      <w:r>
        <w:t xml:space="preserve">away and why it costs almost nothing. First, pushing the calibrated driver perturbation through the</w:t>
      </w:r>
      <w:r>
        <w:t xml:space="preserve"> </w:t>
      </w:r>
      <w:r>
        <w:t xml:space="preserve">expected-fuel model raises fuel by only</w:t>
      </w:r>
      <w:r>
        <w:t xml:space="preserve"> </w:t>
      </w:r>
      <w:r>
        <w:rPr>
          <w:b/>
          <w:bCs/>
        </w:rPr>
        <w:t xml:space="preserve">+1.1% at the median</w:t>
      </w:r>
      <w:r>
        <w:t xml:space="preserve"> </w:t>
      </w:r>
      <w:r>
        <w:t xml:space="preserve">(+3.5% at the 90th percentile),</w:t>
      </w:r>
      <w:r>
        <w:t xml:space="preserve"> </w:t>
      </w:r>
      <w:r>
        <w:t xml:space="preserve">against the bench fault's</w:t>
      </w:r>
      <w:r>
        <w:t xml:space="preserve"> </w:t>
      </w:r>
      <w:r>
        <w:rPr>
          <w:b/>
          <w:bCs/>
        </w:rPr>
        <w:t xml:space="preserve">+6.2%</w:t>
      </w:r>
      <w:r>
        <w:t xml:space="preserve">: in expectation the two causes are not fuel-matched, so magnitude</w:t>
      </w:r>
      <w:r>
        <w:t xml:space="preserve"> </w:t>
      </w:r>
      <w:r>
        <w:t xml:space="preserve">does carry cause information. Second, that information is nearly unusable per trip. Single-trip excess</w:t>
      </w:r>
      <w:r>
        <w:t xml:space="preserve"> </w:t>
      </w:r>
      <w:r>
        <w:t xml:space="preserve">magnitude alone attributes at just</w:t>
      </w:r>
      <w:r>
        <w:t xml:space="preserve"> </w:t>
      </w:r>
      <w:r>
        <w:rPr>
          <w:b/>
          <w:bCs/>
        </w:rPr>
        <w:t xml:space="preserve">0.562</w:t>
      </w:r>
      <w:r>
        <w:t xml:space="preserve">, barely above chance, because trip-to-trip fuel variation</w:t>
      </w:r>
      <w:r>
        <w:t xml:space="preserve"> </w:t>
      </w:r>
      <w:r>
        <w:t xml:space="preserve">(out-of-fold residual standard deviation 17%) swamps the five-point mean gap; adding magnitude as a third</w:t>
      </w:r>
      <w:r>
        <w:t xml:space="preserve"> </w:t>
      </w:r>
      <w:r>
        <w:t xml:space="preserve">likelihood channel to the two-axis signature fusion (the 0.812 likelihood-ratio combination of</w:t>
      </w:r>
      <w:r>
        <w:t xml:space="preserve"> </w:t>
      </w:r>
      <w:r>
        <w:t xml:space="preserve">Section 8.4) moves accuracy only to</w:t>
      </w:r>
      <w:r>
        <w:t xml:space="preserve"> </w:t>
      </w:r>
      <w:r>
        <w:rPr>
          <w:b/>
          <w:bCs/>
        </w:rPr>
        <w:t xml:space="preserve">0.815</w:t>
      </w:r>
      <w:r>
        <w:t xml:space="preserve">. The</w:t>
      </w:r>
      <w:r>
        <w:t xml:space="preserve"> </w:t>
      </w:r>
      <w:r>
        <w:t xml:space="preserve">equal-magnitude accuracy is therefore a floor, but a tight one: withholding magnitude costs about</w:t>
      </w:r>
      <w:r>
        <w:t xml:space="preserve"> </w:t>
      </w:r>
      <w:r>
        <w:t xml:space="preserve">0.003 at the single-trip level, and the closed-form separations confirm it (magnitude effect size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0.30</m:t>
        </m:r>
      </m:oMath>
      <w:r>
        <w:t xml:space="preserve">, giving Bayes accuracy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0.15</m:t>
            </m:r>
          </m:e>
        </m:d>
        <m:r>
          <m:rPr>
            <m:sty m:val="p"/>
          </m:rPr>
          <m:t>=</m:t>
        </m:r>
        <m:r>
          <m:t>0.56</m:t>
        </m:r>
      </m:oMath>
      <w:r>
        <w:t xml:space="preserve">, against the signatures' combined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1.8</m:t>
        </m:r>
      </m:oMath>
      <w:r>
        <w:t xml:space="preserve">). The same measurement closes the obvious shortcut of simply thresholding the excess:</w:t>
      </w:r>
      <w:r>
        <w:t xml:space="preserve"> </w:t>
      </w:r>
      <w:r>
        <w:t xml:space="preserve">at the trip level that rule is near chance. The physical asymmetry still holds, a typical aggressive episode being a small</w:t>
      </w:r>
      <w:r>
        <w:t xml:space="preserve"> </w:t>
      </w:r>
      <w:r>
        <w:t xml:space="preserve">persistent cost and a rich fault a large one, and over many trips of a vehicle the magnitude gap does</w:t>
      </w:r>
      <w:r>
        <w:t xml:space="preserve"> </w:t>
      </w:r>
      <w:r>
        <w:t xml:space="preserve">become usable; but per trip the signatures are the discriminative evidence. This trip-level +1.1%</w:t>
      </w:r>
      <w:r>
        <w:t xml:space="preserve"> </w:t>
      </w:r>
      <w:r>
        <w:t xml:space="preserve">(a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shift from each trip's own driving) is a smaller, differently-referenced quantity than</w:t>
      </w:r>
      <w:r>
        <w:t xml:space="preserve"> </w:t>
      </w:r>
      <w:r>
        <w:t xml:space="preserve">the +0.47 L/100km (~5%) behaviour counterfactual of Section 6.2, which contrasts observed driving against</w:t>
      </w:r>
      <w:r>
        <w:t xml:space="preserve"> </w:t>
      </w:r>
      <w:r>
        <w:t xml:space="preserve">a gentle 20th-percentile reference and therefore spans a much wider gap.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none: their −0.34 sits at the level of low-deviation trips and is unchanged under</w:t>
      </w:r>
      <w:r>
        <w:t xml:space="preserve"> </w:t>
      </w:r>
      <w:r>
        <w:t xml:space="preserve">a trim-corrected fuel target (Mann-Whitney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the conservative window-level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gives 0.785</w:t>
      </w:r>
      <w:r>
        <w:t xml:space="preserve"> </w:t>
      </w:r>
      <w:r>
        <w:t xml:space="preserve">and the realistic trip-level point (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) gives 0.856. Negating the frozen driver weights drops below the no-driver-information floor (a falsification</w:t>
      </w:r>
      <w:r>
        <w:t xml:space="preserve"> </w:t>
      </w:r>
      <w:r>
        <w:t xml:space="preserve">control); fuel magnitude alone is at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attribution decision carries a calibrated risk guarantee rather than a heuristic margin. Fusing</w:t>
      </w:r>
      <w:r>
        <w:t xml:space="preserve"> </w:t>
      </w:r>
      <w:r>
        <w:t xml:space="preserve">the two axes as source-calibrated likelihood ratios attains 0.812, the Bayes accuracy of the injection</w:t>
      </w:r>
      <w:r>
        <w:t xml:space="preserve"> </w:t>
      </w:r>
      <w:r>
        <w:t xml:space="preserve">model, which the trained classifier also reaches (Table 7); the trained number is therefore a ceiling,</w:t>
      </w:r>
      <w:r>
        <w:t xml:space="preserve"> </w:t>
      </w:r>
      <w:r>
        <w:t xml:space="preserve">not an advantage. A split-conformal threshold, calibrated on held-out vehicles' labelled variants with</w:t>
      </w:r>
      <w:r>
        <w:t xml:space="preserve"> </w:t>
      </w:r>
      <w:r>
        <w:t xml:space="preserve">a Hoeffding upper confidence bound (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), then bounds the selective error with a</w:t>
      </w:r>
      <w:r>
        <w:t xml:space="preserve"> </w:t>
      </w:r>
      <w:r>
        <w:t xml:space="preserve">finite-sample guarantee: at a 5% target the method decides on 31% of trips with a realized error of</w:t>
      </w:r>
      <w:r>
        <w:t xml:space="preserve"> </w:t>
      </w:r>
      <w:r>
        <w:t xml:space="preserve">3.1%, and at a 10% target on 65% with 8.8%, both within the target. This converts "uncertain" from a</w:t>
      </w:r>
      <w:r>
        <w:t xml:space="preserve"> </w:t>
      </w:r>
      <w:r>
        <w:t xml:space="preserve">heuristic into a controlled abstention with a stated error bound. The conformal threshold, unlike the</w:t>
      </w:r>
      <w:r>
        <w:t xml:space="preserve"> </w:t>
      </w:r>
      <w:r>
        <w:t xml:space="preserve">frozen signatures, is calibrated on labelled synthetic variants; in deployment it would be recalibrated</w:t>
      </w:r>
      <w:r>
        <w:t xml:space="preserve"> </w:t>
      </w:r>
      <w:r>
        <w:t xml:space="preserve">on injections synthesized from the target fleet's own normal trips, which needs no cause labels.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degrading toward the ambiguous equal-effect limit.</w:t>
      </w:r>
    </w:p>
    <w:p>
      <w:pPr>
        <w:pStyle w:val="BodyText"/>
      </w:pPr>
      <w:r>
        <w:t xml:space="preserve">Because the accuracy is determined by the two source-calibrated effect sizes, the one input never</w:t>
      </w:r>
      <w:r>
        <w:t xml:space="preserve"> </w:t>
      </w:r>
      <w:r>
        <w:t xml:space="preserve">observed on a real faulted vehicle deserves an explicit sensitivity analysis: the fault constant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, which transfers the bench air-fuel deviation onto the fleet's trim scale. Sweeping</w:t>
      </w:r>
      <w:r>
        <w:t xml:space="preserve"> </w:t>
      </w:r>
      <w:r>
        <w:t xml:space="preserve">it from 0.5 to 3.0 while holding the driver constant fixed moves attribution accuracy smoothly from</w:t>
      </w:r>
      <w:r>
        <w:t xml:space="preserve"> </w:t>
      </w:r>
      <w:r>
        <w:rPr>
          <w:b/>
          <w:bCs/>
        </w:rPr>
        <w:t xml:space="preserve">0.66 to 0.83</w:t>
      </w:r>
      <w:r>
        <w:t xml:space="preserve"> </w:t>
      </w:r>
      <w:r>
        <w:t xml:space="preserve">(empirical injection and closed-form Gaussian prediction agreeing to within 0.01),</w:t>
      </w:r>
      <w:r>
        <w:t xml:space="preserve"> </w:t>
      </w:r>
      <w:r>
        <w:t xml:space="preserve">well above chance across the six-fold range and rising with fault severity. The value used here,</w:t>
      </w:r>
      <w:r>
        <w:t xml:space="preserve"> </w:t>
      </w:r>
      <w:r>
        <w:t xml:space="preserve">1.66, sits mid-curve at 0.785. A targeted search of public on-board-diagnostics corpora found none that</w:t>
      </w:r>
      <w:r>
        <w:t xml:space="preserve"> </w:t>
      </w:r>
      <w:r>
        <w:t xml:space="preserve">pairs a confirmed fueling fault (a P0171/P0172 diagnostic code) with logged closed-loop fuel trim, so</w:t>
      </w:r>
      <w:r>
        <w:t xml:space="preserve"> </w:t>
      </w:r>
      <w:r>
        <w:t xml:space="preserve">the field value of this constant is an open measurement rather than a settled one. A genuine fueling</w:t>
      </w:r>
      <w:r>
        <w:t xml:space="preserve"> </w:t>
      </w:r>
      <w:r>
        <w:t xml:space="preserve">fault, which by construction drives the closed-loop trim beyond normal within-vehicle variation, occupies</w:t>
      </w:r>
      <w:r>
        <w:t xml:space="preserve"> </w:t>
      </w:r>
      <w:r>
        <w:t xml:space="preserve">the upper, higher-accuracy part of this curve; the exact operating point awaits a fault-labelled trim</w:t>
      </w:r>
      <w:r>
        <w:t xml:space="preserve"> </w:t>
      </w:r>
      <w:r>
        <w:t xml:space="preserve">dataset, the field's key missing benchmark (Section 9).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Aggression-orthogonal weights (no-driver-information 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percentages are individually small but</w:t>
      </w:r>
      <w:r>
        <w:t xml:space="preserve"> </w:t>
      </w:r>
      <w:r>
        <w:t xml:space="preserve">operationally large: a persistent +6% fault, or the behaviour gap that reaches roughly +5% against a</w:t>
      </w:r>
      <w:r>
        <w:t xml:space="preserve"> </w:t>
      </w:r>
      <w:r>
        <w:t xml:space="preserve">gentle-driving reference, is a recurring cost on every trip of every affected vehicle, so fleet-wide it</w:t>
      </w:r>
      <w:r>
        <w:t xml:space="preserve"> </w:t>
      </w:r>
      <w:r>
        <w:t xml:space="preserve">compounds into a fuel and emissions line item that routing to the correct remedy directly reduces.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 The</w:t>
      </w:r>
      <w:r>
        <w:t xml:space="preserve"> </w:t>
      </w:r>
      <w:r>
        <w:t xml:space="preserve">deployment value is latency as much as accuracy. Because per-trip fuel magnitude is near-chance as an</w:t>
      </w:r>
      <w:r>
        <w:t xml:space="preserve"> </w:t>
      </w:r>
      <w:r>
        <w:t xml:space="preserve">attributor (Section 8.3), a magnitude-threshold system must integrate over many trips to push the mean</w:t>
      </w:r>
      <w:r>
        <w:t xml:space="preserve"> </w:t>
      </w:r>
      <w:r>
        <w:t xml:space="preserve">gap through the trip-to-trip noise; the signatures attribute on a single trip with risk-controlled</w:t>
      </w:r>
      <w:r>
        <w:t xml:space="preserve"> </w:t>
      </w:r>
      <w:r>
        <w:t xml:space="preserve">abstention, collapsing detection-to-decision from a driving history to one trip.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A narrower and more immediately</w:t>
      </w:r>
      <w:r>
        <w:t xml:space="preserve"> </w:t>
      </w:r>
      <w:r>
        <w:t xml:space="preserve">reachable target would already help: even a handful of real vehicles logging closed-loop fuel trim under</w:t>
      </w:r>
      <w:r>
        <w:t xml:space="preserve"> </w:t>
      </w:r>
      <w:r>
        <w:t xml:space="preserve">a confirmed fueling fault (a stored P0171/P0172 code) would measure the bench-to-fleet transfer constant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that Section 8.4 currently sweeps rather than observes. Such data</w:t>
      </w:r>
      <w:r>
        <w:t xml:space="preserve"> </w:t>
      </w:r>
      <w:r>
        <w:t xml:space="preserve">would allow single-trip competing-cause attribution to be measured directly and the semi-synthetic bridge</w:t>
      </w:r>
      <w:r>
        <w:t xml:space="preserve"> </w:t>
      </w:r>
      <w:r>
        <w:t xml:space="preserve">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cross-dataset. The semi-synthetic experiment provides the single-trip competing-cause evaluation that</w:t>
      </w:r>
      <w:r>
        <w:t xml:space="preserve"> </w:t>
      </w:r>
      <w:r>
        <w:t xml:space="preserve">no real dataset supports; it assumes additive, axis-separable effects, and a real fault that</w:t>
      </w:r>
      <w:r>
        <w:t xml:space="preserve"> </w:t>
      </w:r>
      <w:r>
        <w:t xml:space="preserve">co-moved both axes would make attribution harder than the controlled estimate. The fault effect size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that sets the fault arm is transferred from the bench and not yet observed on a real</w:t>
      </w:r>
      <w:r>
        <w:t xml:space="preserve"> </w:t>
      </w:r>
      <w:r>
        <w:t xml:space="preserve">faulted vehicle; Section 8.4 sweeps it over a six-fold range (accuracy 0.66 to 0.83, above chance</w:t>
      </w:r>
      <w:r>
        <w:t xml:space="preserve"> </w:t>
      </w:r>
      <w:r>
        <w:t xml:space="preserve">throughout) rather than relying on the single assumed value.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</w:t>
      </w:r>
      <w:r>
        <w:t xml:space="preserve"> </w:t>
      </w:r>
      <w:r>
        <w:t xml:space="preserve">This last point is a hard boundary, not a choice of convenience: proxy cause labels constructed on the</w:t>
      </w:r>
      <w:r>
        <w:t xml:space="preserve"> </w:t>
      </w:r>
      <w:r>
        <w:t xml:space="preserve">target from the kinematic or combustion axes cannot validate attribution, because the attributor decides</w:t>
      </w:r>
      <w:r>
        <w:t xml:space="preserve"> </w:t>
      </w:r>
      <w:r>
        <w:t xml:space="preserve">on those same axes, so any such proxy is recovered trivially and carries no information. Only injected or</w:t>
      </w:r>
      <w:r>
        <w:t xml:space="preserve"> </w:t>
      </w:r>
      <w:r>
        <w:t xml:space="preserve">externally labelled ground truth is evidential here.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smoothed. The behaviour-axis transfer is shown on two labelled datasets, at 400 Hz for amplitude features and at the fleet's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The two causes are not even</w:t>
      </w:r>
      <w:r>
        <w:t xml:space="preserve"> </w:t>
      </w:r>
      <w:r>
        <w:t xml:space="preserve">fuel-matched, a realistic aggressive-driving shift costing +1.1% median fuel against the fault's +6.2%;</w:t>
      </w:r>
      <w:r>
        <w:t xml:space="preserve"> </w:t>
      </w:r>
      <w:r>
        <w:t xml:space="preserve">yet per-trip fuel noise leaves magnitude near chance as a single-trip attributor (0.56), so the</w:t>
      </w:r>
      <w:r>
        <w:t xml:space="preserve"> </w:t>
      </w:r>
      <w:r>
        <w:t xml:space="preserve">signatures, not the excess size, carry the attribution. In a controlled injection that withholds that</w:t>
      </w:r>
      <w:r>
        <w:t xml:space="preserve"> </w:t>
      </w:r>
      <w:r>
        <w:t xml:space="preserve">magnitude, frozen signatures learned in separate source domains attribute the cause at accuracy 0.856</w:t>
      </w:r>
      <w:r>
        <w:t xml:space="preserve"> </w:t>
      </w:r>
      <w:r>
        <w:t xml:space="preserve">and AUROC 0.93 at the realistic trip-level operating point (0.785 at a conservative window-level floor),</w:t>
      </w:r>
      <w:r>
        <w:t xml:space="preserve"> </w:t>
      </w:r>
      <w:r>
        <w:t xml:space="preserve">matching the closed-form score model and passing a falsification control where a fuel-only baseline is at</w:t>
      </w:r>
      <w:r>
        <w:t xml:space="preserve"> </w:t>
      </w:r>
      <w:r>
        <w:t xml:space="preserve">chance. This equal-magnitude accuracy is a tight floor: adding magnitude lifts it by only 0.003.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scripts/p23_sfault_sensitivity.py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Attributing Excess Fuel from OBD Signals</dc:title>
  <dc:creator/>
  <dc:language>en</dc:language>
  <cp:keywords/>
  <dcterms:created xsi:type="dcterms:W3CDTF">2026-09-01T06:39:43Z</dcterms:created>
  <dcterms:modified xsi:type="dcterms:W3CDTF">2026-09-01T06:39:43Z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