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47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8.png" ContentType="image/png"/>
  <Override PartName="/word/media/rId7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the signature attributes driver-versus-fault excess at 95.9% accuracy (95% CI [95.6, 96.2]) in a calibrated semi-synthetic test, against a fuel-only baseline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95.9%</w:t>
      </w:r>
      <w:r>
        <w:t xml:space="preserve"> </w:t>
      </w:r>
      <w:r>
        <w:t xml:space="preserve">(95% CI [95.6, 96.2])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svg+xml;base64,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4.3).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95.9%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4" w:name="method"/>
    <w:p>
      <w:pPr>
        <w:pStyle w:val="Heading2"/>
      </w:pPr>
      <w:r>
        <w:t xml:space="preserve">4. Method</w:t>
      </w:r>
    </w:p>
    <w:bookmarkStart w:id="38" w:name="fuel-target"/>
    <w:p>
      <w:pPr>
        <w:pStyle w:val="Heading3"/>
      </w:pPr>
      <w:r>
        <w:t xml:space="preserve">4.1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8.4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8"/>
    <w:bookmarkStart w:id="39" w:name="expected-fuel-model-and-excess"/>
    <w:p>
      <w:pPr>
        <w:pStyle w:val="Heading3"/>
      </w:pPr>
      <w:r>
        <w:t xml:space="preserve">4.2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39"/>
    <w:bookmarkStart w:id="40" w:name="decomposition"/>
    <w:p>
      <w:pPr>
        <w:pStyle w:val="Heading3"/>
      </w:pPr>
      <w:r>
        <w:t xml:space="preserve">4.3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0"/>
    <w:bookmarkStart w:id="41" w:name="the-two-axes-and-the-signature-contrast"/>
    <w:p>
      <w:pPr>
        <w:pStyle w:val="Heading3"/>
      </w:pPr>
      <w:r>
        <w:t xml:space="preserve">4.4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1"/>
    <w:bookmarkStart w:id="42" w:name="semi-synthetic-attribution"/>
    <w:p>
      <w:pPr>
        <w:pStyle w:val="Heading3"/>
      </w:pPr>
      <w:r>
        <w:t xml:space="preserve">4.5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2"/>
    <w:bookmarkStart w:id="43" w:name="baselines"/>
    <w:p>
      <w:pPr>
        <w:pStyle w:val="Heading3"/>
      </w:pPr>
      <w:r>
        <w:t xml:space="preserve">4.6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3"/>
    <w:bookmarkEnd w:id="44"/>
    <w:bookmarkStart w:id="45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5"/>
    <w:bookmarkStart w:id="58" w:name="arm1"/>
    <w:p>
      <w:pPr>
        <w:pStyle w:val="Heading2"/>
      </w:pPr>
      <w:r>
        <w:t xml:space="preserve">6. Results: driver arm (VED)</w:t>
      </w:r>
    </w:p>
    <w:bookmarkStart w:id="46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6"/>
    <w:bookmarkStart w:id="53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8" name="Picture"/>
            <a:graphic>
              <a:graphicData uri="http://schemas.openxmlformats.org/drawingml/2006/picture">
                <pic:pic>
                  <pic:nvPicPr>
                    <pic:cNvPr descr="figures/fig1_variance_decomposi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1" name="Picture"/>
            <a:graphic>
              <a:graphicData uri="http://schemas.openxmlformats.org/drawingml/2006/picture">
                <pic:pic>
                  <pic:nvPicPr>
                    <pic:cNvPr descr="figures/fig3_behaviour_monotonic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3"/>
    <w:bookmarkStart w:id="57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5" name="Picture"/>
            <a:graphic>
              <a:graphicData uri="http://schemas.openxmlformats.org/drawingml/2006/picture">
                <pic:pic>
                  <pic:nvPicPr>
                    <pic:cNvPr descr="figures/fig4_behaviour_ro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7"/>
    <w:bookmarkEnd w:id="58"/>
    <w:bookmarkStart w:id="62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0" name="Picture"/>
            <a:graphic>
              <a:graphicData uri="http://schemas.openxmlformats.org/drawingml/2006/picture">
                <pic:pic>
                  <pic:nvPicPr>
                    <pic:cNvPr descr="figures/fig5_fault_signa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2"/>
    <w:bookmarkStart w:id="79" w:name="attrib"/>
    <w:p>
      <w:pPr>
        <w:pStyle w:val="Heading2"/>
      </w:pPr>
      <w:r>
        <w:t xml:space="preserve">8. Attribution</w:t>
      </w:r>
    </w:p>
    <w:bookmarkStart w:id="66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4" name="Picture"/>
            <a:graphic>
              <a:graphicData uri="http://schemas.openxmlformats.org/drawingml/2006/picture">
                <pic:pic>
                  <pic:nvPicPr>
                    <pic:cNvPr descr="figures/signature_contras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6"/>
    <w:bookmarkStart w:id="67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7"/>
    <w:bookmarkStart w:id="71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69" name="Picture"/>
            <a:graphic>
              <a:graphicData uri="http://schemas.openxmlformats.org/drawingml/2006/picture">
                <pic:pic>
                  <pic:nvPicPr>
                    <pic:cNvPr descr="figures/fig6_attribution_accurac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</w:t>
      </w:r>
    </w:p>
    <w:bookmarkEnd w:id="71"/>
    <w:bookmarkStart w:id="74" w:name="Xb70b62c2f344913f38fcc3ac71a67668c178b99"/>
    <w:p>
      <w:pPr>
        <w:pStyle w:val="Heading3"/>
      </w:pPr>
      <w:r>
        <w:t xml:space="preserve">8.4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2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2"/>
    <w:bookmarkStart w:id="73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3"/>
    <w:bookmarkEnd w:id="74"/>
    <w:bookmarkStart w:id="78" w:name="a-worked-example"/>
    <w:p>
      <w:pPr>
        <w:pStyle w:val="Heading3"/>
      </w:pPr>
      <w:r>
        <w:t xml:space="preserve">8.5 A worked example</w:t>
      </w:r>
    </w:p>
    <w:p>
      <w:pPr>
        <w:pStyle w:val="FirstParagraph"/>
      </w:pPr>
      <w:r>
        <w:t xml:space="preserve">Figure 8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76" name="Picture"/>
            <a:graphic>
              <a:graphicData uri="http://schemas.openxmlformats.org/drawingml/2006/picture">
                <pic:pic>
                  <pic:nvPicPr>
                    <pic:cNvPr descr="figures/fig7_worked_examp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78"/>
    <w:bookmarkEnd w:id="79"/>
    <w:bookmarkStart w:id="84" w:name="discuss"/>
    <w:p>
      <w:pPr>
        <w:pStyle w:val="Heading2"/>
      </w:pPr>
      <w:r>
        <w:t xml:space="preserve">9. Discussion</w:t>
      </w:r>
    </w:p>
    <w:bookmarkStart w:id="80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0"/>
    <w:bookmarkStart w:id="81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1"/>
    <w:bookmarkStart w:id="82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2"/>
    <w:bookmarkStart w:id="83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3"/>
    <w:bookmarkEnd w:id="84"/>
    <w:bookmarkStart w:id="86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85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85"/>
    <w:bookmarkEnd w:id="86"/>
    <w:bookmarkStart w:id="8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the signature attributes the cause at 95.9% accuracy in a calibrated semi-synthetic evaluation,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87"/>
    <w:bookmarkStart w:id="91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0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scripts/p10_consolidated.py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1"/>
    <w:bookmarkStart w:id="141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93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2">
        <w:r>
          <w:rPr>
            <w:rStyle w:val="Hyperlink"/>
          </w:rPr>
          <w:t xml:space="preserve">10.1109/TITS.2020.3035596</w:t>
        </w:r>
      </w:hyperlink>
      <w:bookmarkEnd w:id="93"/>
    </w:p>
    <w:p>
      <w:pPr>
        <w:pStyle w:val="Compact"/>
        <w:numPr>
          <w:ilvl w:val="0"/>
          <w:numId w:val="1002"/>
        </w:numPr>
      </w:pPr>
      <w:bookmarkStart w:id="95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4">
        <w:r>
          <w:rPr>
            <w:rStyle w:val="Hyperlink"/>
          </w:rPr>
          <w:t xml:space="preserve">10.1109/ACCESS.2023.3331316</w:t>
        </w:r>
      </w:hyperlink>
      <w:bookmarkEnd w:id="95"/>
    </w:p>
    <w:p>
      <w:pPr>
        <w:pStyle w:val="Compact"/>
        <w:numPr>
          <w:ilvl w:val="0"/>
          <w:numId w:val="1002"/>
        </w:numPr>
      </w:pPr>
      <w:bookmarkStart w:id="97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96">
        <w:r>
          <w:rPr>
            <w:rStyle w:val="Hyperlink"/>
          </w:rPr>
          <w:t xml:space="preserve">10.1016/j.engappai.2022.105222</w:t>
        </w:r>
      </w:hyperlink>
      <w:bookmarkEnd w:id="97"/>
    </w:p>
    <w:p>
      <w:pPr>
        <w:pStyle w:val="Compact"/>
        <w:numPr>
          <w:ilvl w:val="0"/>
          <w:numId w:val="1002"/>
        </w:numPr>
      </w:pPr>
      <w:bookmarkStart w:id="99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98">
        <w:r>
          <w:rPr>
            <w:rStyle w:val="Hyperlink"/>
          </w:rPr>
          <w:t xml:space="preserve">10.1177/09544070231185609</w:t>
        </w:r>
      </w:hyperlink>
      <w:bookmarkEnd w:id="99"/>
    </w:p>
    <w:p>
      <w:pPr>
        <w:pStyle w:val="Compact"/>
        <w:numPr>
          <w:ilvl w:val="0"/>
          <w:numId w:val="1002"/>
        </w:numPr>
      </w:pPr>
      <w:bookmarkStart w:id="101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0">
        <w:r>
          <w:rPr>
            <w:rStyle w:val="Hyperlink"/>
          </w:rPr>
          <w:t xml:space="preserve">10.3390/su13010226</w:t>
        </w:r>
      </w:hyperlink>
      <w:bookmarkEnd w:id="101"/>
    </w:p>
    <w:p>
      <w:pPr>
        <w:pStyle w:val="Compact"/>
        <w:numPr>
          <w:ilvl w:val="0"/>
          <w:numId w:val="1002"/>
        </w:numPr>
      </w:pPr>
      <w:bookmarkStart w:id="103" w:name="r6"/>
      <w:r>
        <w:t xml:space="preserve">J. Vieira et al. Driving Events Dataset. Zenodo, 2022.</w:t>
      </w:r>
      <w:r>
        <w:t xml:space="preserve"> </w:t>
      </w:r>
      <w:hyperlink r:id="rId102">
        <w:r>
          <w:rPr>
            <w:rStyle w:val="Hyperlink"/>
          </w:rPr>
          <w:t xml:space="preserve">10.5281/zenodo.6570972</w:t>
        </w:r>
      </w:hyperlink>
      <w:bookmarkEnd w:id="103"/>
    </w:p>
    <w:p>
      <w:pPr>
        <w:pStyle w:val="Compact"/>
        <w:numPr>
          <w:ilvl w:val="0"/>
          <w:numId w:val="1002"/>
        </w:numPr>
      </w:pPr>
      <w:bookmarkStart w:id="104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4"/>
    </w:p>
    <w:p>
      <w:pPr>
        <w:pStyle w:val="Compact"/>
        <w:numPr>
          <w:ilvl w:val="0"/>
          <w:numId w:val="1002"/>
        </w:numPr>
      </w:pPr>
      <w:bookmarkStart w:id="106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05">
        <w:r>
          <w:rPr>
            <w:rStyle w:val="Hyperlink"/>
          </w:rPr>
          <w:t xml:space="preserve">10.1061/(ASCE)0733-947X(2002)128:2(182)</w:t>
        </w:r>
      </w:hyperlink>
      <w:bookmarkEnd w:id="106"/>
    </w:p>
    <w:p>
      <w:pPr>
        <w:pStyle w:val="Compact"/>
        <w:numPr>
          <w:ilvl w:val="0"/>
          <w:numId w:val="1002"/>
        </w:numPr>
      </w:pPr>
      <w:bookmarkStart w:id="108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07">
        <w:r>
          <w:rPr>
            <w:rStyle w:val="Hyperlink"/>
          </w:rPr>
          <w:t xml:space="preserve">10.1155/2020/9450178</w:t>
        </w:r>
      </w:hyperlink>
      <w:bookmarkEnd w:id="108"/>
    </w:p>
    <w:p>
      <w:pPr>
        <w:pStyle w:val="Compact"/>
        <w:numPr>
          <w:ilvl w:val="0"/>
          <w:numId w:val="1002"/>
        </w:numPr>
      </w:pPr>
      <w:bookmarkStart w:id="110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09">
        <w:r>
          <w:rPr>
            <w:rStyle w:val="Hyperlink"/>
          </w:rPr>
          <w:t xml:space="preserve">10.48550/arXiv.2410.09741</w:t>
        </w:r>
      </w:hyperlink>
      <w:bookmarkEnd w:id="110"/>
    </w:p>
    <w:p>
      <w:pPr>
        <w:pStyle w:val="Compact"/>
        <w:numPr>
          <w:ilvl w:val="0"/>
          <w:numId w:val="1002"/>
        </w:numPr>
      </w:pPr>
      <w:bookmarkStart w:id="112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1">
        <w:r>
          <w:rPr>
            <w:rStyle w:val="Hyperlink"/>
          </w:rPr>
          <w:t xml:space="preserve">10.1016/j.trd.2011.05.008</w:t>
        </w:r>
      </w:hyperlink>
      <w:bookmarkEnd w:id="112"/>
    </w:p>
    <w:p>
      <w:pPr>
        <w:pStyle w:val="Compact"/>
        <w:numPr>
          <w:ilvl w:val="0"/>
          <w:numId w:val="1002"/>
        </w:numPr>
      </w:pPr>
      <w:bookmarkStart w:id="114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3">
        <w:r>
          <w:rPr>
            <w:rStyle w:val="Hyperlink"/>
          </w:rPr>
          <w:t xml:space="preserve">10.1109/ACCESS.2019.2920489</w:t>
        </w:r>
      </w:hyperlink>
      <w:bookmarkEnd w:id="114"/>
    </w:p>
    <w:p>
      <w:pPr>
        <w:pStyle w:val="Compact"/>
        <w:numPr>
          <w:ilvl w:val="0"/>
          <w:numId w:val="1002"/>
        </w:numPr>
      </w:pPr>
      <w:bookmarkStart w:id="116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15">
        <w:r>
          <w:rPr>
            <w:rStyle w:val="Hyperlink"/>
          </w:rPr>
          <w:t xml:space="preserve">10.1016/j.trd.2023.104025</w:t>
        </w:r>
      </w:hyperlink>
      <w:bookmarkEnd w:id="116"/>
    </w:p>
    <w:p>
      <w:pPr>
        <w:pStyle w:val="Compact"/>
        <w:numPr>
          <w:ilvl w:val="0"/>
          <w:numId w:val="1002"/>
        </w:numPr>
      </w:pPr>
      <w:bookmarkStart w:id="118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17">
        <w:r>
          <w:rPr>
            <w:rStyle w:val="Hyperlink"/>
          </w:rPr>
          <w:t xml:space="preserve">10.1109/ITSC.2011.6083078</w:t>
        </w:r>
      </w:hyperlink>
      <w:bookmarkEnd w:id="118"/>
    </w:p>
    <w:p>
      <w:pPr>
        <w:pStyle w:val="Compact"/>
        <w:numPr>
          <w:ilvl w:val="0"/>
          <w:numId w:val="1002"/>
        </w:numPr>
      </w:pPr>
      <w:bookmarkStart w:id="120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19">
        <w:r>
          <w:rPr>
            <w:rStyle w:val="Hyperlink"/>
          </w:rPr>
          <w:t xml:space="preserve">10.1016/j.treng.2026.100436</w:t>
        </w:r>
      </w:hyperlink>
      <w:bookmarkEnd w:id="120"/>
    </w:p>
    <w:p>
      <w:pPr>
        <w:pStyle w:val="Compact"/>
        <w:numPr>
          <w:ilvl w:val="0"/>
          <w:numId w:val="1002"/>
        </w:numPr>
      </w:pPr>
      <w:bookmarkStart w:id="122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1">
        <w:r>
          <w:rPr>
            <w:rStyle w:val="Hyperlink"/>
          </w:rPr>
          <w:t xml:space="preserve">10.1016/j.engappai.2022.105524</w:t>
        </w:r>
      </w:hyperlink>
      <w:bookmarkEnd w:id="122"/>
    </w:p>
    <w:p>
      <w:pPr>
        <w:pStyle w:val="Compact"/>
        <w:numPr>
          <w:ilvl w:val="0"/>
          <w:numId w:val="1002"/>
        </w:numPr>
      </w:pPr>
      <w:bookmarkStart w:id="124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3">
        <w:r>
          <w:rPr>
            <w:rStyle w:val="Hyperlink"/>
          </w:rPr>
          <w:t xml:space="preserve">10.1016/j.measurement.2018.03.006</w:t>
        </w:r>
      </w:hyperlink>
      <w:bookmarkEnd w:id="124"/>
    </w:p>
    <w:p>
      <w:pPr>
        <w:pStyle w:val="Compact"/>
        <w:numPr>
          <w:ilvl w:val="0"/>
          <w:numId w:val="1002"/>
        </w:numPr>
      </w:pPr>
      <w:bookmarkStart w:id="126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25">
        <w:r>
          <w:rPr>
            <w:rStyle w:val="Hyperlink"/>
          </w:rPr>
          <w:t xml:space="preserve">10.3390/s22187072</w:t>
        </w:r>
      </w:hyperlink>
      <w:bookmarkEnd w:id="126"/>
    </w:p>
    <w:p>
      <w:pPr>
        <w:pStyle w:val="Compact"/>
        <w:numPr>
          <w:ilvl w:val="0"/>
          <w:numId w:val="1002"/>
        </w:numPr>
      </w:pPr>
      <w:bookmarkStart w:id="128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27">
        <w:r>
          <w:rPr>
            <w:rStyle w:val="Hyperlink"/>
          </w:rPr>
          <w:t xml:space="preserve">10.1109/ICDM.2008.17</w:t>
        </w:r>
      </w:hyperlink>
      <w:bookmarkEnd w:id="128"/>
    </w:p>
    <w:p>
      <w:pPr>
        <w:pStyle w:val="Compact"/>
        <w:numPr>
          <w:ilvl w:val="0"/>
          <w:numId w:val="1002"/>
        </w:numPr>
      </w:pPr>
      <w:bookmarkStart w:id="130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29">
        <w:r>
          <w:rPr>
            <w:rStyle w:val="Hyperlink"/>
          </w:rPr>
          <w:t xml:space="preserve">10.1109/TNSM.2020.3038991</w:t>
        </w:r>
      </w:hyperlink>
      <w:bookmarkEnd w:id="130"/>
    </w:p>
    <w:p>
      <w:pPr>
        <w:pStyle w:val="Compact"/>
        <w:numPr>
          <w:ilvl w:val="0"/>
          <w:numId w:val="1002"/>
        </w:numPr>
      </w:pPr>
      <w:bookmarkStart w:id="132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1">
        <w:r>
          <w:rPr>
            <w:rStyle w:val="Hyperlink"/>
          </w:rPr>
          <w:t xml:space="preserve">10.1109/TCAD.2020.3012749</w:t>
        </w:r>
      </w:hyperlink>
      <w:bookmarkEnd w:id="132"/>
    </w:p>
    <w:p>
      <w:pPr>
        <w:pStyle w:val="Compact"/>
        <w:numPr>
          <w:ilvl w:val="0"/>
          <w:numId w:val="1002"/>
        </w:numPr>
      </w:pPr>
      <w:bookmarkStart w:id="134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3">
        <w:r>
          <w:rPr>
            <w:rStyle w:val="Hyperlink"/>
          </w:rPr>
          <w:t xml:space="preserve">10.1109/TITS.2023.3286611</w:t>
        </w:r>
      </w:hyperlink>
      <w:bookmarkEnd w:id="134"/>
    </w:p>
    <w:p>
      <w:pPr>
        <w:pStyle w:val="Compact"/>
        <w:numPr>
          <w:ilvl w:val="0"/>
          <w:numId w:val="1002"/>
        </w:numPr>
      </w:pPr>
      <w:bookmarkStart w:id="136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35">
        <w:r>
          <w:rPr>
            <w:rStyle w:val="Hyperlink"/>
          </w:rPr>
          <w:t xml:space="preserve">10.48550/arXiv.1705.07874</w:t>
        </w:r>
      </w:hyperlink>
      <w:bookmarkEnd w:id="136"/>
    </w:p>
    <w:p>
      <w:pPr>
        <w:pStyle w:val="Compact"/>
        <w:numPr>
          <w:ilvl w:val="0"/>
          <w:numId w:val="1002"/>
        </w:numPr>
      </w:pPr>
      <w:bookmarkStart w:id="138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37">
        <w:r>
          <w:rPr>
            <w:rStyle w:val="Hyperlink"/>
          </w:rPr>
          <w:t xml:space="preserve">10.1109/ACCESS.2026.3664118</w:t>
        </w:r>
      </w:hyperlink>
      <w:bookmarkEnd w:id="138"/>
    </w:p>
    <w:p>
      <w:pPr>
        <w:pStyle w:val="Compact"/>
        <w:numPr>
          <w:ilvl w:val="0"/>
          <w:numId w:val="1002"/>
        </w:numPr>
      </w:pPr>
      <w:bookmarkStart w:id="140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39">
        <w:r>
          <w:rPr>
            <w:rStyle w:val="Hyperlink"/>
          </w:rPr>
          <w:t xml:space="preserve">10.1093/nsr/nwx106</w:t>
        </w:r>
      </w:hyperlink>
      <w:bookmarkEnd w:id="140"/>
    </w:p>
    <w:p>
      <w:pPr>
        <w:pStyle w:val="Bibliography"/>
      </w:pPr>
      <w:r>
        <w:t xml:space="preserve">© 2026 Alexander Apartsin and Yehudit Aperstein.</w:t>
      </w:r>
    </w:p>
    <w:bookmarkEnd w:id="1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39" Target="https://doi.org/10.1093/nsr/nwx106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37" Target="https://doi.org/10.1109/ACCESS.2026.3664118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39" Target="https://doi.org/10.1093/nsr/nwx106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37" Target="https://doi.org/10.1109/ACCESS.2026.3664118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2026-08-30T04:57:50Z</dcterms:created>
  <dcterms:modified xsi:type="dcterms:W3CDTF">2026-08-30T04:57:50Z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