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7"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Lossless formats lose under a 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is deliberately scoped to the popular, universally-supported compressed</w:t>
      </w:r>
      <w:r>
        <w:t xml:space="preserve"> </w:t>
      </w:r>
      <w:r>
        <w:t xml:space="preserve">formats: JPEG, PNG, and WebP together carry over 70% of images served on the web (HTTP</w:t>
      </w:r>
      <w:r>
        <w:t xml:space="preserve"> </w:t>
      </w:r>
      <w:r>
        <w:t xml:space="preserve">Archive 2024: JPEG 32.4%, PNG 28.4%, WebP 12.0%), decode in every browser, and are</w:t>
      </w:r>
      <w:r>
        <w:t xml:space="preserve"> </w:t>
      </w:r>
      <w:r>
        <w:t xml:space="preserve">where the practical savings live.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3"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ug52j6js/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4),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4.</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4.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5.</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5.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ug52j6js/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ug52j6js/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5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5).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The constraint is thus not a QUIC stream-limit or flow-control effect;</w:t>
      </w:r>
      <w:r>
        <w:t xml:space="preserve"> </w:t>
      </w:r>
      <w:r>
        <w:t xml:space="preserve">the server permits 100 concurrent streams. It sits in the client's QUIC request scheduler</w:t>
      </w:r>
      <w:r>
        <w:t xml:space="preserve"> </w:t>
      </w:r>
      <w:r>
        <w:t xml:space="preserve">(Chromium's), a property of the deployment, not of HTTP/3 itself, which multiplexes</w:t>
      </w:r>
      <w:r>
        <w:t xml:space="preserve"> </w:t>
      </w:r>
      <w:r>
        <w:t xml:space="preserve">independent streams over one connection. A default HTTP/3 client can therefore under-multiplex a</w:t>
      </w:r>
      <w:r>
        <w:t xml:space="preserve"> </w:t>
      </w:r>
      <w:r>
        <w:t xml:space="preserve">many-small-image page relative to HTTP/2, which makes bundling valuable there.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End w:id="53"/>
    <w:bookmarkStart w:id="64" w:name="discussion"/>
    <w:p>
      <w:pPr>
        <w:pStyle w:val="Heading2"/>
      </w:pPr>
      <w:r>
        <w:t xml:space="preserve">6  Discussion</w:t>
      </w:r>
    </w:p>
    <w:bookmarkStart w:id="54"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4"/>
    <w:bookmarkStart w:id="58"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6" name="Picture"/>
            <a:graphic>
              <a:graphicData uri="http://schemas.openxmlformats.org/drawingml/2006/picture">
                <pic:pic>
                  <pic:nvPicPr>
                    <pic:cNvPr descr="file:///E:/tmp/tmpug52j6js/svg3.png" id="57" name="Picture"/>
                    <pic:cNvPicPr>
                      <a:picLocks noChangeArrowheads="1" noChangeAspect="1"/>
                    </pic:cNvPicPr>
                  </pic:nvPicPr>
                  <pic:blipFill>
                    <a:blip r:embed="rId5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8"/>
    <w:bookmarkStart w:id="62" w:name="a-calibrated-construction-heuristic"/>
    <w:p>
      <w:pPr>
        <w:pStyle w:val="Heading3"/>
      </w:pPr>
      <w:r>
        <w:t xml:space="preserve">6.3  A calibrated construction heuristic</w:t>
      </w:r>
    </w:p>
    <w:p>
      <w:pPr>
        <w:pStyle w:val="FirstParagraph"/>
      </w:pPr>
      <w:r>
        <w:t xml:space="preserve">The cost above is not minimized by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routes each</w:t>
      </w:r>
      <w:r>
        <w:t xml:space="preserve"> </w:t>
      </w:r>
      <w:r>
        <w:t xml:space="preserve">group to a pixel atlas (small lossy tiles), a byte-bundle (large or lossless tiles), or</w:t>
      </w:r>
      <w:r>
        <w:t xml:space="preserve"> </w:t>
      </w:r>
      <w:r>
        <w:t xml:space="preserve">individual files (tiny groups); and chunks each bundle (Figure 5). It emits the atlas</w:t>
      </w:r>
      <w:r>
        <w:t xml:space="preserve"> </w:t>
      </w:r>
      <w:r>
        <w:t xml:space="preserve">and bundle files, a CSS coordinate map, a loader snippet, and a per-group savings report.</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(or into four pixel-atlas chunks at 19% fewer bytes when the tiles are</w:t>
      </w:r>
      <w:r>
        <w:t xml:space="preserve"> </w:t>
      </w:r>
      <w:r>
        <w:t xml:space="preserve">declared lossy-encodable), and 521 photographic thumbnails, 119 of them exact repeats,</w:t>
      </w:r>
      <w:r>
        <w:t xml:space="preserve"> </w:t>
      </w:r>
      <w:r>
        <w:t xml:space="preserve">into four self-describing byte-bundle chunks at 21% fewer bytes, with 521 requests</w:t>
      </w:r>
      <w:r>
        <w:t xml:space="preserve"> </w:t>
      </w:r>
      <w:r>
        <w:t xml:space="preserve">becoming four in both cases. An accounting check confirms the emitted bytes and request</w:t>
      </w:r>
      <w:r>
        <w:t xml:space="preserve"> </w:t>
      </w:r>
      <w:r>
        <w:t xml:space="preserve">count equal what the tool reports.</w:t>
      </w:r>
    </w:p>
    <w:p>
      <w:pPr>
        <w:pStyle w:val="CaptionedFigure"/>
      </w:pPr>
      <w:r>
        <w:drawing>
          <wp:inline>
            <wp:extent cx="5334000" cy="4644683"/>
            <wp:effectExtent b="0" l="0" r="0" t="0"/>
            <wp:docPr descr="" title="" id="60" name="Picture"/>
            <a:graphic>
              <a:graphicData uri="http://schemas.openxmlformats.org/drawingml/2006/picture">
                <pic:pic>
                  <pic:nvPicPr>
                    <pic:cNvPr descr="file:///E:/tmp/tmpug52j6js/svg4.png" id="61" name="Picture"/>
                    <pic:cNvPicPr>
                      <a:picLocks noChangeArrowheads="1" noChangeAspect="1"/>
                    </pic:cNvPicPr>
                  </pic:nvPicPr>
                  <pic:blipFill>
                    <a:blip r:embed="rId59"/>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with a measured tiebreak for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6.</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6).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w:t>
      </w:r>
    </w:p>
    <w:p>
      <w:pPr>
        <w:pStyle w:val="BodyText"/>
      </w:pPr>
      <w:r>
        <w:t xml:space="preserve">The value is in choosing, not in any single layout. Table 6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6.</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6.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2"/>
    <w:bookmarkStart w:id="63" w:name="limitations"/>
    <w:p>
      <w:pPr>
        <w:pStyle w:val="Heading3"/>
      </w:pPr>
      <w:r>
        <w:t xml:space="preserve">6.4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bounded analytically and by the chunking recommendation but not yet profiled in</w:t>
      </w:r>
      <w:r>
        <w:t xml:space="preserve"> </w:t>
      </w:r>
      <w:r>
        <w:t xml:space="preserve">a live renderer. The HTTP/3 concurrency diagnosis is confirmed from the server's own QUIC</w:t>
      </w:r>
      <w:r>
        <w:t xml:space="preserve"> </w:t>
      </w:r>
      <w:r>
        <w:t xml:space="preserve">transport log (Section 5.5); testing its generality across a second QUIC</w:t>
      </w:r>
      <w:r>
        <w:t xml:space="preserve"> </w:t>
      </w:r>
      <w:r>
        <w:t xml:space="preserve">implementation and native Linux remains future work. The matched-quality crossovers are calibrated on one icon set and one photographic</w:t>
      </w:r>
      <w:r>
        <w:t xml:space="preserve"> </w:t>
      </w:r>
      <w:r>
        <w:t xml:space="preserve">collection with randomized-subset bootstrap intervals (Section 5.1), and the</w:t>
      </w:r>
      <w:r>
        <w:t xml:space="preserve"> </w:t>
      </w:r>
      <w:r>
        <w:t xml:space="preserve">heuristic is validated out-of-sample on five further independent corpora</w:t>
      </w:r>
      <w:r>
        <w:t xml:space="preserve"> </w:t>
      </w:r>
      <w:r>
        <w:t xml:space="preserve">(Section 6.3); a still wider survey of naturally-occurring collections would</w:t>
      </w:r>
      <w:r>
        <w:t xml:space="preserve"> </w:t>
      </w:r>
      <w:r>
        <w:t xml:space="preserve">further generalize the reported thresholds. The network numbers are medians of 11 cold loads per cell with</w:t>
      </w:r>
      <w:r>
        <w:t xml:space="preserve"> </w:t>
      </w:r>
      <w:r>
        <w:t xml:space="preserve">bootstrap confidence intervals (Table 5) but no formal significance testing, and</w:t>
      </w:r>
      <w:r>
        <w:t xml:space="preserve"> </w:t>
      </w:r>
      <w:r>
        <w:t xml:space="preserve">the timing endpoint is time-to-all-tiles-visible; user-centric metrics (first tile, above-the-fold completion,</w:t>
      </w:r>
      <w:r>
        <w:t xml:space="preserve"> </w:t>
      </w:r>
      <w:r>
        <w:t xml:space="preserve">LCP, decode CPU) and warm-cache multi-navigation behavior under realistic asset churn</w:t>
      </w:r>
      <w:r>
        <w:t xml:space="preserve"> </w:t>
      </w:r>
      <w:r>
        <w:t xml:space="preserve">are not measured and could change the recommended bundle size. Finally, AVIF and</w:t>
      </w:r>
      <w:r>
        <w:t xml:space="preserve"> </w:t>
      </w:r>
      <w:r>
        <w:t xml:space="preserve">JPEG XL are excluded by scope, though AVIF is now a material share of web imagery;</w:t>
      </w:r>
      <w:r>
        <w:t xml:space="preserve"> </w:t>
      </w:r>
      <w:r>
        <w:t xml:space="preserve">their larger container overhead and richer adaptivity would move the crossovers, and</w:t>
      </w:r>
      <w:r>
        <w:t xml:space="preserve"> </w:t>
      </w:r>
      <w:r>
        <w:t xml:space="preserve">AVIF is the first codec a follow-up should add.</w:t>
      </w:r>
    </w:p>
    <w:bookmarkEnd w:id="63"/>
    <w:bookmarkEnd w:id="64"/>
    <w:bookmarkStart w:id="65"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three formats that carry most of the web's images. Atlas small lossy tiles: icons</w:t>
      </w:r>
      <w:r>
        <w:t xml:space="preserve"> </w:t>
      </w:r>
      <w:r>
        <w:t xml:space="preserve">and thumbnails gain up to 30% under JPEG and up to 19% under WebP at matched</w:t>
      </w:r>
      <w:r>
        <w:t xml:space="preserve"> </w:t>
      </w:r>
      <w:r>
        <w:t xml:space="preserve">quality, and 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client-side request-concurrency limit specific to the tested stack</w:t>
      </w:r>
      <w:r>
        <w:t xml:space="preserve"> </w:t>
      </w:r>
      <w:r>
        <w:t xml:space="preserve">(Section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5"/>
    <w:bookmarkStart w:id="66"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2026-08-30T05:25:01Z</dcterms:created>
  <dcterms:modified xsi:type="dcterms:W3CDTF">2026-08-30T05:25:01Z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