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8"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kvzsrirc/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kvzsrirc/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kvzsrirc/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5"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kvzsrirc/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routes each</w:t>
      </w:r>
      <w:r>
        <w:t xml:space="preserve"> </w:t>
      </w:r>
      <w:r>
        <w:t xml:space="preserve">group to a pixel atlas (small lossy tiles), a byte-bundle (large or lossless tiles), or</w:t>
      </w:r>
      <w:r>
        <w:t xml:space="preserve"> </w:t>
      </w:r>
      <w:r>
        <w:t xml:space="preserve">individual files (tiny groups); and chunks each bundle (Figure 5). It emits the atlas</w:t>
      </w:r>
      <w:r>
        <w:t xml:space="preserve"> </w:t>
      </w:r>
      <w:r>
        <w:t xml:space="preserve">and bundle files, a CSS coordinate map, a loader snippet, and a per-group savings report.</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(or into four pixel-atlas chunks at 19% fewer bytes when the tiles are</w:t>
      </w:r>
      <w:r>
        <w:t xml:space="preserve"> </w:t>
      </w:r>
      <w:r>
        <w:t xml:space="preserve">declared lossy-encodable), and 521 photographic thumbnails, 119 of them exact repeats,</w:t>
      </w:r>
      <w:r>
        <w:t xml:space="preserve"> </w:t>
      </w:r>
      <w:r>
        <w:t xml:space="preserve">into four self-describing byte-bundle chunks at 21% fewer bytes, with 521 requests</w:t>
      </w:r>
      <w:r>
        <w:t xml:space="preserve"> </w:t>
      </w:r>
      <w:r>
        <w:t xml:space="preserve">becoming four in both cases. An accounting check confirms the emitted bytes and request</w:t>
      </w:r>
      <w:r>
        <w:t xml:space="preserve"> </w:t>
      </w:r>
      <w:r>
        <w:t xml:space="preserve">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kvzsrirc/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with a measured tiebreak for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8.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3"/>
    <w:bookmarkStart w:id="64" w:name="limitations"/>
    <w:p>
      <w:pPr>
        <w:pStyle w:val="Heading3"/>
      </w:pPr>
      <w:r>
        <w:t xml:space="preserve">6.4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4"/>
    <w:bookmarkEnd w:id="65"/>
    <w:bookmarkStart w:id="66"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6"/>
    <w:bookmarkStart w:id="67"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2026-08-30T06:22:53Z</dcterms:created>
  <dcterms:modified xsi:type="dcterms:W3CDTF">2026-08-30T06:22:53Z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